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13G/A</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Class A ordinary shares, par value of $0.00025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G6525F 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firstLine="8"/>
        <w:spacing w:after="0" w:line="282" w:lineRule="auto"/>
        <w:tabs>
          <w:tab w:leader="none" w:pos="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8"/>
        </w:trPr>
        <w:tc>
          <w:tcPr>
            <w:tcW w:w="500" w:type="dxa"/>
            <w:vAlign w:val="bottom"/>
            <w:tcBorders>
              <w:top w:val="single" w:sz="8" w:color="auto"/>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tcBorders>
              <w:top w:val="single" w:sz="8" w:color="auto"/>
              <w:right w:val="single" w:sz="8" w:color="auto"/>
            </w:tcBorders>
          </w:tcPr>
          <w:p>
            <w:pPr>
              <w:spacing w:after="0"/>
              <w:rPr>
                <w:sz w:val="21"/>
                <w:szCs w:val="21"/>
                <w:color w:val="auto"/>
              </w:rPr>
            </w:pPr>
          </w:p>
        </w:tc>
        <w:tc>
          <w:tcPr>
            <w:tcW w:w="10420" w:type="dxa"/>
            <w:vAlign w:val="bottom"/>
            <w:tcBorders>
              <w:top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Bin Li</w:t>
            </w:r>
          </w:p>
        </w:tc>
        <w:tc>
          <w:tcPr>
            <w:tcW w:w="780" w:type="dxa"/>
            <w:vAlign w:val="bottom"/>
          </w:tcPr>
          <w:p>
            <w:pPr>
              <w:spacing w:after="0"/>
              <w:rPr>
                <w:sz w:val="17"/>
                <w:szCs w:val="17"/>
                <w:color w:val="auto"/>
              </w:rPr>
            </w:pPr>
          </w:p>
        </w:tc>
        <w:tc>
          <w:tcPr>
            <w:tcW w:w="8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6"/>
        </w:trPr>
        <w:tc>
          <w:tcPr>
            <w:tcW w:w="50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Borders>
              <w:right w:val="single" w:sz="8" w:color="auto"/>
            </w:tcBorders>
          </w:tcPr>
          <w:p>
            <w:pPr>
              <w:spacing w:after="0"/>
              <w:rPr>
                <w:sz w:val="24"/>
                <w:szCs w:val="24"/>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50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00" w:type="dxa"/>
            <w:vAlign w:val="bottom"/>
            <w:tcBorders>
              <w:left w:val="single" w:sz="8" w:color="auto"/>
            </w:tcBorders>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4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50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Borders>
              <w:bottom w:val="single" w:sz="8" w:color="auto"/>
            </w:tcBorders>
          </w:tcPr>
          <w:p>
            <w:pPr>
              <w:spacing w:after="0"/>
              <w:rPr>
                <w:sz w:val="22"/>
                <w:szCs w:val="22"/>
                <w:color w:val="auto"/>
              </w:rPr>
            </w:pPr>
          </w:p>
        </w:tc>
        <w:tc>
          <w:tcPr>
            <w:tcW w:w="8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90"/>
        </w:trPr>
        <w:tc>
          <w:tcPr>
            <w:tcW w:w="500" w:type="dxa"/>
            <w:vAlign w:val="bottom"/>
            <w:tcBorders>
              <w:left w:val="single" w:sz="8" w:color="auto"/>
            </w:tcBorders>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10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04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420" w:type="dxa"/>
            <w:vAlign w:val="bottom"/>
            <w:tcBorders>
              <w:bottom w:val="single" w:sz="8" w:color="auto"/>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w:t>
            </w:r>
          </w:p>
        </w:tc>
        <w:tc>
          <w:tcPr>
            <w:tcW w:w="8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87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bottom w:val="single" w:sz="8" w:color="auto"/>
              <w:right w:val="single" w:sz="8" w:color="auto"/>
            </w:tcBorders>
          </w:tcPr>
          <w:p>
            <w:pPr>
              <w:spacing w:after="0"/>
              <w:rPr>
                <w:sz w:val="18"/>
                <w:szCs w:val="18"/>
                <w:color w:val="auto"/>
              </w:rPr>
            </w:pPr>
          </w:p>
        </w:tc>
        <w:tc>
          <w:tcPr>
            <w:tcW w:w="87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0" w:type="dxa"/>
            <w:vAlign w:val="bottom"/>
            <w:tcBorders>
              <w:left w:val="single" w:sz="8" w:color="auto"/>
            </w:tcBorders>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8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vMerge w:val="continue"/>
          </w:tcPr>
          <w:p>
            <w:pPr>
              <w:spacing w:after="0"/>
              <w:rPr>
                <w:sz w:val="18"/>
                <w:szCs w:val="18"/>
                <w:color w:val="auto"/>
              </w:rPr>
            </w:pPr>
          </w:p>
        </w:tc>
        <w:tc>
          <w:tcPr>
            <w:tcW w:w="87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174,467,776</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ordinary shares. See Item 4.</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500" w:type="dxa"/>
            <w:vAlign w:val="bottom"/>
            <w:tcBorders>
              <w:left w:val="single" w:sz="8" w:color="auto"/>
            </w:tcBorders>
          </w:tcPr>
          <w:p>
            <w:pPr>
              <w:spacing w:after="0"/>
              <w:rPr>
                <w:sz w:val="2"/>
                <w:szCs w:val="2"/>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00" w:type="dxa"/>
            <w:vAlign w:val="bottom"/>
            <w:tcBorders>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00" w:type="dxa"/>
            <w:vAlign w:val="bottom"/>
            <w:tcBorders>
              <w:left w:val="single" w:sz="8" w:color="auto"/>
            </w:tcBorders>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8740" w:type="dxa"/>
            <w:vAlign w:val="bottom"/>
            <w:tcBorders>
              <w:right w:val="single" w:sz="8" w:color="auto"/>
            </w:tcBorders>
          </w:tcPr>
          <w:p>
            <w:pPr>
              <w:ind w:left="80"/>
              <w:spacing w:after="0" w:line="16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w:t>
            </w:r>
          </w:p>
        </w:tc>
        <w:tc>
          <w:tcPr>
            <w:tcW w:w="8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5"/>
        </w:trPr>
        <w:tc>
          <w:tcPr>
            <w:tcW w:w="500" w:type="dxa"/>
            <w:vAlign w:val="bottom"/>
            <w:tcBorders>
              <w:left w:val="single" w:sz="8" w:color="auto"/>
            </w:tcBorders>
          </w:tcPr>
          <w:p>
            <w:pPr>
              <w:spacing w:after="0"/>
              <w:rPr>
                <w:sz w:val="3"/>
                <w:szCs w:val="3"/>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500" w:type="dxa"/>
            <w:vAlign w:val="bottom"/>
            <w:tcBorders>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8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8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87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174,467,776 ordinary shares. See Item 4.</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7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9</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04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174,467,776 ordinary shares. See Item 4.</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420" w:type="dxa"/>
            <w:vAlign w:val="bottom"/>
            <w:tcBorders>
              <w:bottom w:val="single" w:sz="8" w:color="auto"/>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184"/>
        </w:trPr>
        <w:tc>
          <w:tcPr>
            <w:tcW w:w="500" w:type="dxa"/>
            <w:vAlign w:val="bottom"/>
            <w:tcBorders>
              <w:left w:val="single" w:sz="8" w:color="auto"/>
            </w:tcBorders>
            <w:vMerge w:val="continue"/>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40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211"/>
        </w:trPr>
        <w:tc>
          <w:tcPr>
            <w:tcW w:w="500" w:type="dxa"/>
            <w:vAlign w:val="bottom"/>
            <w:tcBorders>
              <w:left w:val="single" w:sz="8" w:color="auto"/>
            </w:tcBorders>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04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11.1%.</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See Item 4.</w:t>
            </w:r>
          </w:p>
        </w:tc>
        <w:tc>
          <w:tcPr>
            <w:tcW w:w="0" w:type="dxa"/>
            <w:vAlign w:val="bottom"/>
          </w:tcPr>
          <w:p>
            <w:pPr>
              <w:spacing w:after="0"/>
              <w:rPr>
                <w:sz w:val="1"/>
                <w:szCs w:val="1"/>
                <w:color w:val="auto"/>
              </w:rPr>
            </w:pPr>
          </w:p>
        </w:tc>
      </w:tr>
      <w:tr>
        <w:trPr>
          <w:trHeight w:val="243"/>
        </w:trPr>
        <w:tc>
          <w:tcPr>
            <w:tcW w:w="500" w:type="dxa"/>
            <w:vAlign w:val="bottom"/>
            <w:tcBorders>
              <w:left w:val="single" w:sz="8" w:color="auto"/>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0420" w:type="dxa"/>
            <w:vAlign w:val="bottom"/>
            <w:tcBorders>
              <w:bottom w:val="single" w:sz="8" w:color="auto"/>
              <w:right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42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33"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 9</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auto"/>
        </w:rPr>
        <w:t>000</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auto"/>
        </w:rPr>
        <w:t xml:space="preserve">000 </w:t>
      </w:r>
      <w:r>
        <w:rPr>
          <w:rFonts w:ascii="Times New Roman" w:cs="Times New Roman" w:eastAsia="Times New Roman" w:hAnsi="Times New Roman"/>
          <w:sz w:val="18"/>
          <w:szCs w:val="18"/>
          <w:color w:val="2B2B2B"/>
        </w:rPr>
        <w:t>Class</w:t>
      </w:r>
      <w:r>
        <w:rPr>
          <w:rFonts w:ascii="Times New Roman" w:cs="Times New Roman" w:eastAsia="Times New Roman" w:hAnsi="Times New Roman"/>
          <w:sz w:val="18"/>
          <w:szCs w:val="18"/>
          <w:color w:val="auto"/>
        </w:rPr>
        <w:t xml:space="preserve"> A ordinary </w:t>
      </w:r>
      <w:r>
        <w:rPr>
          <w:rFonts w:ascii="Times New Roman" w:cs="Times New Roman" w:eastAsia="Times New Roman" w:hAnsi="Times New Roman"/>
          <w:sz w:val="18"/>
          <w:szCs w:val="18"/>
          <w:color w:val="2B2B2B"/>
        </w:rPr>
        <w:t>shares</w:t>
      </w:r>
      <w:r>
        <w:rPr>
          <w:rFonts w:ascii="Times New Roman" w:cs="Times New Roman" w:eastAsia="Times New Roman" w:hAnsi="Times New Roman"/>
          <w:sz w:val="18"/>
          <w:szCs w:val="18"/>
          <w:color w:val="auto"/>
        </w:rPr>
        <w:t xml:space="preserve"> issuable to Mr. Li upon </w:t>
      </w:r>
      <w:r>
        <w:rPr>
          <w:rFonts w:ascii="Times New Roman" w:cs="Times New Roman" w:eastAsia="Times New Roman" w:hAnsi="Times New Roman"/>
          <w:sz w:val="18"/>
          <w:szCs w:val="18"/>
          <w:color w:val="2B2B2B"/>
        </w:rPr>
        <w:t>exerc</w:t>
      </w:r>
      <w:r>
        <w:rPr>
          <w:rFonts w:ascii="Times New Roman" w:cs="Times New Roman" w:eastAsia="Times New Roman" w:hAnsi="Times New Roman"/>
          <w:sz w:val="18"/>
          <w:szCs w:val="18"/>
          <w:color w:val="030303"/>
        </w:rPr>
        <w:t>is</w:t>
      </w:r>
      <w:r>
        <w:rPr>
          <w:rFonts w:ascii="Times New Roman" w:cs="Times New Roman" w:eastAsia="Times New Roman" w:hAnsi="Times New Roman"/>
          <w:sz w:val="18"/>
          <w:szCs w:val="18"/>
          <w:color w:val="2B2B2B"/>
        </w:rPr>
        <w:t>e</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color w:val="2B2B2B"/>
        </w:rPr>
        <w:t>options</w:t>
      </w:r>
      <w:r>
        <w:rPr>
          <w:rFonts w:ascii="Times New Roman" w:cs="Times New Roman" w:eastAsia="Times New Roman" w:hAnsi="Times New Roman"/>
          <w:sz w:val="18"/>
          <w:szCs w:val="18"/>
          <w:color w:val="auto"/>
        </w:rPr>
        <w:t xml:space="preserve"> within 60 days after December 31</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auto"/>
        </w:rPr>
        <w:t xml:space="preserve"> 2020, (ii) 4,778,523 Class A ordinary shares and 84,234,928 </w:t>
      </w:r>
      <w:r>
        <w:rPr>
          <w:rFonts w:ascii="Times New Roman" w:cs="Times New Roman" w:eastAsia="Times New Roman" w:hAnsi="Times New Roman"/>
          <w:sz w:val="18"/>
          <w:szCs w:val="18"/>
          <w:color w:val="2B2B2B"/>
        </w:rPr>
        <w:t>C</w:t>
      </w:r>
      <w:r>
        <w:rPr>
          <w:rFonts w:ascii="Times New Roman" w:cs="Times New Roman" w:eastAsia="Times New Roman" w:hAnsi="Times New Roman"/>
          <w:sz w:val="18"/>
          <w:szCs w:val="18"/>
          <w:color w:val="030303"/>
        </w:rPr>
        <w:t>la</w:t>
      </w:r>
      <w:r>
        <w:rPr>
          <w:rFonts w:ascii="Times New Roman" w:cs="Times New Roman" w:eastAsia="Times New Roman" w:hAnsi="Times New Roman"/>
          <w:sz w:val="18"/>
          <w:szCs w:val="18"/>
          <w:color w:val="2B2B2B"/>
        </w:rPr>
        <w:t>ss C</w:t>
      </w:r>
      <w:r>
        <w:rPr>
          <w:rFonts w:ascii="Times New Roman" w:cs="Times New Roman" w:eastAsia="Times New Roman" w:hAnsi="Times New Roman"/>
          <w:sz w:val="18"/>
          <w:szCs w:val="18"/>
          <w:color w:val="auto"/>
        </w:rPr>
        <w:t xml:space="preserve"> ordinary </w:t>
      </w:r>
      <w:r>
        <w:rPr>
          <w:rFonts w:ascii="Times New Roman" w:cs="Times New Roman" w:eastAsia="Times New Roman" w:hAnsi="Times New Roman"/>
          <w:sz w:val="18"/>
          <w:szCs w:val="18"/>
          <w:color w:val="2B2B2B"/>
        </w:rPr>
        <w:t>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30303"/>
        </w:rPr>
        <w:t>held</w:t>
      </w:r>
      <w:r>
        <w:rPr>
          <w:rFonts w:ascii="Times New Roman" w:cs="Times New Roman" w:eastAsia="Times New Roman" w:hAnsi="Times New Roman"/>
          <w:sz w:val="18"/>
          <w:szCs w:val="18"/>
          <w:color w:val="auto"/>
        </w:rPr>
        <w:t xml:space="preserve"> on record by Originalwish Limited</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B2B"/>
        </w:rPr>
        <w:t>a</w:t>
      </w:r>
      <w:r>
        <w:rPr>
          <w:rFonts w:ascii="Times New Roman" w:cs="Times New Roman" w:eastAsia="Times New Roman" w:hAnsi="Times New Roman"/>
          <w:sz w:val="18"/>
          <w:szCs w:val="18"/>
          <w:color w:val="auto"/>
        </w:rPr>
        <w:t xml:space="preserve"> British Virgin Islands company wholly owned by Mr. Li</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auto"/>
        </w:rPr>
        <w:t xml:space="preserve"> (iii) 26,454,325 </w:t>
      </w:r>
      <w:r>
        <w:rPr>
          <w:rFonts w:ascii="Times New Roman" w:cs="Times New Roman" w:eastAsia="Times New Roman" w:hAnsi="Times New Roman"/>
          <w:sz w:val="18"/>
          <w:szCs w:val="18"/>
          <w:color w:val="2B2B2B"/>
        </w:rPr>
        <w:t>Class C</w:t>
      </w:r>
      <w:r>
        <w:rPr>
          <w:rFonts w:ascii="Times New Roman" w:cs="Times New Roman" w:eastAsia="Times New Roman" w:hAnsi="Times New Roman"/>
          <w:sz w:val="18"/>
          <w:szCs w:val="18"/>
          <w:color w:val="auto"/>
        </w:rPr>
        <w:t xml:space="preserve"> ordinary </w:t>
      </w:r>
      <w:r>
        <w:rPr>
          <w:rFonts w:ascii="Times New Roman" w:cs="Times New Roman" w:eastAsia="Times New Roman" w:hAnsi="Times New Roman"/>
          <w:sz w:val="18"/>
          <w:szCs w:val="18"/>
          <w:color w:val="2B2B2B"/>
        </w:rPr>
        <w:t>s</w:t>
      </w:r>
      <w:r>
        <w:rPr>
          <w:rFonts w:ascii="Times New Roman" w:cs="Times New Roman" w:eastAsia="Times New Roman" w:hAnsi="Times New Roman"/>
          <w:sz w:val="18"/>
          <w:szCs w:val="18"/>
          <w:color w:val="030303"/>
        </w:rPr>
        <w:t>har</w:t>
      </w:r>
      <w:r>
        <w:rPr>
          <w:rFonts w:ascii="Times New Roman" w:cs="Times New Roman" w:eastAsia="Times New Roman" w:hAnsi="Times New Roman"/>
          <w:sz w:val="18"/>
          <w:szCs w:val="18"/>
          <w:color w:val="2B2B2B"/>
        </w:rPr>
        <w:t>es</w:t>
      </w:r>
      <w:r>
        <w:rPr>
          <w:rFonts w:ascii="Times New Roman" w:cs="Times New Roman" w:eastAsia="Times New Roman" w:hAnsi="Times New Roman"/>
          <w:sz w:val="18"/>
          <w:szCs w:val="18"/>
          <w:color w:val="auto"/>
        </w:rPr>
        <w:t xml:space="preserve"> held on record by mobike Global Ltd., </w:t>
      </w:r>
      <w:r>
        <w:rPr>
          <w:rFonts w:ascii="Times New Roman" w:cs="Times New Roman" w:eastAsia="Times New Roman" w:hAnsi="Times New Roman"/>
          <w:sz w:val="18"/>
          <w:szCs w:val="18"/>
          <w:color w:val="2B2B2B"/>
        </w:rPr>
        <w:t>a</w:t>
      </w:r>
      <w:r>
        <w:rPr>
          <w:rFonts w:ascii="Times New Roman" w:cs="Times New Roman" w:eastAsia="Times New Roman" w:hAnsi="Times New Roman"/>
          <w:sz w:val="18"/>
          <w:szCs w:val="18"/>
          <w:color w:val="auto"/>
        </w:rPr>
        <w:t xml:space="preserve"> British Virgin </w:t>
      </w:r>
      <w:r>
        <w:rPr>
          <w:rFonts w:ascii="Times New Roman" w:cs="Times New Roman" w:eastAsia="Times New Roman" w:hAnsi="Times New Roman"/>
          <w:sz w:val="18"/>
          <w:szCs w:val="18"/>
          <w:color w:val="030303"/>
        </w:rPr>
        <w:t>Isl</w:t>
      </w:r>
      <w:r>
        <w:rPr>
          <w:rFonts w:ascii="Times New Roman" w:cs="Times New Roman" w:eastAsia="Times New Roman" w:hAnsi="Times New Roman"/>
          <w:sz w:val="18"/>
          <w:szCs w:val="18"/>
          <w:color w:val="2B2B2B"/>
        </w:rPr>
        <w:t>ands</w:t>
      </w:r>
      <w:r>
        <w:rPr>
          <w:rFonts w:ascii="Times New Roman" w:cs="Times New Roman" w:eastAsia="Times New Roman" w:hAnsi="Times New Roman"/>
          <w:sz w:val="18"/>
          <w:szCs w:val="18"/>
          <w:color w:val="auto"/>
        </w:rPr>
        <w:t xml:space="preserve"> company wholly owned by Mr. Li</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auto"/>
        </w:rPr>
        <w:t xml:space="preserve"> (iv) 12,189,253 Class A ordinary shares and 37,810,747 </w:t>
      </w:r>
      <w:r>
        <w:rPr>
          <w:rFonts w:ascii="Times New Roman" w:cs="Times New Roman" w:eastAsia="Times New Roman" w:hAnsi="Times New Roman"/>
          <w:sz w:val="18"/>
          <w:szCs w:val="18"/>
          <w:color w:val="2B2B2B"/>
        </w:rPr>
        <w:t>C</w:t>
      </w:r>
      <w:r>
        <w:rPr>
          <w:rFonts w:ascii="Times New Roman" w:cs="Times New Roman" w:eastAsia="Times New Roman" w:hAnsi="Times New Roman"/>
          <w:sz w:val="18"/>
          <w:szCs w:val="18"/>
          <w:color w:val="030303"/>
        </w:rPr>
        <w:t>la</w:t>
      </w:r>
      <w:r>
        <w:rPr>
          <w:rFonts w:ascii="Times New Roman" w:cs="Times New Roman" w:eastAsia="Times New Roman" w:hAnsi="Times New Roman"/>
          <w:sz w:val="18"/>
          <w:szCs w:val="18"/>
          <w:color w:val="2B2B2B"/>
        </w:rPr>
        <w:t>ss C</w:t>
      </w:r>
      <w:r>
        <w:rPr>
          <w:rFonts w:ascii="Times New Roman" w:cs="Times New Roman" w:eastAsia="Times New Roman" w:hAnsi="Times New Roman"/>
          <w:sz w:val="18"/>
          <w:szCs w:val="18"/>
          <w:color w:val="auto"/>
        </w:rPr>
        <w:t xml:space="preserve"> ordinary </w:t>
      </w:r>
      <w:r>
        <w:rPr>
          <w:rFonts w:ascii="Times New Roman" w:cs="Times New Roman" w:eastAsia="Times New Roman" w:hAnsi="Times New Roman"/>
          <w:sz w:val="18"/>
          <w:szCs w:val="18"/>
          <w:color w:val="2B2B2B"/>
        </w:rPr>
        <w:t>shares</w:t>
      </w:r>
      <w:r>
        <w:rPr>
          <w:rFonts w:ascii="Times New Roman" w:cs="Times New Roman" w:eastAsia="Times New Roman" w:hAnsi="Times New Roman"/>
          <w:sz w:val="18"/>
          <w:szCs w:val="18"/>
          <w:color w:val="auto"/>
        </w:rPr>
        <w:t xml:space="preserve"> held on record by </w:t>
      </w:r>
      <w:r>
        <w:rPr>
          <w:rFonts w:ascii="Times New Roman" w:cs="Times New Roman" w:eastAsia="Times New Roman" w:hAnsi="Times New Roman"/>
          <w:sz w:val="18"/>
          <w:szCs w:val="18"/>
          <w:color w:val="2B2B2B"/>
        </w:rPr>
        <w:t>N</w:t>
      </w:r>
      <w:r>
        <w:rPr>
          <w:rFonts w:ascii="Times New Roman" w:cs="Times New Roman" w:eastAsia="Times New Roman" w:hAnsi="Times New Roman"/>
          <w:sz w:val="18"/>
          <w:szCs w:val="18"/>
          <w:color w:val="030303"/>
        </w:rPr>
        <w:t>IO</w:t>
      </w:r>
      <w:r>
        <w:rPr>
          <w:rFonts w:ascii="Times New Roman" w:cs="Times New Roman" w:eastAsia="Times New Roman" w:hAnsi="Times New Roman"/>
          <w:sz w:val="18"/>
          <w:szCs w:val="18"/>
          <w:color w:val="auto"/>
        </w:rPr>
        <w:t xml:space="preserve"> Users Limited</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auto"/>
        </w:rPr>
        <w:t xml:space="preserve"> a holding company held upon the terms of the NIO </w:t>
      </w:r>
      <w:r>
        <w:rPr>
          <w:rFonts w:ascii="Times New Roman" w:cs="Times New Roman" w:eastAsia="Times New Roman" w:hAnsi="Times New Roman"/>
          <w:sz w:val="18"/>
          <w:szCs w:val="18"/>
          <w:color w:val="2B2B2B"/>
        </w:rPr>
        <w:t>Users</w:t>
      </w:r>
      <w:r>
        <w:rPr>
          <w:rFonts w:ascii="Times New Roman" w:cs="Times New Roman" w:eastAsia="Times New Roman" w:hAnsi="Times New Roman"/>
          <w:sz w:val="18"/>
          <w:szCs w:val="18"/>
          <w:color w:val="auto"/>
        </w:rPr>
        <w:t xml:space="preserve"> Trust, under which Mr. Li has reserved certain powers to himself. </w:t>
      </w:r>
      <w:r>
        <w:rPr>
          <w:rFonts w:ascii="Times New Roman" w:cs="Times New Roman" w:eastAsia="Times New Roman" w:hAnsi="Times New Roman"/>
          <w:sz w:val="18"/>
          <w:szCs w:val="18"/>
          <w:color w:val="424242"/>
        </w:rPr>
        <w:t>E</w:t>
      </w:r>
      <w:r>
        <w:rPr>
          <w:rFonts w:ascii="Times New Roman" w:cs="Times New Roman" w:eastAsia="Times New Roman" w:hAnsi="Times New Roman"/>
          <w:sz w:val="18"/>
          <w:szCs w:val="18"/>
          <w:color w:val="auto"/>
        </w:rPr>
        <w:t xml:space="preserve">ach Class </w:t>
      </w:r>
      <w:r>
        <w:rPr>
          <w:rFonts w:ascii="Times New Roman" w:cs="Times New Roman" w:eastAsia="Times New Roman" w:hAnsi="Times New Roman"/>
          <w:sz w:val="18"/>
          <w:szCs w:val="18"/>
          <w:color w:val="2B2B2B"/>
        </w:rPr>
        <w:t>C</w:t>
      </w:r>
      <w:r>
        <w:rPr>
          <w:rFonts w:ascii="Times New Roman" w:cs="Times New Roman" w:eastAsia="Times New Roman" w:hAnsi="Times New Roman"/>
          <w:sz w:val="18"/>
          <w:szCs w:val="18"/>
          <w:color w:val="auto"/>
        </w:rPr>
        <w:t xml:space="preserve"> Ordinary Share is convertible at </w:t>
      </w:r>
      <w:r>
        <w:rPr>
          <w:rFonts w:ascii="Times New Roman" w:cs="Times New Roman" w:eastAsia="Times New Roman" w:hAnsi="Times New Roman"/>
          <w:sz w:val="18"/>
          <w:szCs w:val="18"/>
          <w:color w:val="2B2B2B"/>
        </w:rPr>
        <w:t>t</w:t>
      </w:r>
      <w:r>
        <w:rPr>
          <w:rFonts w:ascii="Times New Roman" w:cs="Times New Roman" w:eastAsia="Times New Roman" w:hAnsi="Times New Roman"/>
          <w:sz w:val="18"/>
          <w:szCs w:val="18"/>
          <w:color w:val="030303"/>
        </w:rPr>
        <w:t>he</w:t>
      </w:r>
      <w:r>
        <w:rPr>
          <w:rFonts w:ascii="Times New Roman" w:cs="Times New Roman" w:eastAsia="Times New Roman" w:hAnsi="Times New Roman"/>
          <w:sz w:val="18"/>
          <w:szCs w:val="18"/>
          <w:color w:val="auto"/>
        </w:rPr>
        <w:t xml:space="preserve"> option of the holder into </w:t>
      </w:r>
      <w:r>
        <w:rPr>
          <w:rFonts w:ascii="Times New Roman" w:cs="Times New Roman" w:eastAsia="Times New Roman" w:hAnsi="Times New Roman"/>
          <w:sz w:val="18"/>
          <w:szCs w:val="18"/>
          <w:color w:val="2B2B2B"/>
        </w:rPr>
        <w:t>one Class</w:t>
      </w:r>
      <w:r>
        <w:rPr>
          <w:rFonts w:ascii="Times New Roman" w:cs="Times New Roman" w:eastAsia="Times New Roman" w:hAnsi="Times New Roman"/>
          <w:sz w:val="18"/>
          <w:szCs w:val="18"/>
          <w:color w:val="auto"/>
        </w:rPr>
        <w:t xml:space="preserve"> A Ordinary Share. The </w:t>
      </w:r>
      <w:r>
        <w:rPr>
          <w:rFonts w:ascii="Times New Roman" w:cs="Times New Roman" w:eastAsia="Times New Roman" w:hAnsi="Times New Roman"/>
          <w:sz w:val="18"/>
          <w:szCs w:val="18"/>
          <w:color w:val="2B2B2B"/>
        </w:rPr>
        <w:t>rights</w:t>
      </w:r>
      <w:r>
        <w:rPr>
          <w:rFonts w:ascii="Times New Roman" w:cs="Times New Roman" w:eastAsia="Times New Roman" w:hAnsi="Times New Roman"/>
          <w:sz w:val="18"/>
          <w:szCs w:val="18"/>
          <w:color w:val="auto"/>
        </w:rPr>
        <w:t xml:space="preserve"> of the holders of </w:t>
      </w:r>
      <w:r>
        <w:rPr>
          <w:rFonts w:ascii="Times New Roman" w:cs="Times New Roman" w:eastAsia="Times New Roman" w:hAnsi="Times New Roman"/>
          <w:sz w:val="18"/>
          <w:szCs w:val="18"/>
          <w:color w:val="2B2B2B"/>
        </w:rPr>
        <w:t>Class</w:t>
      </w:r>
      <w:r>
        <w:rPr>
          <w:rFonts w:ascii="Times New Roman" w:cs="Times New Roman" w:eastAsia="Times New Roman" w:hAnsi="Times New Roman"/>
          <w:sz w:val="18"/>
          <w:szCs w:val="18"/>
          <w:color w:val="auto"/>
        </w:rPr>
        <w:t xml:space="preserve"> A Ordinary Shares </w:t>
      </w:r>
      <w:r>
        <w:rPr>
          <w:rFonts w:ascii="Times New Roman" w:cs="Times New Roman" w:eastAsia="Times New Roman" w:hAnsi="Times New Roman"/>
          <w:sz w:val="18"/>
          <w:szCs w:val="18"/>
          <w:color w:val="2B2B2B"/>
        </w:rPr>
        <w:t>and Class C</w:t>
      </w:r>
      <w:r>
        <w:rPr>
          <w:rFonts w:ascii="Times New Roman" w:cs="Times New Roman" w:eastAsia="Times New Roman" w:hAnsi="Times New Roman"/>
          <w:sz w:val="18"/>
          <w:szCs w:val="18"/>
          <w:color w:val="auto"/>
        </w:rPr>
        <w:t xml:space="preserve"> Ordinary Shares are identical</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B2B"/>
        </w:rPr>
        <w:t xml:space="preserve">except </w:t>
      </w:r>
      <w:r>
        <w:rPr>
          <w:rFonts w:ascii="Times New Roman" w:cs="Times New Roman" w:eastAsia="Times New Roman" w:hAnsi="Times New Roman"/>
          <w:sz w:val="18"/>
          <w:szCs w:val="18"/>
          <w:color w:val="000000"/>
        </w:rPr>
        <w:t>with respect to conversion rights (noted above)</w:t>
      </w:r>
      <w:r>
        <w:rPr>
          <w:rFonts w:ascii="Times New Roman" w:cs="Times New Roman" w:eastAsia="Times New Roman" w:hAnsi="Times New Roman"/>
          <w:sz w:val="18"/>
          <w:szCs w:val="18"/>
          <w:color w:val="2B2B2B"/>
        </w:rPr>
        <w:t xml:space="preserve"> and voting </w:t>
      </w:r>
      <w:r>
        <w:rPr>
          <w:rFonts w:ascii="Times New Roman" w:cs="Times New Roman" w:eastAsia="Times New Roman" w:hAnsi="Times New Roman"/>
          <w:sz w:val="18"/>
          <w:szCs w:val="18"/>
          <w:color w:val="000000"/>
        </w:rPr>
        <w:t>rights. Each</w:t>
      </w:r>
      <w:r>
        <w:rPr>
          <w:rFonts w:ascii="Times New Roman" w:cs="Times New Roman" w:eastAsia="Times New Roman" w:hAnsi="Times New Roman"/>
          <w:sz w:val="18"/>
          <w:szCs w:val="18"/>
          <w:color w:val="2B2B2B"/>
        </w:rPr>
        <w:t xml:space="preserve"> C</w:t>
      </w:r>
      <w:r>
        <w:rPr>
          <w:rFonts w:ascii="Times New Roman" w:cs="Times New Roman" w:eastAsia="Times New Roman" w:hAnsi="Times New Roman"/>
          <w:sz w:val="18"/>
          <w:szCs w:val="18"/>
          <w:color w:val="030303"/>
        </w:rPr>
        <w:t>las</w:t>
      </w:r>
      <w:r>
        <w:rPr>
          <w:rFonts w:ascii="Times New Roman" w:cs="Times New Roman" w:eastAsia="Times New Roman" w:hAnsi="Times New Roman"/>
          <w:sz w:val="18"/>
          <w:szCs w:val="18"/>
          <w:color w:val="2B2B2B"/>
        </w:rPr>
        <w:t xml:space="preserve">s C </w:t>
      </w:r>
      <w:r>
        <w:rPr>
          <w:rFonts w:ascii="Times New Roman" w:cs="Times New Roman" w:eastAsia="Times New Roman" w:hAnsi="Times New Roman"/>
          <w:sz w:val="18"/>
          <w:szCs w:val="18"/>
          <w:color w:val="000000"/>
        </w:rPr>
        <w:t>Ordinary Share</w:t>
      </w:r>
      <w:r>
        <w:rPr>
          <w:rFonts w:ascii="Times New Roman" w:cs="Times New Roman" w:eastAsia="Times New Roman" w:hAnsi="Times New Roman"/>
          <w:sz w:val="18"/>
          <w:szCs w:val="18"/>
          <w:color w:val="2B2B2B"/>
        </w:rPr>
        <w:t xml:space="preserve"> </w:t>
      </w:r>
      <w:r>
        <w:rPr>
          <w:rFonts w:ascii="Times New Roman" w:cs="Times New Roman" w:eastAsia="Times New Roman" w:hAnsi="Times New Roman"/>
          <w:sz w:val="18"/>
          <w:szCs w:val="18"/>
          <w:color w:val="030303"/>
        </w:rPr>
        <w:t>is</w:t>
      </w:r>
      <w:r>
        <w:rPr>
          <w:rFonts w:ascii="Times New Roman" w:cs="Times New Roman" w:eastAsia="Times New Roman" w:hAnsi="Times New Roman"/>
          <w:sz w:val="18"/>
          <w:szCs w:val="18"/>
          <w:color w:val="2B2B2B"/>
        </w:rPr>
        <w:t xml:space="preserve"> </w:t>
      </w:r>
      <w:r>
        <w:rPr>
          <w:rFonts w:ascii="Times New Roman" w:cs="Times New Roman" w:eastAsia="Times New Roman" w:hAnsi="Times New Roman"/>
          <w:sz w:val="18"/>
          <w:szCs w:val="18"/>
          <w:color w:val="000000"/>
        </w:rPr>
        <w:t>entitled to eight</w:t>
      </w:r>
      <w:r>
        <w:rPr>
          <w:rFonts w:ascii="Times New Roman" w:cs="Times New Roman" w:eastAsia="Times New Roman" w:hAnsi="Times New Roman"/>
          <w:sz w:val="18"/>
          <w:szCs w:val="18"/>
          <w:color w:val="2B2B2B"/>
        </w:rPr>
        <w:t xml:space="preserve"> votes </w:t>
      </w:r>
      <w:r>
        <w:rPr>
          <w:rFonts w:ascii="Times New Roman" w:cs="Times New Roman" w:eastAsia="Times New Roman" w:hAnsi="Times New Roman"/>
          <w:sz w:val="18"/>
          <w:szCs w:val="18"/>
          <w:color w:val="000000"/>
        </w:rPr>
        <w:t>per</w:t>
      </w:r>
      <w:r>
        <w:rPr>
          <w:rFonts w:ascii="Times New Roman" w:cs="Times New Roman" w:eastAsia="Times New Roman" w:hAnsi="Times New Roman"/>
          <w:sz w:val="18"/>
          <w:szCs w:val="18"/>
          <w:color w:val="2B2B2B"/>
        </w:rPr>
        <w:t xml:space="preserve"> sha</w:t>
      </w:r>
      <w:r>
        <w:rPr>
          <w:rFonts w:ascii="Times New Roman" w:cs="Times New Roman" w:eastAsia="Times New Roman" w:hAnsi="Times New Roman"/>
          <w:sz w:val="18"/>
          <w:szCs w:val="18"/>
          <w:color w:val="030303"/>
        </w:rPr>
        <w:t>re</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2B2B2B"/>
        </w:rPr>
        <w:t xml:space="preserve"> whe</w:t>
      </w:r>
      <w:r>
        <w:rPr>
          <w:rFonts w:ascii="Times New Roman" w:cs="Times New Roman" w:eastAsia="Times New Roman" w:hAnsi="Times New Roman"/>
          <w:sz w:val="18"/>
          <w:szCs w:val="18"/>
          <w:color w:val="030303"/>
        </w:rPr>
        <w:t>rea</w:t>
      </w:r>
      <w:r>
        <w:rPr>
          <w:rFonts w:ascii="Times New Roman" w:cs="Times New Roman" w:eastAsia="Times New Roman" w:hAnsi="Times New Roman"/>
          <w:sz w:val="18"/>
          <w:szCs w:val="18"/>
          <w:color w:val="2B2B2B"/>
        </w:rPr>
        <w:t xml:space="preserve">s </w:t>
      </w:r>
      <w:r>
        <w:rPr>
          <w:rFonts w:ascii="Times New Roman" w:cs="Times New Roman" w:eastAsia="Times New Roman" w:hAnsi="Times New Roman"/>
          <w:sz w:val="18"/>
          <w:szCs w:val="18"/>
          <w:color w:val="000000"/>
        </w:rPr>
        <w:t>each</w:t>
      </w:r>
      <w:r>
        <w:rPr>
          <w:rFonts w:ascii="Times New Roman" w:cs="Times New Roman" w:eastAsia="Times New Roman" w:hAnsi="Times New Roman"/>
          <w:sz w:val="18"/>
          <w:szCs w:val="18"/>
          <w:color w:val="2B2B2B"/>
        </w:rPr>
        <w:t xml:space="preserve"> C</w:t>
      </w:r>
      <w:r>
        <w:rPr>
          <w:rFonts w:ascii="Times New Roman" w:cs="Times New Roman" w:eastAsia="Times New Roman" w:hAnsi="Times New Roman"/>
          <w:sz w:val="18"/>
          <w:szCs w:val="18"/>
          <w:color w:val="030303"/>
        </w:rPr>
        <w:t>lass</w:t>
      </w:r>
      <w:r>
        <w:rPr>
          <w:rFonts w:ascii="Times New Roman" w:cs="Times New Roman" w:eastAsia="Times New Roman" w:hAnsi="Times New Roman"/>
          <w:sz w:val="18"/>
          <w:szCs w:val="18"/>
          <w:color w:val="2B2B2B"/>
        </w:rPr>
        <w:t xml:space="preserve"> </w:t>
      </w:r>
      <w:r>
        <w:rPr>
          <w:rFonts w:ascii="Times New Roman" w:cs="Times New Roman" w:eastAsia="Times New Roman" w:hAnsi="Times New Roman"/>
          <w:sz w:val="18"/>
          <w:szCs w:val="18"/>
          <w:color w:val="000000"/>
        </w:rPr>
        <w:t>A Ordinary Share</w:t>
      </w:r>
      <w:r>
        <w:rPr>
          <w:rFonts w:ascii="Times New Roman" w:cs="Times New Roman" w:eastAsia="Times New Roman" w:hAnsi="Times New Roman"/>
          <w:sz w:val="18"/>
          <w:szCs w:val="18"/>
          <w:color w:val="2B2B2B"/>
        </w:rPr>
        <w:t xml:space="preserve"> </w:t>
      </w:r>
      <w:r>
        <w:rPr>
          <w:rFonts w:ascii="Times New Roman" w:cs="Times New Roman" w:eastAsia="Times New Roman" w:hAnsi="Times New Roman"/>
          <w:sz w:val="18"/>
          <w:szCs w:val="18"/>
          <w:color w:val="030303"/>
        </w:rPr>
        <w:t>is</w:t>
      </w:r>
      <w:r>
        <w:rPr>
          <w:rFonts w:ascii="Times New Roman" w:cs="Times New Roman" w:eastAsia="Times New Roman" w:hAnsi="Times New Roman"/>
          <w:sz w:val="18"/>
          <w:szCs w:val="18"/>
          <w:color w:val="2B2B2B"/>
        </w:rPr>
        <w:t xml:space="preserve"> </w:t>
      </w:r>
      <w:r>
        <w:rPr>
          <w:rFonts w:ascii="Times New Roman" w:cs="Times New Roman" w:eastAsia="Times New Roman" w:hAnsi="Times New Roman"/>
          <w:sz w:val="18"/>
          <w:szCs w:val="18"/>
          <w:color w:val="000000"/>
        </w:rPr>
        <w:t>entitled to one</w:t>
      </w:r>
      <w:r>
        <w:rPr>
          <w:rFonts w:ascii="Times New Roman" w:cs="Times New Roman" w:eastAsia="Times New Roman" w:hAnsi="Times New Roman"/>
          <w:sz w:val="18"/>
          <w:szCs w:val="18"/>
          <w:color w:val="2B2B2B"/>
        </w:rPr>
        <w:t xml:space="preserve"> vote </w:t>
      </w:r>
      <w:r>
        <w:rPr>
          <w:rFonts w:ascii="Times New Roman" w:cs="Times New Roman" w:eastAsia="Times New Roman" w:hAnsi="Times New Roman"/>
          <w:sz w:val="18"/>
          <w:szCs w:val="18"/>
          <w:color w:val="000000"/>
        </w:rPr>
        <w:t>per share.</w:t>
      </w:r>
    </w:p>
    <w:p>
      <w:pPr>
        <w:spacing w:after="0" w:line="9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Assumes conversion of all Class B ordinary shares and Class C ordinary shares into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48"/>
        </w:trPr>
        <w:tc>
          <w:tcPr>
            <w:tcW w:w="500" w:type="dxa"/>
            <w:vAlign w:val="bottom"/>
            <w:tcBorders>
              <w:top w:val="single" w:sz="8" w:color="auto"/>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tcBorders>
              <w:top w:val="single" w:sz="8" w:color="auto"/>
              <w:right w:val="single" w:sz="8" w:color="auto"/>
            </w:tcBorders>
          </w:tcPr>
          <w:p>
            <w:pPr>
              <w:spacing w:after="0"/>
              <w:rPr>
                <w:sz w:val="21"/>
                <w:szCs w:val="21"/>
                <w:color w:val="auto"/>
              </w:rPr>
            </w:pPr>
          </w:p>
        </w:tc>
        <w:tc>
          <w:tcPr>
            <w:tcW w:w="10420" w:type="dxa"/>
            <w:vAlign w:val="bottom"/>
            <w:tcBorders>
              <w:top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04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Originalwish Limited</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420" w:type="dxa"/>
            <w:vAlign w:val="bottom"/>
            <w:tcBorders>
              <w:bottom w:val="single" w:sz="8" w:color="auto"/>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6"/>
        </w:trPr>
        <w:tc>
          <w:tcPr>
            <w:tcW w:w="50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Borders>
              <w:right w:val="single" w:sz="8" w:color="auto"/>
            </w:tcBorders>
          </w:tcPr>
          <w:p>
            <w:pPr>
              <w:spacing w:after="0"/>
              <w:rPr>
                <w:sz w:val="24"/>
                <w:szCs w:val="24"/>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50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00" w:type="dxa"/>
            <w:vAlign w:val="bottom"/>
            <w:tcBorders>
              <w:left w:val="single" w:sz="8" w:color="auto"/>
            </w:tcBorders>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4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50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Borders>
              <w:bottom w:val="single" w:sz="8" w:color="auto"/>
            </w:tcBorders>
          </w:tcPr>
          <w:p>
            <w:pPr>
              <w:spacing w:after="0"/>
              <w:rPr>
                <w:sz w:val="22"/>
                <w:szCs w:val="22"/>
                <w:color w:val="auto"/>
              </w:rPr>
            </w:pPr>
          </w:p>
        </w:tc>
        <w:tc>
          <w:tcPr>
            <w:tcW w:w="8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90"/>
        </w:trPr>
        <w:tc>
          <w:tcPr>
            <w:tcW w:w="500" w:type="dxa"/>
            <w:vAlign w:val="bottom"/>
            <w:tcBorders>
              <w:left w:val="single" w:sz="8" w:color="auto"/>
            </w:tcBorders>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10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04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British Virgin Islands</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420" w:type="dxa"/>
            <w:vAlign w:val="bottom"/>
            <w:tcBorders>
              <w:bottom w:val="single" w:sz="8" w:color="auto"/>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w:t>
            </w:r>
          </w:p>
        </w:tc>
        <w:tc>
          <w:tcPr>
            <w:tcW w:w="8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98"/>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right w:val="single" w:sz="8" w:color="auto"/>
            </w:tcBorders>
            <w:vMerge w:val="continue"/>
          </w:tcPr>
          <w:p>
            <w:pPr>
              <w:spacing w:after="0"/>
              <w:rPr>
                <w:sz w:val="17"/>
                <w:szCs w:val="17"/>
                <w:color w:val="auto"/>
              </w:rPr>
            </w:pPr>
          </w:p>
        </w:tc>
        <w:tc>
          <w:tcPr>
            <w:tcW w:w="87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vMerge w:val="continue"/>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7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00" w:type="dxa"/>
            <w:vAlign w:val="bottom"/>
            <w:tcBorders>
              <w:left w:val="single" w:sz="8" w:color="auto"/>
            </w:tcBorders>
          </w:tcPr>
          <w:p>
            <w:pPr>
              <w:spacing w:after="0"/>
              <w:rPr>
                <w:sz w:val="16"/>
                <w:szCs w:val="16"/>
                <w:color w:val="auto"/>
              </w:rPr>
            </w:pPr>
          </w:p>
        </w:tc>
        <w:tc>
          <w:tcPr>
            <w:tcW w:w="72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50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87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vMerge w:val="continue"/>
          </w:tcPr>
          <w:p>
            <w:pPr>
              <w:spacing w:after="0"/>
              <w:rPr>
                <w:sz w:val="18"/>
                <w:szCs w:val="18"/>
                <w:color w:val="auto"/>
              </w:rPr>
            </w:pPr>
          </w:p>
        </w:tc>
        <w:tc>
          <w:tcPr>
            <w:tcW w:w="8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78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89,013,451 ordinary shares. See Item 4.</w:t>
            </w: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72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74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w:t>
            </w:r>
          </w:p>
        </w:tc>
        <w:tc>
          <w:tcPr>
            <w:tcW w:w="8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500" w:type="dxa"/>
            <w:vAlign w:val="bottom"/>
            <w:tcBorders>
              <w:left w:val="single" w:sz="8" w:color="auto"/>
            </w:tcBorders>
          </w:tcPr>
          <w:p>
            <w:pPr>
              <w:spacing w:after="0"/>
              <w:rPr>
                <w:sz w:val="2"/>
                <w:szCs w:val="2"/>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500" w:type="dxa"/>
            <w:vAlign w:val="bottom"/>
            <w:tcBorders>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8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87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89,013,451 ordinary shares. See Item 4.</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7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9</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04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89,013,451 ordinary shares. See Item 4.</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420" w:type="dxa"/>
            <w:vAlign w:val="bottom"/>
            <w:tcBorders>
              <w:bottom w:val="single" w:sz="8" w:color="auto"/>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184"/>
        </w:trPr>
        <w:tc>
          <w:tcPr>
            <w:tcW w:w="500" w:type="dxa"/>
            <w:vAlign w:val="bottom"/>
            <w:tcBorders>
              <w:left w:val="single" w:sz="8" w:color="auto"/>
            </w:tcBorders>
            <w:vMerge w:val="continue"/>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40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211"/>
        </w:trPr>
        <w:tc>
          <w:tcPr>
            <w:tcW w:w="500" w:type="dxa"/>
            <w:vAlign w:val="bottom"/>
            <w:tcBorders>
              <w:left w:val="single" w:sz="8" w:color="auto"/>
            </w:tcBorders>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04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5.7.</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See Item 4.</w:t>
            </w:r>
          </w:p>
        </w:tc>
        <w:tc>
          <w:tcPr>
            <w:tcW w:w="0" w:type="dxa"/>
            <w:vAlign w:val="bottom"/>
          </w:tcPr>
          <w:p>
            <w:pPr>
              <w:spacing w:after="0"/>
              <w:rPr>
                <w:sz w:val="1"/>
                <w:szCs w:val="1"/>
                <w:color w:val="auto"/>
              </w:rPr>
            </w:pPr>
          </w:p>
        </w:tc>
      </w:tr>
      <w:tr>
        <w:trPr>
          <w:trHeight w:val="243"/>
        </w:trPr>
        <w:tc>
          <w:tcPr>
            <w:tcW w:w="500" w:type="dxa"/>
            <w:vAlign w:val="bottom"/>
            <w:tcBorders>
              <w:left w:val="single" w:sz="8" w:color="auto"/>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0420" w:type="dxa"/>
            <w:vAlign w:val="bottom"/>
            <w:tcBorders>
              <w:bottom w:val="single" w:sz="8" w:color="auto"/>
              <w:right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CO</w:t>
            </w: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42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Assumes conversion of all Class B ordinary shares and Class C ordinary shares into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48"/>
        </w:trPr>
        <w:tc>
          <w:tcPr>
            <w:tcW w:w="500" w:type="dxa"/>
            <w:vAlign w:val="bottom"/>
            <w:tcBorders>
              <w:top w:val="single" w:sz="8" w:color="auto"/>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tcBorders>
              <w:top w:val="single" w:sz="8" w:color="auto"/>
              <w:right w:val="single" w:sz="8" w:color="auto"/>
            </w:tcBorders>
          </w:tcPr>
          <w:p>
            <w:pPr>
              <w:spacing w:after="0"/>
              <w:rPr>
                <w:sz w:val="21"/>
                <w:szCs w:val="21"/>
                <w:color w:val="auto"/>
              </w:rPr>
            </w:pPr>
          </w:p>
        </w:tc>
        <w:tc>
          <w:tcPr>
            <w:tcW w:w="10420" w:type="dxa"/>
            <w:vAlign w:val="bottom"/>
            <w:tcBorders>
              <w:top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04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mobike Global Ltd.</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420" w:type="dxa"/>
            <w:vAlign w:val="bottom"/>
            <w:tcBorders>
              <w:bottom w:val="single" w:sz="8" w:color="auto"/>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6"/>
        </w:trPr>
        <w:tc>
          <w:tcPr>
            <w:tcW w:w="50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Borders>
              <w:right w:val="single" w:sz="8" w:color="auto"/>
            </w:tcBorders>
          </w:tcPr>
          <w:p>
            <w:pPr>
              <w:spacing w:after="0"/>
              <w:rPr>
                <w:sz w:val="24"/>
                <w:szCs w:val="24"/>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50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00" w:type="dxa"/>
            <w:vAlign w:val="bottom"/>
            <w:tcBorders>
              <w:left w:val="single" w:sz="8" w:color="auto"/>
            </w:tcBorders>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4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50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Borders>
              <w:bottom w:val="single" w:sz="8" w:color="auto"/>
            </w:tcBorders>
          </w:tcPr>
          <w:p>
            <w:pPr>
              <w:spacing w:after="0"/>
              <w:rPr>
                <w:sz w:val="22"/>
                <w:szCs w:val="22"/>
                <w:color w:val="auto"/>
              </w:rPr>
            </w:pPr>
          </w:p>
        </w:tc>
        <w:tc>
          <w:tcPr>
            <w:tcW w:w="8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90"/>
        </w:trPr>
        <w:tc>
          <w:tcPr>
            <w:tcW w:w="500" w:type="dxa"/>
            <w:vAlign w:val="bottom"/>
            <w:tcBorders>
              <w:left w:val="single" w:sz="8" w:color="auto"/>
            </w:tcBorders>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10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04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British Virgin Islands</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420" w:type="dxa"/>
            <w:vAlign w:val="bottom"/>
            <w:tcBorders>
              <w:bottom w:val="single" w:sz="8" w:color="auto"/>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w:t>
            </w:r>
          </w:p>
        </w:tc>
        <w:tc>
          <w:tcPr>
            <w:tcW w:w="8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98"/>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right w:val="single" w:sz="8" w:color="auto"/>
            </w:tcBorders>
            <w:vMerge w:val="continue"/>
          </w:tcPr>
          <w:p>
            <w:pPr>
              <w:spacing w:after="0"/>
              <w:rPr>
                <w:sz w:val="17"/>
                <w:szCs w:val="17"/>
                <w:color w:val="auto"/>
              </w:rPr>
            </w:pPr>
          </w:p>
        </w:tc>
        <w:tc>
          <w:tcPr>
            <w:tcW w:w="87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vMerge w:val="continue"/>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7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00" w:type="dxa"/>
            <w:vAlign w:val="bottom"/>
            <w:tcBorders>
              <w:left w:val="single" w:sz="8" w:color="auto"/>
            </w:tcBorders>
          </w:tcPr>
          <w:p>
            <w:pPr>
              <w:spacing w:after="0"/>
              <w:rPr>
                <w:sz w:val="16"/>
                <w:szCs w:val="16"/>
                <w:color w:val="auto"/>
              </w:rPr>
            </w:pPr>
          </w:p>
        </w:tc>
        <w:tc>
          <w:tcPr>
            <w:tcW w:w="72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50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87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vMerge w:val="continue"/>
          </w:tcPr>
          <w:p>
            <w:pPr>
              <w:spacing w:after="0"/>
              <w:rPr>
                <w:sz w:val="18"/>
                <w:szCs w:val="18"/>
                <w:color w:val="auto"/>
              </w:rPr>
            </w:pPr>
          </w:p>
        </w:tc>
        <w:tc>
          <w:tcPr>
            <w:tcW w:w="8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78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26,454,325 ordinary shares. See Item 4.</w:t>
            </w: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72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74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w:t>
            </w:r>
          </w:p>
        </w:tc>
        <w:tc>
          <w:tcPr>
            <w:tcW w:w="8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500" w:type="dxa"/>
            <w:vAlign w:val="bottom"/>
            <w:tcBorders>
              <w:left w:val="single" w:sz="8" w:color="auto"/>
            </w:tcBorders>
          </w:tcPr>
          <w:p>
            <w:pPr>
              <w:spacing w:after="0"/>
              <w:rPr>
                <w:sz w:val="2"/>
                <w:szCs w:val="2"/>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500" w:type="dxa"/>
            <w:vAlign w:val="bottom"/>
            <w:tcBorders>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8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87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26,454,325 ordinary shares. See Item 4.</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7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9</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04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26,454,325 ordinary shares. See Item 4.</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420" w:type="dxa"/>
            <w:vAlign w:val="bottom"/>
            <w:tcBorders>
              <w:bottom w:val="single" w:sz="8" w:color="auto"/>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184"/>
        </w:trPr>
        <w:tc>
          <w:tcPr>
            <w:tcW w:w="500" w:type="dxa"/>
            <w:vAlign w:val="bottom"/>
            <w:tcBorders>
              <w:left w:val="single" w:sz="8" w:color="auto"/>
            </w:tcBorders>
            <w:vMerge w:val="continue"/>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40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211"/>
        </w:trPr>
        <w:tc>
          <w:tcPr>
            <w:tcW w:w="500" w:type="dxa"/>
            <w:vAlign w:val="bottom"/>
            <w:tcBorders>
              <w:left w:val="single" w:sz="8" w:color="auto"/>
            </w:tcBorders>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04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See Item 4.</w:t>
            </w:r>
          </w:p>
        </w:tc>
        <w:tc>
          <w:tcPr>
            <w:tcW w:w="0" w:type="dxa"/>
            <w:vAlign w:val="bottom"/>
          </w:tcPr>
          <w:p>
            <w:pPr>
              <w:spacing w:after="0"/>
              <w:rPr>
                <w:sz w:val="1"/>
                <w:szCs w:val="1"/>
                <w:color w:val="auto"/>
              </w:rPr>
            </w:pPr>
          </w:p>
        </w:tc>
      </w:tr>
      <w:tr>
        <w:trPr>
          <w:trHeight w:val="243"/>
        </w:trPr>
        <w:tc>
          <w:tcPr>
            <w:tcW w:w="500" w:type="dxa"/>
            <w:vAlign w:val="bottom"/>
            <w:tcBorders>
              <w:left w:val="single" w:sz="8" w:color="auto"/>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0420" w:type="dxa"/>
            <w:vAlign w:val="bottom"/>
            <w:tcBorders>
              <w:bottom w:val="single" w:sz="8" w:color="auto"/>
              <w:right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CO</w:t>
            </w: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4230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Assumes conversion of all Class B ordinary shares and Class C ordinary shares into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48"/>
        </w:trPr>
        <w:tc>
          <w:tcPr>
            <w:tcW w:w="500" w:type="dxa"/>
            <w:vAlign w:val="bottom"/>
            <w:tcBorders>
              <w:top w:val="single" w:sz="8" w:color="auto"/>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tcBorders>
              <w:top w:val="single" w:sz="8" w:color="auto"/>
              <w:right w:val="single" w:sz="8" w:color="auto"/>
            </w:tcBorders>
          </w:tcPr>
          <w:p>
            <w:pPr>
              <w:spacing w:after="0"/>
              <w:rPr>
                <w:sz w:val="21"/>
                <w:szCs w:val="21"/>
                <w:color w:val="auto"/>
              </w:rPr>
            </w:pPr>
          </w:p>
        </w:tc>
        <w:tc>
          <w:tcPr>
            <w:tcW w:w="10420" w:type="dxa"/>
            <w:vAlign w:val="bottom"/>
            <w:tcBorders>
              <w:top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04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NIO Users Limited</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420" w:type="dxa"/>
            <w:vAlign w:val="bottom"/>
            <w:tcBorders>
              <w:bottom w:val="single" w:sz="8" w:color="auto"/>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6"/>
        </w:trPr>
        <w:tc>
          <w:tcPr>
            <w:tcW w:w="50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Borders>
              <w:right w:val="single" w:sz="8" w:color="auto"/>
            </w:tcBorders>
          </w:tcPr>
          <w:p>
            <w:pPr>
              <w:spacing w:after="0"/>
              <w:rPr>
                <w:sz w:val="24"/>
                <w:szCs w:val="24"/>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50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00" w:type="dxa"/>
            <w:vAlign w:val="bottom"/>
            <w:tcBorders>
              <w:left w:val="single" w:sz="8" w:color="auto"/>
            </w:tcBorders>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4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50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Borders>
              <w:bottom w:val="single" w:sz="8" w:color="auto"/>
            </w:tcBorders>
          </w:tcPr>
          <w:p>
            <w:pPr>
              <w:spacing w:after="0"/>
              <w:rPr>
                <w:sz w:val="22"/>
                <w:szCs w:val="22"/>
                <w:color w:val="auto"/>
              </w:rPr>
            </w:pPr>
          </w:p>
        </w:tc>
        <w:tc>
          <w:tcPr>
            <w:tcW w:w="8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90"/>
        </w:trPr>
        <w:tc>
          <w:tcPr>
            <w:tcW w:w="500" w:type="dxa"/>
            <w:vAlign w:val="bottom"/>
            <w:tcBorders>
              <w:left w:val="single" w:sz="8" w:color="auto"/>
            </w:tcBorders>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10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04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British Virgin Islands</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420" w:type="dxa"/>
            <w:vAlign w:val="bottom"/>
            <w:tcBorders>
              <w:bottom w:val="single" w:sz="8" w:color="auto"/>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w:t>
            </w:r>
          </w:p>
        </w:tc>
        <w:tc>
          <w:tcPr>
            <w:tcW w:w="8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98"/>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right w:val="single" w:sz="8" w:color="auto"/>
            </w:tcBorders>
            <w:vMerge w:val="continue"/>
          </w:tcPr>
          <w:p>
            <w:pPr>
              <w:spacing w:after="0"/>
              <w:rPr>
                <w:sz w:val="17"/>
                <w:szCs w:val="17"/>
                <w:color w:val="auto"/>
              </w:rPr>
            </w:pPr>
          </w:p>
        </w:tc>
        <w:tc>
          <w:tcPr>
            <w:tcW w:w="87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vMerge w:val="continue"/>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7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00" w:type="dxa"/>
            <w:vAlign w:val="bottom"/>
            <w:tcBorders>
              <w:left w:val="single" w:sz="8" w:color="auto"/>
            </w:tcBorders>
          </w:tcPr>
          <w:p>
            <w:pPr>
              <w:spacing w:after="0"/>
              <w:rPr>
                <w:sz w:val="16"/>
                <w:szCs w:val="16"/>
                <w:color w:val="auto"/>
              </w:rPr>
            </w:pPr>
          </w:p>
        </w:tc>
        <w:tc>
          <w:tcPr>
            <w:tcW w:w="72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50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87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vMerge w:val="continue"/>
          </w:tcPr>
          <w:p>
            <w:pPr>
              <w:spacing w:after="0"/>
              <w:rPr>
                <w:sz w:val="18"/>
                <w:szCs w:val="18"/>
                <w:color w:val="auto"/>
              </w:rPr>
            </w:pPr>
          </w:p>
        </w:tc>
        <w:tc>
          <w:tcPr>
            <w:tcW w:w="8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78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50,000,000 ordinary shares. See Item 4.</w:t>
            </w: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72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74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w:t>
            </w:r>
          </w:p>
        </w:tc>
        <w:tc>
          <w:tcPr>
            <w:tcW w:w="8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500" w:type="dxa"/>
            <w:vAlign w:val="bottom"/>
            <w:tcBorders>
              <w:left w:val="single" w:sz="8" w:color="auto"/>
            </w:tcBorders>
          </w:tcPr>
          <w:p>
            <w:pPr>
              <w:spacing w:after="0"/>
              <w:rPr>
                <w:sz w:val="2"/>
                <w:szCs w:val="2"/>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500" w:type="dxa"/>
            <w:vAlign w:val="bottom"/>
            <w:tcBorders>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8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87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50,000,000 ordinary shares. See Item 4.</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7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9</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04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50,000,000 ordinary shares. See Item 4.</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420" w:type="dxa"/>
            <w:vAlign w:val="bottom"/>
            <w:tcBorders>
              <w:bottom w:val="single" w:sz="8" w:color="auto"/>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184"/>
        </w:trPr>
        <w:tc>
          <w:tcPr>
            <w:tcW w:w="500" w:type="dxa"/>
            <w:vAlign w:val="bottom"/>
            <w:tcBorders>
              <w:left w:val="single" w:sz="8" w:color="auto"/>
            </w:tcBorders>
            <w:vMerge w:val="continue"/>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40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211"/>
        </w:trPr>
        <w:tc>
          <w:tcPr>
            <w:tcW w:w="500" w:type="dxa"/>
            <w:vAlign w:val="bottom"/>
            <w:tcBorders>
              <w:left w:val="single" w:sz="8" w:color="auto"/>
            </w:tcBorders>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04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See Item 4.</w:t>
            </w:r>
          </w:p>
        </w:tc>
        <w:tc>
          <w:tcPr>
            <w:tcW w:w="0" w:type="dxa"/>
            <w:vAlign w:val="bottom"/>
          </w:tcPr>
          <w:p>
            <w:pPr>
              <w:spacing w:after="0"/>
              <w:rPr>
                <w:sz w:val="1"/>
                <w:szCs w:val="1"/>
                <w:color w:val="auto"/>
              </w:rPr>
            </w:pPr>
          </w:p>
        </w:tc>
      </w:tr>
      <w:tr>
        <w:trPr>
          <w:trHeight w:val="243"/>
        </w:trPr>
        <w:tc>
          <w:tcPr>
            <w:tcW w:w="500" w:type="dxa"/>
            <w:vAlign w:val="bottom"/>
            <w:tcBorders>
              <w:left w:val="single" w:sz="8" w:color="auto"/>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0420" w:type="dxa"/>
            <w:vAlign w:val="bottom"/>
            <w:tcBorders>
              <w:bottom w:val="single" w:sz="8" w:color="auto"/>
              <w:right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CO</w:t>
            </w: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4230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Assumes conversion of all Class B ordinary shares and Class C ordinary shares into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48"/>
        </w:trPr>
        <w:tc>
          <w:tcPr>
            <w:tcW w:w="500" w:type="dxa"/>
            <w:vAlign w:val="bottom"/>
            <w:tcBorders>
              <w:top w:val="single" w:sz="8" w:color="auto"/>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tcBorders>
              <w:top w:val="single" w:sz="8" w:color="auto"/>
              <w:right w:val="single" w:sz="8" w:color="auto"/>
            </w:tcBorders>
          </w:tcPr>
          <w:p>
            <w:pPr>
              <w:spacing w:after="0"/>
              <w:rPr>
                <w:sz w:val="21"/>
                <w:szCs w:val="21"/>
                <w:color w:val="auto"/>
              </w:rPr>
            </w:pPr>
          </w:p>
        </w:tc>
        <w:tc>
          <w:tcPr>
            <w:tcW w:w="10420" w:type="dxa"/>
            <w:vAlign w:val="bottom"/>
            <w:tcBorders>
              <w:top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04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NIO Users Trust</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420" w:type="dxa"/>
            <w:vAlign w:val="bottom"/>
            <w:tcBorders>
              <w:bottom w:val="single" w:sz="8" w:color="auto"/>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6"/>
        </w:trPr>
        <w:tc>
          <w:tcPr>
            <w:tcW w:w="50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Borders>
              <w:right w:val="single" w:sz="8" w:color="auto"/>
            </w:tcBorders>
          </w:tcPr>
          <w:p>
            <w:pPr>
              <w:spacing w:after="0"/>
              <w:rPr>
                <w:sz w:val="24"/>
                <w:szCs w:val="24"/>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50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00" w:type="dxa"/>
            <w:vAlign w:val="bottom"/>
            <w:tcBorders>
              <w:left w:val="single" w:sz="8" w:color="auto"/>
            </w:tcBorders>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4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50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Borders>
              <w:bottom w:val="single" w:sz="8" w:color="auto"/>
            </w:tcBorders>
          </w:tcPr>
          <w:p>
            <w:pPr>
              <w:spacing w:after="0"/>
              <w:rPr>
                <w:sz w:val="22"/>
                <w:szCs w:val="22"/>
                <w:color w:val="auto"/>
              </w:rPr>
            </w:pPr>
          </w:p>
        </w:tc>
        <w:tc>
          <w:tcPr>
            <w:tcW w:w="8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90"/>
        </w:trPr>
        <w:tc>
          <w:tcPr>
            <w:tcW w:w="500" w:type="dxa"/>
            <w:vAlign w:val="bottom"/>
            <w:tcBorders>
              <w:left w:val="single" w:sz="8" w:color="auto"/>
            </w:tcBorders>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10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04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Cayman Islands</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420" w:type="dxa"/>
            <w:vAlign w:val="bottom"/>
            <w:tcBorders>
              <w:bottom w:val="single" w:sz="8" w:color="auto"/>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w:t>
            </w:r>
          </w:p>
        </w:tc>
        <w:tc>
          <w:tcPr>
            <w:tcW w:w="8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98"/>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right w:val="single" w:sz="8" w:color="auto"/>
            </w:tcBorders>
            <w:vMerge w:val="continue"/>
          </w:tcPr>
          <w:p>
            <w:pPr>
              <w:spacing w:after="0"/>
              <w:rPr>
                <w:sz w:val="17"/>
                <w:szCs w:val="17"/>
                <w:color w:val="auto"/>
              </w:rPr>
            </w:pPr>
          </w:p>
        </w:tc>
        <w:tc>
          <w:tcPr>
            <w:tcW w:w="87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vMerge w:val="continue"/>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7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00" w:type="dxa"/>
            <w:vAlign w:val="bottom"/>
            <w:tcBorders>
              <w:left w:val="single" w:sz="8" w:color="auto"/>
            </w:tcBorders>
          </w:tcPr>
          <w:p>
            <w:pPr>
              <w:spacing w:after="0"/>
              <w:rPr>
                <w:sz w:val="16"/>
                <w:szCs w:val="16"/>
                <w:color w:val="auto"/>
              </w:rPr>
            </w:pPr>
          </w:p>
        </w:tc>
        <w:tc>
          <w:tcPr>
            <w:tcW w:w="72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50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87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vMerge w:val="continue"/>
          </w:tcPr>
          <w:p>
            <w:pPr>
              <w:spacing w:after="0"/>
              <w:rPr>
                <w:sz w:val="18"/>
                <w:szCs w:val="18"/>
                <w:color w:val="auto"/>
              </w:rPr>
            </w:pPr>
          </w:p>
        </w:tc>
        <w:tc>
          <w:tcPr>
            <w:tcW w:w="8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78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50,000,000 ordinary shares. See Item 4.</w:t>
            </w: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72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74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w:t>
            </w:r>
          </w:p>
        </w:tc>
        <w:tc>
          <w:tcPr>
            <w:tcW w:w="8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500" w:type="dxa"/>
            <w:vAlign w:val="bottom"/>
            <w:tcBorders>
              <w:left w:val="single" w:sz="8" w:color="auto"/>
            </w:tcBorders>
          </w:tcPr>
          <w:p>
            <w:pPr>
              <w:spacing w:after="0"/>
              <w:rPr>
                <w:sz w:val="2"/>
                <w:szCs w:val="2"/>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500" w:type="dxa"/>
            <w:vAlign w:val="bottom"/>
            <w:tcBorders>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8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87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50,000,000 ordinary shares. See Item 4.</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7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9</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04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50,000,000 ordinary shares. See Item 4.</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420" w:type="dxa"/>
            <w:vAlign w:val="bottom"/>
            <w:tcBorders>
              <w:bottom w:val="single" w:sz="8" w:color="auto"/>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184"/>
        </w:trPr>
        <w:tc>
          <w:tcPr>
            <w:tcW w:w="500" w:type="dxa"/>
            <w:vAlign w:val="bottom"/>
            <w:tcBorders>
              <w:left w:val="single" w:sz="8" w:color="auto"/>
            </w:tcBorders>
            <w:vMerge w:val="continue"/>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40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211"/>
        </w:trPr>
        <w:tc>
          <w:tcPr>
            <w:tcW w:w="500" w:type="dxa"/>
            <w:vAlign w:val="bottom"/>
            <w:tcBorders>
              <w:left w:val="single" w:sz="8" w:color="auto"/>
            </w:tcBorders>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042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See Item 4.</w:t>
            </w:r>
          </w:p>
        </w:tc>
        <w:tc>
          <w:tcPr>
            <w:tcW w:w="0" w:type="dxa"/>
            <w:vAlign w:val="bottom"/>
          </w:tcPr>
          <w:p>
            <w:pPr>
              <w:spacing w:after="0"/>
              <w:rPr>
                <w:sz w:val="1"/>
                <w:szCs w:val="1"/>
                <w:color w:val="auto"/>
              </w:rPr>
            </w:pPr>
          </w:p>
        </w:tc>
      </w:tr>
      <w:tr>
        <w:trPr>
          <w:trHeight w:val="243"/>
        </w:trPr>
        <w:tc>
          <w:tcPr>
            <w:tcW w:w="500" w:type="dxa"/>
            <w:vAlign w:val="bottom"/>
            <w:tcBorders>
              <w:left w:val="single" w:sz="8" w:color="auto"/>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0420" w:type="dxa"/>
            <w:vAlign w:val="bottom"/>
            <w:tcBorders>
              <w:bottom w:val="single" w:sz="8" w:color="auto"/>
              <w:right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320" w:type="dxa"/>
            <w:vAlign w:val="bottom"/>
            <w:tcBorders>
              <w:right w:val="single" w:sz="8" w:color="auto"/>
            </w:tcBorders>
          </w:tcPr>
          <w:p>
            <w:pPr>
              <w:spacing w:after="0"/>
              <w:rPr>
                <w:sz w:val="19"/>
                <w:szCs w:val="19"/>
                <w:color w:val="auto"/>
              </w:rPr>
            </w:pPr>
          </w:p>
        </w:tc>
        <w:tc>
          <w:tcPr>
            <w:tcW w:w="10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198"/>
        </w:trPr>
        <w:tc>
          <w:tcPr>
            <w:tcW w:w="500" w:type="dxa"/>
            <w:vAlign w:val="bottom"/>
            <w:tcBorders>
              <w:lef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CO</w:t>
            </w: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4230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Assumes conversion of all Class B ordinary shares and Class C ordinary shares into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u w:val="single" w:color="auto"/>
          <w:color w:val="auto"/>
        </w:rPr>
        <w:t>NAME OF ISSUER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NIO Inc.</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1(b).</w:t>
      </w:r>
      <w:r>
        <w:rPr>
          <w:sz w:val="20"/>
          <w:szCs w:val="20"/>
          <w:color w:val="auto"/>
        </w:rPr>
        <w:tab/>
      </w:r>
      <w:r>
        <w:rPr>
          <w:rFonts w:ascii="Times New Roman" w:cs="Times New Roman" w:eastAsia="Times New Roman" w:hAnsi="Times New Roman"/>
          <w:sz w:val="17"/>
          <w:szCs w:val="17"/>
          <w:u w:val="single" w:color="auto"/>
          <w:color w:val="auto"/>
        </w:rPr>
        <w:t>ADDRESS OF ISSUER’S PRINCIPAL EXECUTIVE OFFICES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Building 20, No. 56 AnTuo Road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Jiading District, Shanghai, 201804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2(a).</w:t>
      </w:r>
      <w:r>
        <w:rPr>
          <w:sz w:val="20"/>
          <w:szCs w:val="20"/>
          <w:color w:val="auto"/>
        </w:rPr>
        <w:tab/>
      </w:r>
      <w:r>
        <w:rPr>
          <w:rFonts w:ascii="Times New Roman" w:cs="Times New Roman" w:eastAsia="Times New Roman" w:hAnsi="Times New Roman"/>
          <w:sz w:val="17"/>
          <w:szCs w:val="17"/>
          <w:u w:val="single" w:color="auto"/>
          <w:color w:val="auto"/>
        </w:rPr>
        <w:t>NAME OF PERSON FILING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Bin Li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Originalwish Limited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mobike Global Ltd.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NIO Users Limited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NIO Users Trust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2(b).</w:t>
      </w:r>
      <w:r>
        <w:rPr>
          <w:sz w:val="20"/>
          <w:szCs w:val="20"/>
          <w:color w:val="auto"/>
        </w:rPr>
        <w:tab/>
      </w:r>
      <w:r>
        <w:rPr>
          <w:rFonts w:ascii="Times New Roman" w:cs="Times New Roman" w:eastAsia="Times New Roman" w:hAnsi="Times New Roman"/>
          <w:sz w:val="17"/>
          <w:szCs w:val="17"/>
          <w:u w:val="single" w:color="auto"/>
          <w:color w:val="auto"/>
        </w:rPr>
        <w:t>ADDRESS OF PRINCIPAL BUSINESS OFFICE, OR, IF NONE, RESIDENCE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Bin Li</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Building 20, No. 56 AnTuo Road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Jiading District, Shanghai, 201804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Originalwish Limited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Sertus Chambers, P.O. Box 905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Quastisky Building, Road Town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Tortola, British Virgin Islands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mobike Global Ltd.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Sertus Chambers, P.O. Box 905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Quastisky Building, Road Town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Tortola, British Virgin Islands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NIO Users Limited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PO Box 173, Road Town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Tortola, British Virgin Islands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NIO Users Trust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Boundary Hall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Cricket Square, George Town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Grand Cayman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7" w:name="page8"/>
    <w:bookmarkEnd w:id="7"/>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2(c).</w:t>
      </w:r>
      <w:r>
        <w:rPr>
          <w:sz w:val="20"/>
          <w:szCs w:val="20"/>
          <w:color w:val="auto"/>
        </w:rPr>
        <w:tab/>
      </w: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Bin Li – People’s Republic of China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Originalwish Limited – British Virgin Islands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mobike Global Ltd. – British Virgin Islands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NIO Users Limited – British Virgin Islands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NIO Users Trust – Cayman Islands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2(d).</w:t>
      </w:r>
      <w:r>
        <w:rPr>
          <w:sz w:val="20"/>
          <w:szCs w:val="20"/>
          <w:color w:val="auto"/>
        </w:rPr>
        <w:tab/>
      </w:r>
      <w:r>
        <w:rPr>
          <w:rFonts w:ascii="Times New Roman" w:cs="Times New Roman" w:eastAsia="Times New Roman" w:hAnsi="Times New Roman"/>
          <w:sz w:val="18"/>
          <w:szCs w:val="18"/>
          <w:u w:val="single" w:color="auto"/>
          <w:color w:val="auto"/>
        </w:rPr>
        <w:t>TITLE OF CLASS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spacing w:after="0" w:line="289" w:lineRule="auto"/>
        <w:rPr>
          <w:sz w:val="20"/>
          <w:szCs w:val="20"/>
          <w:color w:val="auto"/>
        </w:rPr>
      </w:pPr>
      <w:r>
        <w:rPr>
          <w:rFonts w:ascii="Times New Roman" w:cs="Times New Roman" w:eastAsia="Times New Roman" w:hAnsi="Times New Roman"/>
          <w:sz w:val="17"/>
          <w:szCs w:val="17"/>
          <w:color w:val="auto"/>
        </w:rPr>
        <w:t>Class A ordinary shares, par value of $0.00025 per share (the “Class A Ordinary Shares”). Each Class C ordinary share, par value of $0.00025 per share (the “Class C Ordinary Shares”), held by the reporting persons is convertible into one Class A Ordinary Share at the option of the holders at any time. Each Class C Ordinary Share is entitled to eight votes per share, whereas each Class A Ordinary Share is entitled to one vote per share.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2(e).</w:t>
      </w:r>
      <w:r>
        <w:rPr>
          <w:sz w:val="20"/>
          <w:szCs w:val="20"/>
          <w:color w:val="auto"/>
        </w:rPr>
        <w:tab/>
      </w:r>
      <w:r>
        <w:rPr>
          <w:rFonts w:ascii="Times New Roman" w:cs="Times New Roman" w:eastAsia="Times New Roman" w:hAnsi="Times New Roman"/>
          <w:sz w:val="18"/>
          <w:szCs w:val="18"/>
          <w:u w:val="single" w:color="auto"/>
          <w:color w:val="auto"/>
        </w:rPr>
        <w:t>CUSIP NO.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G6525F 102</w:t>
      </w:r>
    </w:p>
    <w:p>
      <w:pPr>
        <w:spacing w:after="0" w:line="225" w:lineRule="exact"/>
        <w:rPr>
          <w:sz w:val="20"/>
          <w:szCs w:val="20"/>
          <w:color w:val="auto"/>
        </w:rPr>
      </w:pPr>
    </w:p>
    <w:p>
      <w:pPr>
        <w:ind w:left="1300" w:right="22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u w:val="single" w:color="auto"/>
          <w:color w:val="auto"/>
        </w:rPr>
        <w:t>IF THIS STATEMENT IS FILED PURSUANT TO §§ 240.13d-1(b), OR 240.13d-2(b) OR (c), CHECK WHETHER THE PERSONS FILING IS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 w:name="page9"/>
    <w:bookmarkEnd w:id="8"/>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u w:val="single" w:color="auto"/>
          <w:color w:val="auto"/>
        </w:rPr>
        <w:t>OWNERSHIP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information with respect to the ownership of the Class A Ordinary Shares by each of the reporting persons is provided as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Sole power to</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Shared power</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Sole power to</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Shared power</w:t>
            </w:r>
          </w:p>
        </w:tc>
        <w:tc>
          <w:tcPr>
            <w:tcW w:w="28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dispose or to</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to dispose or to</w:t>
            </w:r>
          </w:p>
        </w:tc>
        <w:tc>
          <w:tcPr>
            <w:tcW w:w="0" w:type="dxa"/>
            <w:vAlign w:val="bottom"/>
          </w:tcPr>
          <w:p>
            <w:pPr>
              <w:spacing w:after="0"/>
              <w:rPr>
                <w:sz w:val="1"/>
                <w:szCs w:val="1"/>
                <w:color w:val="auto"/>
              </w:rPr>
            </w:pPr>
          </w:p>
        </w:tc>
      </w:tr>
      <w:tr>
        <w:trPr>
          <w:trHeight w:val="184"/>
        </w:trPr>
        <w:tc>
          <w:tcPr>
            <w:tcW w:w="2500" w:type="dxa"/>
            <w:vAlign w:val="bottom"/>
            <w:gridSpan w:val="2"/>
          </w:tcPr>
          <w:p>
            <w:pPr>
              <w:ind w:left="800"/>
              <w:spacing w:after="0" w:line="184" w:lineRule="exact"/>
              <w:rPr>
                <w:sz w:val="20"/>
                <w:szCs w:val="20"/>
                <w:color w:val="auto"/>
              </w:rPr>
            </w:pPr>
            <w:r>
              <w:rPr>
                <w:rFonts w:ascii="Times New Roman" w:cs="Times New Roman" w:eastAsia="Times New Roman" w:hAnsi="Times New Roman"/>
                <w:sz w:val="18"/>
                <w:szCs w:val="18"/>
                <w:b w:val="1"/>
                <w:bCs w:val="1"/>
                <w:color w:val="auto"/>
              </w:rPr>
              <w:t>Reporting</w:t>
            </w:r>
          </w:p>
        </w:tc>
        <w:tc>
          <w:tcPr>
            <w:tcW w:w="150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80" w:type="dxa"/>
            <w:vAlign w:val="bottom"/>
            <w:gridSpan w:val="2"/>
            <w:vMerge w:val="continue"/>
          </w:tcPr>
          <w:p>
            <w:pPr>
              <w:spacing w:after="0"/>
              <w:rPr>
                <w:sz w:val="16"/>
                <w:szCs w:val="16"/>
                <w:color w:val="auto"/>
              </w:rPr>
            </w:pPr>
          </w:p>
        </w:tc>
        <w:tc>
          <w:tcPr>
            <w:tcW w:w="142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vote or direct</w:t>
            </w:r>
          </w:p>
        </w:tc>
        <w:tc>
          <w:tcPr>
            <w:tcW w:w="1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to vote or to</w:t>
            </w:r>
          </w:p>
        </w:tc>
        <w:tc>
          <w:tcPr>
            <w:tcW w:w="280" w:type="dxa"/>
            <w:vAlign w:val="bottom"/>
          </w:tcPr>
          <w:p>
            <w:pPr>
              <w:spacing w:after="0"/>
              <w:rPr>
                <w:sz w:val="16"/>
                <w:szCs w:val="16"/>
                <w:color w:val="auto"/>
              </w:rPr>
            </w:pPr>
          </w:p>
        </w:tc>
        <w:tc>
          <w:tcPr>
            <w:tcW w:w="144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direct the</w:t>
            </w:r>
          </w:p>
        </w:tc>
        <w:tc>
          <w:tcPr>
            <w:tcW w:w="1400" w:type="dxa"/>
            <w:vAlign w:val="bottom"/>
            <w:gridSpan w:val="2"/>
          </w:tcPr>
          <w:p>
            <w:pPr>
              <w:jc w:val="center"/>
              <w:ind w:right="180"/>
              <w:spacing w:after="0" w:line="184" w:lineRule="exact"/>
              <w:rPr>
                <w:sz w:val="20"/>
                <w:szCs w:val="20"/>
                <w:color w:val="auto"/>
              </w:rPr>
            </w:pPr>
            <w:r>
              <w:rPr>
                <w:rFonts w:ascii="Times New Roman" w:cs="Times New Roman" w:eastAsia="Times New Roman" w:hAnsi="Times New Roman"/>
                <w:sz w:val="18"/>
                <w:szCs w:val="18"/>
                <w:b w:val="1"/>
                <w:bCs w:val="1"/>
                <w:color w:val="auto"/>
              </w:rPr>
              <w:t>direct the</w:t>
            </w:r>
          </w:p>
        </w:tc>
        <w:tc>
          <w:tcPr>
            <w:tcW w:w="0" w:type="dxa"/>
            <w:vAlign w:val="bottom"/>
          </w:tcPr>
          <w:p>
            <w:pPr>
              <w:spacing w:after="0"/>
              <w:rPr>
                <w:sz w:val="1"/>
                <w:szCs w:val="1"/>
                <w:color w:val="auto"/>
              </w:rPr>
            </w:pPr>
          </w:p>
        </w:tc>
      </w:tr>
      <w:tr>
        <w:trPr>
          <w:trHeight w:val="270"/>
        </w:trPr>
        <w:tc>
          <w:tcPr>
            <w:tcW w:w="25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480" w:type="dxa"/>
            <w:vAlign w:val="bottom"/>
            <w:gridSpan w:val="2"/>
          </w:tcPr>
          <w:p>
            <w:pPr>
              <w:jc w:val="right"/>
              <w:ind w:right="46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of class: </w:t>
            </w:r>
            <w:r>
              <w:rPr>
                <w:rFonts w:ascii="Times New Roman" w:cs="Times New Roman" w:eastAsia="Times New Roman" w:hAnsi="Times New Roman"/>
                <w:sz w:val="29"/>
                <w:szCs w:val="29"/>
                <w:b w:val="1"/>
                <w:bCs w:val="1"/>
                <w:color w:val="auto"/>
                <w:vertAlign w:val="superscript"/>
              </w:rPr>
              <w:t>(1)</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vote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 the vote:</w:t>
            </w:r>
          </w:p>
        </w:tc>
        <w:tc>
          <w:tcPr>
            <w:tcW w:w="280" w:type="dxa"/>
            <w:vAlign w:val="bottom"/>
          </w:tcPr>
          <w:p>
            <w:pPr>
              <w:spacing w:after="0"/>
              <w:rPr>
                <w:sz w:val="23"/>
                <w:szCs w:val="23"/>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disposition of:</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disposition of:</w:t>
            </w:r>
          </w:p>
        </w:tc>
        <w:tc>
          <w:tcPr>
            <w:tcW w:w="0" w:type="dxa"/>
            <w:vAlign w:val="bottom"/>
          </w:tcPr>
          <w:p>
            <w:pPr>
              <w:spacing w:after="0"/>
              <w:rPr>
                <w:sz w:val="1"/>
                <w:szCs w:val="1"/>
                <w:color w:val="auto"/>
              </w:rPr>
            </w:pPr>
          </w:p>
        </w:tc>
      </w:tr>
      <w:tr>
        <w:trPr>
          <w:trHeight w:val="28"/>
        </w:trPr>
        <w:tc>
          <w:tcPr>
            <w:tcW w:w="2380" w:type="dxa"/>
            <w:vAlign w:val="bottom"/>
            <w:shd w:val="clear" w:color="auto" w:fill="000000"/>
          </w:tcPr>
          <w:p>
            <w:pPr>
              <w:ind w:left="100"/>
              <w:spacing w:after="0" w:line="29" w:lineRule="exact"/>
              <w:rPr>
                <w:sz w:val="20"/>
                <w:szCs w:val="20"/>
                <w:color w:val="auto"/>
              </w:rPr>
            </w:pPr>
            <w:r>
              <w:rPr>
                <w:rFonts w:ascii="Times New Roman" w:cs="Times New Roman" w:eastAsia="Times New Roman" w:hAnsi="Times New Roman"/>
                <w:sz w:val="3"/>
                <w:szCs w:val="3"/>
                <w:color w:val="auto"/>
              </w:rPr>
              <w:t>Bin Li</w:t>
            </w:r>
          </w:p>
        </w:tc>
        <w:tc>
          <w:tcPr>
            <w:tcW w:w="120" w:type="dxa"/>
            <w:vAlign w:val="bottom"/>
            <w:shd w:val="clear" w:color="auto" w:fill="CCEEFF"/>
          </w:tcPr>
          <w:p>
            <w:pPr>
              <w:spacing w:after="0"/>
              <w:rPr>
                <w:sz w:val="2"/>
                <w:szCs w:val="2"/>
                <w:color w:val="auto"/>
              </w:rPr>
            </w:pPr>
          </w:p>
        </w:tc>
        <w:tc>
          <w:tcPr>
            <w:tcW w:w="1220" w:type="dxa"/>
            <w:vAlign w:val="bottom"/>
            <w:shd w:val="clear" w:color="auto" w:fill="000000"/>
          </w:tcPr>
          <w:p>
            <w:pPr>
              <w:jc w:val="right"/>
              <w:spacing w:after="0" w:line="29" w:lineRule="exact"/>
              <w:rPr>
                <w:sz w:val="20"/>
                <w:szCs w:val="20"/>
                <w:color w:val="auto"/>
              </w:rPr>
            </w:pPr>
            <w:r>
              <w:rPr>
                <w:rFonts w:ascii="Times New Roman" w:cs="Times New Roman" w:eastAsia="Times New Roman" w:hAnsi="Times New Roman"/>
                <w:sz w:val="3"/>
                <w:szCs w:val="3"/>
                <w:color w:val="auto"/>
              </w:rPr>
              <w:t>174,467,776</w:t>
            </w:r>
          </w:p>
        </w:tc>
        <w:tc>
          <w:tcPr>
            <w:tcW w:w="280" w:type="dxa"/>
            <w:vAlign w:val="bottom"/>
            <w:shd w:val="clear" w:color="auto" w:fill="CCEEFF"/>
          </w:tcPr>
          <w:p>
            <w:pPr>
              <w:spacing w:after="0"/>
              <w:rPr>
                <w:sz w:val="2"/>
                <w:szCs w:val="2"/>
                <w:color w:val="auto"/>
              </w:rPr>
            </w:pPr>
          </w:p>
        </w:tc>
        <w:tc>
          <w:tcPr>
            <w:tcW w:w="1480" w:type="dxa"/>
            <w:vAlign w:val="bottom"/>
            <w:gridSpan w:val="2"/>
            <w:shd w:val="clear" w:color="auto" w:fill="000000"/>
          </w:tcPr>
          <w:p>
            <w:pPr>
              <w:jc w:val="right"/>
              <w:ind w:right="120"/>
              <w:spacing w:after="0" w:line="29" w:lineRule="exact"/>
              <w:rPr>
                <w:sz w:val="20"/>
                <w:szCs w:val="20"/>
                <w:color w:val="auto"/>
              </w:rPr>
            </w:pPr>
            <w:r>
              <w:rPr>
                <w:rFonts w:ascii="Times New Roman" w:cs="Times New Roman" w:eastAsia="Times New Roman" w:hAnsi="Times New Roman"/>
                <w:sz w:val="3"/>
                <w:szCs w:val="3"/>
                <w:color w:val="auto"/>
              </w:rPr>
              <w:t>11.1%</w:t>
            </w:r>
          </w:p>
        </w:tc>
        <w:tc>
          <w:tcPr>
            <w:tcW w:w="1200" w:type="dxa"/>
            <w:vAlign w:val="bottom"/>
            <w:shd w:val="clear" w:color="auto" w:fill="000000"/>
          </w:tcPr>
          <w:p>
            <w:pPr>
              <w:jc w:val="right"/>
              <w:spacing w:after="0" w:line="29" w:lineRule="exact"/>
              <w:rPr>
                <w:sz w:val="20"/>
                <w:szCs w:val="20"/>
                <w:color w:val="auto"/>
              </w:rPr>
            </w:pPr>
            <w:r>
              <w:rPr>
                <w:rFonts w:ascii="Times New Roman" w:cs="Times New Roman" w:eastAsia="Times New Roman" w:hAnsi="Times New Roman"/>
                <w:sz w:val="3"/>
                <w:szCs w:val="3"/>
                <w:color w:val="auto"/>
              </w:rPr>
              <w:t>0</w:t>
            </w:r>
          </w:p>
        </w:tc>
        <w:tc>
          <w:tcPr>
            <w:tcW w:w="220" w:type="dxa"/>
            <w:vAlign w:val="bottom"/>
            <w:shd w:val="clear" w:color="auto" w:fill="CCEEFF"/>
          </w:tcPr>
          <w:p>
            <w:pPr>
              <w:spacing w:after="0"/>
              <w:rPr>
                <w:sz w:val="2"/>
                <w:szCs w:val="2"/>
                <w:color w:val="auto"/>
              </w:rPr>
            </w:pPr>
          </w:p>
        </w:tc>
        <w:tc>
          <w:tcPr>
            <w:tcW w:w="1220" w:type="dxa"/>
            <w:vAlign w:val="bottom"/>
            <w:shd w:val="clear" w:color="auto" w:fill="000000"/>
          </w:tcPr>
          <w:p>
            <w:pPr>
              <w:jc w:val="right"/>
              <w:spacing w:after="0" w:line="29" w:lineRule="exact"/>
              <w:rPr>
                <w:sz w:val="20"/>
                <w:szCs w:val="20"/>
                <w:color w:val="auto"/>
              </w:rPr>
            </w:pPr>
            <w:r>
              <w:rPr>
                <w:rFonts w:ascii="Times New Roman" w:cs="Times New Roman" w:eastAsia="Times New Roman" w:hAnsi="Times New Roman"/>
                <w:sz w:val="3"/>
                <w:szCs w:val="3"/>
                <w:color w:val="auto"/>
              </w:rPr>
              <w:t>174,467,776</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1220" w:type="dxa"/>
            <w:vAlign w:val="bottom"/>
            <w:shd w:val="clear" w:color="auto" w:fill="000000"/>
          </w:tcPr>
          <w:p>
            <w:pPr>
              <w:jc w:val="right"/>
              <w:spacing w:after="0" w:line="29" w:lineRule="exact"/>
              <w:rPr>
                <w:sz w:val="20"/>
                <w:szCs w:val="20"/>
                <w:color w:val="auto"/>
              </w:rPr>
            </w:pPr>
            <w:r>
              <w:rPr>
                <w:rFonts w:ascii="Times New Roman" w:cs="Times New Roman" w:eastAsia="Times New Roman" w:hAnsi="Times New Roman"/>
                <w:sz w:val="3"/>
                <w:szCs w:val="3"/>
                <w:color w:val="auto"/>
              </w:rPr>
              <w:t>0</w:t>
            </w:r>
          </w:p>
        </w:tc>
        <w:tc>
          <w:tcPr>
            <w:tcW w:w="220" w:type="dxa"/>
            <w:vAlign w:val="bottom"/>
            <w:shd w:val="clear" w:color="auto" w:fill="CCEEFF"/>
          </w:tcPr>
          <w:p>
            <w:pPr>
              <w:spacing w:after="0"/>
              <w:rPr>
                <w:sz w:val="2"/>
                <w:szCs w:val="2"/>
                <w:color w:val="auto"/>
              </w:rPr>
            </w:pPr>
          </w:p>
        </w:tc>
        <w:tc>
          <w:tcPr>
            <w:tcW w:w="1220" w:type="dxa"/>
            <w:vAlign w:val="bottom"/>
            <w:shd w:val="clear" w:color="auto" w:fill="000000"/>
          </w:tcPr>
          <w:p>
            <w:pPr>
              <w:jc w:val="right"/>
              <w:spacing w:after="0" w:line="29" w:lineRule="exact"/>
              <w:rPr>
                <w:sz w:val="20"/>
                <w:szCs w:val="20"/>
                <w:color w:val="auto"/>
              </w:rPr>
            </w:pPr>
            <w:r>
              <w:rPr>
                <w:rFonts w:ascii="Times New Roman" w:cs="Times New Roman" w:eastAsia="Times New Roman" w:hAnsi="Times New Roman"/>
                <w:sz w:val="3"/>
                <w:szCs w:val="3"/>
                <w:color w:val="auto"/>
              </w:rPr>
              <w:t>174,467,776</w:t>
            </w: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w:t>
            </w: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5"/>
        </w:trPr>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
                <w:szCs w:val="1"/>
                <w:color w:val="auto"/>
              </w:rPr>
              <w:t>Originalwish Limited</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
                <w:szCs w:val="1"/>
                <w:color w:val="auto"/>
              </w:rPr>
              <w:t>89,013,451</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
                <w:szCs w:val="1"/>
                <w:color w:val="auto"/>
              </w:rPr>
              <w:t>5.7%</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
                <w:szCs w:val="1"/>
                <w:color w:val="auto"/>
              </w:rPr>
              <w:t>0</w:t>
            </w:r>
          </w:p>
        </w:tc>
        <w:tc>
          <w:tcPr>
            <w:tcW w:w="1220" w:type="dxa"/>
            <w:vAlign w:val="bottom"/>
          </w:tcPr>
          <w:p>
            <w:pPr>
              <w:jc w:val="right"/>
              <w:spacing w:after="0"/>
              <w:rPr>
                <w:sz w:val="20"/>
                <w:szCs w:val="20"/>
                <w:color w:val="auto"/>
              </w:rPr>
            </w:pPr>
            <w:r>
              <w:rPr>
                <w:rFonts w:ascii="Times New Roman" w:cs="Times New Roman" w:eastAsia="Times New Roman" w:hAnsi="Times New Roman"/>
                <w:sz w:val="1"/>
                <w:szCs w:val="1"/>
                <w:color w:val="auto"/>
              </w:rPr>
              <w:t>89,013,451</w:t>
            </w:r>
          </w:p>
        </w:tc>
        <w:tc>
          <w:tcPr>
            <w:tcW w:w="2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w w:val="91"/>
              </w:rPr>
              <w:t>(3)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
                <w:szCs w:val="1"/>
                <w:color w:val="auto"/>
              </w:rPr>
              <w:t>0</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
                <w:szCs w:val="1"/>
                <w:color w:val="auto"/>
              </w:rPr>
              <w:t>89,013,451</w:t>
            </w:r>
          </w:p>
        </w:tc>
        <w:tc>
          <w:tcPr>
            <w:tcW w:w="0" w:type="dxa"/>
            <w:vAlign w:val="bottom"/>
          </w:tcPr>
          <w:p>
            <w:pPr>
              <w:spacing w:after="0" w:line="20" w:lineRule="exact"/>
              <w:rPr>
                <w:sz w:val="1"/>
                <w:szCs w:val="1"/>
                <w:color w:val="auto"/>
              </w:rPr>
            </w:pPr>
          </w:p>
        </w:tc>
      </w:tr>
      <w:tr>
        <w:trPr>
          <w:trHeight w:val="197"/>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9"/>
        </w:trPr>
        <w:tc>
          <w:tcPr>
            <w:tcW w:w="2500" w:type="dxa"/>
            <w:vAlign w:val="bottom"/>
            <w:gridSpan w:val="2"/>
            <w:shd w:val="clear" w:color="auto" w:fill="CCEEFF"/>
          </w:tcPr>
          <w:p>
            <w:pPr>
              <w:ind w:left="100"/>
              <w:spacing w:after="0" w:line="19" w:lineRule="exact"/>
              <w:rPr>
                <w:sz w:val="20"/>
                <w:szCs w:val="20"/>
                <w:color w:val="auto"/>
              </w:rPr>
            </w:pPr>
            <w:r>
              <w:rPr>
                <w:rFonts w:ascii="Times New Roman" w:cs="Times New Roman" w:eastAsia="Times New Roman" w:hAnsi="Times New Roman"/>
                <w:sz w:val="2"/>
                <w:szCs w:val="2"/>
                <w:color w:val="auto"/>
              </w:rPr>
              <w:t>mobike Global Ltd.</w:t>
            </w:r>
          </w:p>
        </w:tc>
        <w:tc>
          <w:tcPr>
            <w:tcW w:w="1500" w:type="dxa"/>
            <w:vAlign w:val="bottom"/>
            <w:gridSpan w:val="2"/>
            <w:shd w:val="clear" w:color="auto" w:fill="CCEEFF"/>
          </w:tcPr>
          <w:p>
            <w:pPr>
              <w:jc w:val="right"/>
              <w:ind w:right="280"/>
              <w:spacing w:after="0" w:line="19" w:lineRule="exact"/>
              <w:rPr>
                <w:sz w:val="20"/>
                <w:szCs w:val="20"/>
                <w:color w:val="auto"/>
              </w:rPr>
            </w:pPr>
            <w:r>
              <w:rPr>
                <w:rFonts w:ascii="Times New Roman" w:cs="Times New Roman" w:eastAsia="Times New Roman" w:hAnsi="Times New Roman"/>
                <w:sz w:val="2"/>
                <w:szCs w:val="2"/>
                <w:color w:val="auto"/>
              </w:rPr>
              <w:t>26,454,325</w:t>
            </w:r>
          </w:p>
        </w:tc>
        <w:tc>
          <w:tcPr>
            <w:tcW w:w="1480" w:type="dxa"/>
            <w:vAlign w:val="bottom"/>
            <w:gridSpan w:val="2"/>
            <w:shd w:val="clear" w:color="auto" w:fill="CCEEFF"/>
          </w:tcPr>
          <w:p>
            <w:pPr>
              <w:jc w:val="right"/>
              <w:ind w:right="120"/>
              <w:spacing w:after="0" w:line="19" w:lineRule="exact"/>
              <w:rPr>
                <w:sz w:val="20"/>
                <w:szCs w:val="20"/>
                <w:color w:val="auto"/>
              </w:rPr>
            </w:pPr>
            <w:r>
              <w:rPr>
                <w:rFonts w:ascii="Times New Roman" w:cs="Times New Roman" w:eastAsia="Times New Roman" w:hAnsi="Times New Roman"/>
                <w:sz w:val="2"/>
                <w:szCs w:val="2"/>
                <w:color w:val="auto"/>
              </w:rPr>
              <w:t>1.7%</w:t>
            </w:r>
          </w:p>
        </w:tc>
        <w:tc>
          <w:tcPr>
            <w:tcW w:w="1420" w:type="dxa"/>
            <w:vAlign w:val="bottom"/>
            <w:gridSpan w:val="2"/>
            <w:shd w:val="clear" w:color="auto" w:fill="CCEEFF"/>
          </w:tcPr>
          <w:p>
            <w:pPr>
              <w:jc w:val="right"/>
              <w:ind w:right="220"/>
              <w:spacing w:after="0" w:line="19" w:lineRule="exact"/>
              <w:rPr>
                <w:sz w:val="20"/>
                <w:szCs w:val="20"/>
                <w:color w:val="auto"/>
              </w:rPr>
            </w:pPr>
            <w:r>
              <w:rPr>
                <w:rFonts w:ascii="Times New Roman" w:cs="Times New Roman" w:eastAsia="Times New Roman" w:hAnsi="Times New Roman"/>
                <w:sz w:val="2"/>
                <w:szCs w:val="2"/>
                <w:color w:val="auto"/>
              </w:rPr>
              <w:t>0</w:t>
            </w:r>
          </w:p>
        </w:tc>
        <w:tc>
          <w:tcPr>
            <w:tcW w:w="1220" w:type="dxa"/>
            <w:vAlign w:val="bottom"/>
            <w:shd w:val="clear" w:color="auto" w:fill="CCEEFF"/>
          </w:tcPr>
          <w:p>
            <w:pPr>
              <w:jc w:val="right"/>
              <w:spacing w:after="0" w:line="19" w:lineRule="exact"/>
              <w:rPr>
                <w:sz w:val="20"/>
                <w:szCs w:val="20"/>
                <w:color w:val="auto"/>
              </w:rPr>
            </w:pPr>
            <w:r>
              <w:rPr>
                <w:rFonts w:ascii="Times New Roman" w:cs="Times New Roman" w:eastAsia="Times New Roman" w:hAnsi="Times New Roman"/>
                <w:sz w:val="2"/>
                <w:szCs w:val="2"/>
                <w:color w:val="auto"/>
              </w:rPr>
              <w:t>26,454,325</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(4)</w:t>
            </w:r>
          </w:p>
        </w:tc>
        <w:tc>
          <w:tcPr>
            <w:tcW w:w="1440" w:type="dxa"/>
            <w:vAlign w:val="bottom"/>
            <w:gridSpan w:val="2"/>
            <w:shd w:val="clear" w:color="auto" w:fill="CCEEFF"/>
          </w:tcPr>
          <w:p>
            <w:pPr>
              <w:jc w:val="right"/>
              <w:ind w:right="220"/>
              <w:spacing w:after="0" w:line="19" w:lineRule="exact"/>
              <w:rPr>
                <w:sz w:val="20"/>
                <w:szCs w:val="20"/>
                <w:color w:val="auto"/>
              </w:rPr>
            </w:pPr>
            <w:r>
              <w:rPr>
                <w:rFonts w:ascii="Times New Roman" w:cs="Times New Roman" w:eastAsia="Times New Roman" w:hAnsi="Times New Roman"/>
                <w:sz w:val="2"/>
                <w:szCs w:val="2"/>
                <w:color w:val="auto"/>
              </w:rPr>
              <w:t>0</w:t>
            </w:r>
          </w:p>
        </w:tc>
        <w:tc>
          <w:tcPr>
            <w:tcW w:w="1400" w:type="dxa"/>
            <w:vAlign w:val="bottom"/>
            <w:gridSpan w:val="2"/>
            <w:shd w:val="clear" w:color="auto" w:fill="CCEEFF"/>
          </w:tcPr>
          <w:p>
            <w:pPr>
              <w:jc w:val="right"/>
              <w:ind w:right="180"/>
              <w:spacing w:after="0" w:line="19" w:lineRule="exact"/>
              <w:rPr>
                <w:sz w:val="20"/>
                <w:szCs w:val="20"/>
                <w:color w:val="auto"/>
              </w:rPr>
            </w:pPr>
            <w:r>
              <w:rPr>
                <w:rFonts w:ascii="Times New Roman" w:cs="Times New Roman" w:eastAsia="Times New Roman" w:hAnsi="Times New Roman"/>
                <w:sz w:val="2"/>
                <w:szCs w:val="2"/>
                <w:color w:val="auto"/>
              </w:rPr>
              <w:t>26,454,325</w:t>
            </w:r>
          </w:p>
        </w:tc>
        <w:tc>
          <w:tcPr>
            <w:tcW w:w="0" w:type="dxa"/>
            <w:vAlign w:val="bottom"/>
          </w:tcPr>
          <w:p>
            <w:pPr>
              <w:spacing w:after="0" w:line="20" w:lineRule="exact"/>
              <w:rPr>
                <w:sz w:val="1"/>
                <w:szCs w:val="1"/>
                <w:color w:val="auto"/>
              </w:rPr>
            </w:pPr>
          </w:p>
        </w:tc>
      </w:tr>
      <w:tr>
        <w:trPr>
          <w:trHeight w:val="201"/>
        </w:trPr>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w:t>
            </w: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5"/>
        </w:trPr>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
                <w:szCs w:val="1"/>
                <w:color w:val="auto"/>
              </w:rPr>
              <w:t>NIO Users Limited</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
                <w:szCs w:val="1"/>
                <w:color w:val="auto"/>
              </w:rPr>
              <w:t>50,000,000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
                <w:szCs w:val="1"/>
                <w:color w:val="auto"/>
              </w:rPr>
              <w:t>3.2%</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
                <w:szCs w:val="1"/>
                <w:color w:val="auto"/>
              </w:rPr>
              <w:t>0</w:t>
            </w:r>
          </w:p>
        </w:tc>
        <w:tc>
          <w:tcPr>
            <w:tcW w:w="1220" w:type="dxa"/>
            <w:vAlign w:val="bottom"/>
          </w:tcPr>
          <w:p>
            <w:pPr>
              <w:jc w:val="right"/>
              <w:spacing w:after="0"/>
              <w:rPr>
                <w:sz w:val="20"/>
                <w:szCs w:val="20"/>
                <w:color w:val="auto"/>
              </w:rPr>
            </w:pPr>
            <w:r>
              <w:rPr>
                <w:rFonts w:ascii="Times New Roman" w:cs="Times New Roman" w:eastAsia="Times New Roman" w:hAnsi="Times New Roman"/>
                <w:sz w:val="1"/>
                <w:szCs w:val="1"/>
                <w:color w:val="auto"/>
              </w:rPr>
              <w:t>50,000,000</w:t>
            </w:r>
          </w:p>
        </w:tc>
        <w:tc>
          <w:tcPr>
            <w:tcW w:w="2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w w:val="91"/>
              </w:rPr>
              <w:t>(5)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
                <w:szCs w:val="1"/>
                <w:color w:val="auto"/>
              </w:rPr>
              <w:t>0</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
                <w:szCs w:val="1"/>
                <w:color w:val="auto"/>
              </w:rPr>
              <w:t>50,000,000</w:t>
            </w:r>
          </w:p>
        </w:tc>
        <w:tc>
          <w:tcPr>
            <w:tcW w:w="0" w:type="dxa"/>
            <w:vAlign w:val="bottom"/>
          </w:tcPr>
          <w:p>
            <w:pPr>
              <w:spacing w:after="0" w:line="20" w:lineRule="exact"/>
              <w:rPr>
                <w:sz w:val="1"/>
                <w:szCs w:val="1"/>
                <w:color w:val="auto"/>
              </w:rPr>
            </w:pPr>
          </w:p>
        </w:tc>
      </w:tr>
      <w:tr>
        <w:trPr>
          <w:trHeight w:val="197"/>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9"/>
        </w:trPr>
        <w:tc>
          <w:tcPr>
            <w:tcW w:w="2500" w:type="dxa"/>
            <w:vAlign w:val="bottom"/>
            <w:gridSpan w:val="2"/>
            <w:shd w:val="clear" w:color="auto" w:fill="CCEEFF"/>
          </w:tcPr>
          <w:p>
            <w:pPr>
              <w:ind w:left="100"/>
              <w:spacing w:after="0" w:line="19" w:lineRule="exact"/>
              <w:rPr>
                <w:sz w:val="20"/>
                <w:szCs w:val="20"/>
                <w:color w:val="auto"/>
              </w:rPr>
            </w:pPr>
            <w:r>
              <w:rPr>
                <w:rFonts w:ascii="Times New Roman" w:cs="Times New Roman" w:eastAsia="Times New Roman" w:hAnsi="Times New Roman"/>
                <w:sz w:val="2"/>
                <w:szCs w:val="2"/>
                <w:color w:val="auto"/>
              </w:rPr>
              <w:t>NIO Users Trust</w:t>
            </w:r>
          </w:p>
        </w:tc>
        <w:tc>
          <w:tcPr>
            <w:tcW w:w="1500" w:type="dxa"/>
            <w:vAlign w:val="bottom"/>
            <w:gridSpan w:val="2"/>
            <w:shd w:val="clear" w:color="auto" w:fill="CCEEFF"/>
          </w:tcPr>
          <w:p>
            <w:pPr>
              <w:jc w:val="right"/>
              <w:ind w:right="280"/>
              <w:spacing w:after="0" w:line="19" w:lineRule="exact"/>
              <w:rPr>
                <w:sz w:val="20"/>
                <w:szCs w:val="20"/>
                <w:color w:val="auto"/>
              </w:rPr>
            </w:pPr>
            <w:r>
              <w:rPr>
                <w:rFonts w:ascii="Times New Roman" w:cs="Times New Roman" w:eastAsia="Times New Roman" w:hAnsi="Times New Roman"/>
                <w:sz w:val="2"/>
                <w:szCs w:val="2"/>
                <w:color w:val="auto"/>
              </w:rPr>
              <w:t>50,000,000</w:t>
            </w:r>
          </w:p>
        </w:tc>
        <w:tc>
          <w:tcPr>
            <w:tcW w:w="1480" w:type="dxa"/>
            <w:vAlign w:val="bottom"/>
            <w:gridSpan w:val="2"/>
            <w:shd w:val="clear" w:color="auto" w:fill="CCEEFF"/>
          </w:tcPr>
          <w:p>
            <w:pPr>
              <w:jc w:val="right"/>
              <w:ind w:right="120"/>
              <w:spacing w:after="0" w:line="19" w:lineRule="exact"/>
              <w:rPr>
                <w:sz w:val="20"/>
                <w:szCs w:val="20"/>
                <w:color w:val="auto"/>
              </w:rPr>
            </w:pPr>
            <w:r>
              <w:rPr>
                <w:rFonts w:ascii="Times New Roman" w:cs="Times New Roman" w:eastAsia="Times New Roman" w:hAnsi="Times New Roman"/>
                <w:sz w:val="2"/>
                <w:szCs w:val="2"/>
                <w:color w:val="auto"/>
              </w:rPr>
              <w:t>3.2%</w:t>
            </w:r>
          </w:p>
        </w:tc>
        <w:tc>
          <w:tcPr>
            <w:tcW w:w="1420" w:type="dxa"/>
            <w:vAlign w:val="bottom"/>
            <w:gridSpan w:val="2"/>
            <w:shd w:val="clear" w:color="auto" w:fill="CCEEFF"/>
          </w:tcPr>
          <w:p>
            <w:pPr>
              <w:jc w:val="right"/>
              <w:ind w:right="220"/>
              <w:spacing w:after="0" w:line="19" w:lineRule="exact"/>
              <w:rPr>
                <w:sz w:val="20"/>
                <w:szCs w:val="20"/>
                <w:color w:val="auto"/>
              </w:rPr>
            </w:pPr>
            <w:r>
              <w:rPr>
                <w:rFonts w:ascii="Times New Roman" w:cs="Times New Roman" w:eastAsia="Times New Roman" w:hAnsi="Times New Roman"/>
                <w:sz w:val="2"/>
                <w:szCs w:val="2"/>
                <w:color w:val="auto"/>
              </w:rPr>
              <w:t>0</w:t>
            </w:r>
          </w:p>
        </w:tc>
        <w:tc>
          <w:tcPr>
            <w:tcW w:w="1220" w:type="dxa"/>
            <w:vAlign w:val="bottom"/>
            <w:shd w:val="clear" w:color="auto" w:fill="CCEEFF"/>
          </w:tcPr>
          <w:p>
            <w:pPr>
              <w:jc w:val="right"/>
              <w:spacing w:after="0" w:line="19" w:lineRule="exact"/>
              <w:rPr>
                <w:sz w:val="20"/>
                <w:szCs w:val="20"/>
                <w:color w:val="auto"/>
              </w:rPr>
            </w:pPr>
            <w:r>
              <w:rPr>
                <w:rFonts w:ascii="Times New Roman" w:cs="Times New Roman" w:eastAsia="Times New Roman" w:hAnsi="Times New Roman"/>
                <w:sz w:val="2"/>
                <w:szCs w:val="2"/>
                <w:color w:val="auto"/>
              </w:rPr>
              <w:t>50,000,000</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(6)</w:t>
            </w:r>
          </w:p>
        </w:tc>
        <w:tc>
          <w:tcPr>
            <w:tcW w:w="1440" w:type="dxa"/>
            <w:vAlign w:val="bottom"/>
            <w:gridSpan w:val="2"/>
            <w:shd w:val="clear" w:color="auto" w:fill="CCEEFF"/>
          </w:tcPr>
          <w:p>
            <w:pPr>
              <w:jc w:val="right"/>
              <w:ind w:right="220"/>
              <w:spacing w:after="0" w:line="19" w:lineRule="exact"/>
              <w:rPr>
                <w:sz w:val="20"/>
                <w:szCs w:val="20"/>
                <w:color w:val="auto"/>
              </w:rPr>
            </w:pPr>
            <w:r>
              <w:rPr>
                <w:rFonts w:ascii="Times New Roman" w:cs="Times New Roman" w:eastAsia="Times New Roman" w:hAnsi="Times New Roman"/>
                <w:sz w:val="2"/>
                <w:szCs w:val="2"/>
                <w:color w:val="auto"/>
              </w:rPr>
              <w:t>0</w:t>
            </w:r>
          </w:p>
        </w:tc>
        <w:tc>
          <w:tcPr>
            <w:tcW w:w="1400" w:type="dxa"/>
            <w:vAlign w:val="bottom"/>
            <w:gridSpan w:val="2"/>
            <w:shd w:val="clear" w:color="auto" w:fill="CCEEFF"/>
          </w:tcPr>
          <w:p>
            <w:pPr>
              <w:jc w:val="right"/>
              <w:ind w:right="180"/>
              <w:spacing w:after="0" w:line="19" w:lineRule="exact"/>
              <w:rPr>
                <w:sz w:val="20"/>
                <w:szCs w:val="20"/>
                <w:color w:val="auto"/>
              </w:rPr>
            </w:pPr>
            <w:r>
              <w:rPr>
                <w:rFonts w:ascii="Times New Roman" w:cs="Times New Roman" w:eastAsia="Times New Roman" w:hAnsi="Times New Roman"/>
                <w:sz w:val="2"/>
                <w:szCs w:val="2"/>
                <w:color w:val="auto"/>
              </w:rPr>
              <w:t>50,000,000</w:t>
            </w:r>
          </w:p>
        </w:tc>
        <w:tc>
          <w:tcPr>
            <w:tcW w:w="0" w:type="dxa"/>
            <w:vAlign w:val="bottom"/>
          </w:tcPr>
          <w:p>
            <w:pPr>
              <w:spacing w:after="0" w:line="20" w:lineRule="exact"/>
              <w:rPr>
                <w:sz w:val="1"/>
                <w:szCs w:val="1"/>
                <w:color w:val="auto"/>
              </w:rPr>
            </w:pPr>
          </w:p>
        </w:tc>
      </w:tr>
      <w:tr>
        <w:trPr>
          <w:trHeight w:val="201"/>
        </w:trPr>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w:t>
            </w: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54"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13d-3(d)(l), all Class B ordinary shares and Class C ordinary shares (which are convertible into Class A ordinary shares) were deemed to be converted for the purpose of (i) determining the aggregate amount of Class A ordinary shares beneficially owned by the reporting person and (ii) calculating the percentages of the Class A ordinary shares beneficially owned by the reporting person. The percentage of the class of securities beneficially owned by each reporting person is based on 1,569,106,220 outstanding ordinary shares as a single class, being the sum of 1,292,312,288 Class A ordinary shares, 128,293,932 Class B ordinary shares and 148,500,000 Class C ordinary shares, par value of US$0.00025 per share, of the Issuer outstanding as of December 31, 2020. In computing the percentage of ownership of the reporting persons, we have included, where applicable, shares that the reporting persons have the right to acquire within 60 days, including through the exercise of any option, warrant, or other right or the conversion of any other security, after December 31, 2020.</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(i) 9,000,000 Class A ordinary shares issuable to Mr. Li upon exercise of options within 60 days after December 31, 2020, (ii) 4,778,523 Class A ordinary shares and 84,234,928 Class C ordinary shares held on record by Originalwish Limited, a British Virgin Islands company wholly owned by Mr. Li, (iii) 26,454,325 Class C ordinary shares held on record by mobike Global Ltd., a British Virgin Islands company wholly owned by Mr. Li, (iv) 12,189,253 Class A ordinary shares and 37,810,747 Class C ordinary shares held on record by NIO Users Limited, held upon the terms of the NIO </w:t>
      </w:r>
      <w:r>
        <w:rPr>
          <w:rFonts w:ascii="Times New Roman" w:cs="Times New Roman" w:eastAsia="Times New Roman" w:hAnsi="Times New Roman"/>
          <w:sz w:val="18"/>
          <w:szCs w:val="18"/>
          <w:color w:val="2B2B2B"/>
        </w:rPr>
        <w:t>Users</w:t>
      </w:r>
      <w:r>
        <w:rPr>
          <w:rFonts w:ascii="Times New Roman" w:cs="Times New Roman" w:eastAsia="Times New Roman" w:hAnsi="Times New Roman"/>
          <w:sz w:val="18"/>
          <w:szCs w:val="18"/>
          <w:color w:val="auto"/>
        </w:rPr>
        <w:t xml:space="preserve"> Trust, under which Mr. Li has reserved certain powers to himself. Each Class C Ordinary Share is convertible at the option of the holder into one Class A Ordinary Share. The rights of the holders of Class A Ordinary Shares and Class C Ordinary Shares are identical, except with respect to conversion rights (noted above) and voting rights. Each Class C Ordinary Share is entitled to eight votes per share, whereas each Class A Ordinary Share is entitled to one vote per share.</w:t>
      </w:r>
    </w:p>
    <w:p>
      <w:pPr>
        <w:spacing w:after="0" w:line="19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by 4,778,523 Class A ordinary shares and 84,234,928 Class C ordinary shares held by Originalwish Limited.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by 26,454,325 Class C ordinary shares held by mobike Global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by 12,189,253 Class A ordinary shares and 37,810,747 Class C ordinary shares held on record by NIO Users Limited, a holding company controlled by NIO Users Trust. NIO Users Trust, with Maples Trustee Services (Cayman) Limited as the trustee, Mr. Bin Li has reserved certain powers to himself in respect of the NIO Users Trust as the settlor and protector, and Mr. Li and others designated by Mr. Li as beneficiaries. Pursuant to Section 13(d) of the Securities Exchange Act of 1934, as amended, and the rules promulgated thereunder, Mr. Li may be deemed to beneficially own all of the ordinary shares of the Issuer held by NIO Users Limited.</w:t>
      </w:r>
    </w:p>
    <w:p>
      <w:pPr>
        <w:spacing w:after="0" w:line="18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by 12,189,253 Class A ordinary shares and 37,810,747 Class C ordinary shares held on record by NIO Users Limited, a holding company controlled by NIO Users Trust. Also see footnote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u w:val="single" w:color="auto"/>
          <w:color w:val="auto"/>
        </w:rPr>
        <w:t>OWNERSHIP OF FIVE PERCENT OR LESS OF A CLASS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OWNERSHIP OF MORE THAN FIVE PERCENT ON BEHALF OF ANOTHER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7.</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MEMBERS OF THE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u w:val="single" w:color="auto"/>
          <w:color w:val="auto"/>
        </w:rPr>
        <w:t>NOTICE OF DISSOLUTION OF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u w:val="single" w:color="auto"/>
          <w:color w:val="auto"/>
        </w:rPr>
        <w:t>CERTIFICATIONS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994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LIST OF EXHIBITS</w:t>
            </w:r>
          </w:p>
        </w:tc>
      </w:tr>
      <w:tr>
        <w:trPr>
          <w:trHeight w:val="432"/>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1"/>
        </w:trPr>
        <w:tc>
          <w:tcPr>
            <w:tcW w:w="1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w:t>
            </w:r>
          </w:p>
        </w:tc>
        <w:tc>
          <w:tcPr>
            <w:tcW w:w="9940" w:type="dxa"/>
            <w:vAlign w:val="bottom"/>
          </w:tcPr>
          <w:p>
            <w:pPr>
              <w:ind w:left="400"/>
              <w:spacing w:after="0" w:line="191" w:lineRule="exact"/>
              <w:rPr>
                <w:sz w:val="20"/>
                <w:szCs w:val="20"/>
                <w:color w:val="auto"/>
              </w:rPr>
            </w:pPr>
            <w:r>
              <w:rPr>
                <w:rFonts w:ascii="Times New Roman" w:cs="Times New Roman" w:eastAsia="Times New Roman" w:hAnsi="Times New Roman"/>
                <w:sz w:val="18"/>
                <w:szCs w:val="18"/>
                <w:color w:val="auto"/>
              </w:rPr>
              <w:t>Joint Filing Agreement (incorporated by reference to Exhibit 99. l to Schedule 13G filed on January 23, 2019 by the reporting</w:t>
            </w:r>
          </w:p>
        </w:tc>
      </w:tr>
      <w:tr>
        <w:trPr>
          <w:trHeight w:val="234"/>
        </w:trPr>
        <w:tc>
          <w:tcPr>
            <w:tcW w:w="1300" w:type="dxa"/>
            <w:vAlign w:val="bottom"/>
          </w:tcPr>
          <w:p>
            <w:pPr>
              <w:spacing w:after="0"/>
              <w:rPr>
                <w:sz w:val="20"/>
                <w:szCs w:val="20"/>
                <w:color w:val="auto"/>
              </w:rPr>
            </w:pPr>
          </w:p>
        </w:tc>
        <w:tc>
          <w:tcPr>
            <w:tcW w:w="9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persons with the Securities and Exchange Commission)</w:t>
            </w:r>
          </w:p>
        </w:tc>
      </w:tr>
      <w:tr>
        <w:trPr>
          <w:trHeight w:val="688"/>
        </w:trPr>
        <w:tc>
          <w:tcPr>
            <w:tcW w:w="130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11, 2021</w:t>
            </w:r>
          </w:p>
        </w:tc>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Bin Li</w:t>
            </w:r>
          </w:p>
        </w:tc>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Bin Li</w:t>
            </w:r>
          </w:p>
        </w:tc>
      </w:tr>
      <w:tr>
        <w:trPr>
          <w:trHeight w:val="45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Originalwish Limited</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Bin Li</w:t>
            </w:r>
          </w:p>
        </w:tc>
      </w:tr>
      <w:tr>
        <w:trPr>
          <w:trHeight w:val="191"/>
        </w:trPr>
        <w:tc>
          <w:tcPr>
            <w:tcW w:w="676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Bin Li</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5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mobike Global Ltd.</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Bin Li</w:t>
            </w:r>
          </w:p>
        </w:tc>
      </w:tr>
      <w:tr>
        <w:trPr>
          <w:trHeight w:val="191"/>
        </w:trPr>
        <w:tc>
          <w:tcPr>
            <w:tcW w:w="676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Bin Li</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5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NIO Users Limited</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Titan Directors Limited</w:t>
            </w:r>
          </w:p>
        </w:tc>
      </w:tr>
      <w:tr>
        <w:trPr>
          <w:trHeight w:val="191"/>
        </w:trPr>
        <w:tc>
          <w:tcPr>
            <w:tcW w:w="676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Titan Directors Limited</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70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Maples Trustee Services (Cayman) Limited</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Goddard</w:t>
            </w:r>
          </w:p>
        </w:tc>
      </w:tr>
      <w:tr>
        <w:trPr>
          <w:trHeight w:val="191"/>
        </w:trPr>
        <w:tc>
          <w:tcPr>
            <w:tcW w:w="6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acting solely in its capacity as the trustee</w:t>
            </w: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Goddard</w:t>
            </w: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of NIO Users Trust</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75"/>
        </w:trPr>
        <w:tc>
          <w:tcPr>
            <w:tcW w:w="6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1"/>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2021-02-11T05:43:49Z</dcterms:created>
  <dcterms:modified xsi:type="dcterms:W3CDTF">2021-02-11T05:43:49Z</dcterms:modified>
</cp:coreProperties>
</file>