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Name of Issuer</w:t>
            </w:r>
          </w:p>
        </w:tc>
        <w:tc>
          <w:tcPr>
            <w:tcW w:w="3634" w:type="dxa"/>
            <w:tcBorders/>
            <w:vAlign w:val="center"/>
          </w:tcPr>
          <w:p>
            <w:pPr>
              <w:pStyle w:val="TableContents"/>
              <w:bidi w:val="0"/>
              <w:spacing w:before="0" w:after="0"/>
              <w:jc w:val="left"/>
              <w:rPr/>
            </w:pPr>
            <w:r>
              <w:rPr/>
              <w:t>NIO Inc.</w:t>
            </w:r>
          </w:p>
        </w:tc>
      </w:tr>
      <w:tr>
        <w:trPr/>
        <w:tc>
          <w:tcPr>
            <w:tcW w:w="6571" w:type="dxa"/>
            <w:tcBorders/>
            <w:vAlign w:val="center"/>
          </w:tcPr>
          <w:p>
            <w:pPr>
              <w:pStyle w:val="TableContents"/>
              <w:bidi w:val="0"/>
              <w:spacing w:before="0" w:after="283"/>
              <w:jc w:val="left"/>
              <w:rPr/>
            </w:pPr>
            <w:r>
              <w:rPr/>
              <w:t>SEC File Number</w:t>
            </w:r>
          </w:p>
        </w:tc>
        <w:tc>
          <w:tcPr>
            <w:tcW w:w="3634" w:type="dxa"/>
            <w:tcBorders/>
            <w:vAlign w:val="center"/>
          </w:tcPr>
          <w:p>
            <w:pPr>
              <w:pStyle w:val="TableContents"/>
              <w:bidi w:val="0"/>
              <w:spacing w:before="0" w:after="0"/>
              <w:jc w:val="left"/>
              <w:rPr/>
            </w:pPr>
            <w:r>
              <w:rPr/>
              <w:t>001-38638</w:t>
            </w:r>
          </w:p>
        </w:tc>
      </w:tr>
      <w:tr>
        <w:trPr/>
        <w:tc>
          <w:tcPr>
            <w:tcW w:w="6571" w:type="dxa"/>
            <w:tcBorders/>
            <w:vAlign w:val="center"/>
          </w:tcPr>
          <w:p>
            <w:pPr>
              <w:pStyle w:val="TableContents"/>
              <w:bidi w:val="0"/>
              <w:spacing w:before="0" w:after="283"/>
              <w:jc w:val="left"/>
              <w:rPr/>
            </w:pPr>
            <w:r>
              <w:rPr/>
              <w:t>Address of Issuer</w:t>
            </w:r>
          </w:p>
        </w:tc>
        <w:tc>
          <w:tcPr>
            <w:tcW w:w="3634" w:type="dxa"/>
            <w:tcBorders/>
            <w:vAlign w:val="center"/>
          </w:tcPr>
          <w:p>
            <w:pPr>
              <w:pStyle w:val="TableContents"/>
              <w:bidi w:val="0"/>
              <w:spacing w:before="0" w:after="0"/>
              <w:jc w:val="left"/>
              <w:rPr/>
            </w:pPr>
            <w:r>
              <w:rPr/>
              <w:t>Building 19, No. 1355</w:t>
              <w:br/>
              <w:t>Caobao Road, Minhang District</w:t>
              <w:br/>
              <w:t>Shanghai</w:t>
              <w:br/>
              <w:t xml:space="preserve">CHINA </w:t>
              <w:br/>
              <w:t>200233</w:t>
            </w:r>
          </w:p>
        </w:tc>
      </w:tr>
      <w:tr>
        <w:trPr/>
        <w:tc>
          <w:tcPr>
            <w:tcW w:w="6571" w:type="dxa"/>
            <w:tcBorders/>
            <w:vAlign w:val="center"/>
          </w:tcPr>
          <w:p>
            <w:pPr>
              <w:pStyle w:val="TableContents"/>
              <w:bidi w:val="0"/>
              <w:spacing w:before="0" w:after="283"/>
              <w:jc w:val="left"/>
              <w:rPr/>
            </w:pPr>
            <w:r>
              <w:rPr/>
              <w:t>Phone</w:t>
            </w:r>
          </w:p>
        </w:tc>
        <w:tc>
          <w:tcPr>
            <w:tcW w:w="3634" w:type="dxa"/>
            <w:tcBorders/>
            <w:vAlign w:val="center"/>
          </w:tcPr>
          <w:p>
            <w:pPr>
              <w:pStyle w:val="TableContents"/>
              <w:bidi w:val="0"/>
              <w:spacing w:before="0" w:after="0"/>
              <w:jc w:val="left"/>
              <w:rPr/>
            </w:pPr>
            <w:r>
              <w:rPr/>
              <w:t>86-21-69082018</w:t>
            </w:r>
          </w:p>
        </w:tc>
      </w:tr>
      <w:tr>
        <w:trPr/>
        <w:tc>
          <w:tcPr>
            <w:tcW w:w="6571" w:type="dxa"/>
            <w:tcBorders/>
            <w:vAlign w:val="center"/>
          </w:tcPr>
          <w:p>
            <w:pPr>
              <w:pStyle w:val="TableContents"/>
              <w:bidi w:val="0"/>
              <w:spacing w:before="0" w:after="283"/>
              <w:jc w:val="left"/>
              <w:rPr/>
            </w:pPr>
            <w:r>
              <w:rPr/>
              <w:t>Name of Person for Whose Account the Securities are To Be Sold</w:t>
            </w:r>
          </w:p>
        </w:tc>
        <w:tc>
          <w:tcPr>
            <w:tcW w:w="3634" w:type="dxa"/>
            <w:tcBorders/>
            <w:vAlign w:val="center"/>
          </w:tcPr>
          <w:p>
            <w:pPr>
              <w:pStyle w:val="TableContents"/>
              <w:bidi w:val="0"/>
              <w:spacing w:before="0" w:after="0"/>
              <w:jc w:val="left"/>
              <w:rPr/>
            </w:pPr>
            <w:r>
              <w:rPr/>
              <w:t>Yu Qu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1" w:type="dxa"/>
            <w:tcBorders/>
            <w:vAlign w:val="center"/>
          </w:tcPr>
          <w:p>
            <w:pPr>
              <w:pStyle w:val="TableContents"/>
              <w:bidi w:val="0"/>
              <w:spacing w:before="0" w:after="283"/>
              <w:jc w:val="left"/>
              <w:rPr/>
            </w:pPr>
            <w:r>
              <w:rPr/>
              <w:t>Relationship to Issuer</w:t>
            </w:r>
          </w:p>
        </w:tc>
        <w:tc>
          <w:tcPr>
            <w:tcW w:w="36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8"/>
        <w:gridCol w:w="1477"/>
        <w:gridCol w:w="1159"/>
        <w:gridCol w:w="1366"/>
        <w:gridCol w:w="1543"/>
        <w:gridCol w:w="1561"/>
        <w:gridCol w:w="1371"/>
      </w:tblGrid>
      <w:tr>
        <w:trPr/>
        <w:tc>
          <w:tcPr>
            <w:tcW w:w="1728" w:type="dxa"/>
            <w:tcBorders/>
            <w:vAlign w:val="center"/>
          </w:tcPr>
          <w:p>
            <w:pPr>
              <w:pStyle w:val="TableHeading"/>
              <w:suppressLineNumbers/>
              <w:bidi w:val="0"/>
              <w:spacing w:before="0" w:after="283"/>
              <w:jc w:val="center"/>
              <w:rPr/>
            </w:pPr>
            <w:r>
              <w:rPr/>
              <w:t>Title of the Class of Securities To Be Sold</w:t>
            </w:r>
          </w:p>
        </w:tc>
        <w:tc>
          <w:tcPr>
            <w:tcW w:w="1477"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728" w:type="dxa"/>
            <w:tcBorders/>
            <w:vAlign w:val="center"/>
          </w:tcPr>
          <w:p>
            <w:pPr>
              <w:pStyle w:val="TableContents"/>
              <w:bidi w:val="0"/>
              <w:spacing w:before="0" w:after="283"/>
              <w:jc w:val="left"/>
              <w:rPr/>
            </w:pPr>
            <w:r>
              <w:rPr/>
              <w:t>American depositary shares (each representing one Class A ordinary share)</w:t>
            </w:r>
          </w:p>
        </w:tc>
        <w:tc>
          <w:tcPr>
            <w:tcW w:w="1477"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59" w:type="dxa"/>
            <w:tcBorders/>
            <w:vAlign w:val="center"/>
          </w:tcPr>
          <w:p>
            <w:pPr>
              <w:pStyle w:val="TableContents"/>
              <w:bidi w:val="0"/>
              <w:spacing w:before="0" w:after="283"/>
              <w:jc w:val="left"/>
              <w:rPr/>
            </w:pPr>
            <w:r>
              <w:rPr/>
              <w:t>100000</w:t>
            </w:r>
          </w:p>
        </w:tc>
        <w:tc>
          <w:tcPr>
            <w:tcW w:w="1366" w:type="dxa"/>
            <w:tcBorders/>
            <w:vAlign w:val="center"/>
          </w:tcPr>
          <w:p>
            <w:pPr>
              <w:pStyle w:val="TableContents"/>
              <w:bidi w:val="0"/>
              <w:spacing w:before="0" w:after="283"/>
              <w:jc w:val="left"/>
              <w:rPr/>
            </w:pPr>
            <w:r>
              <w:rPr/>
              <w:t>560000.00</w:t>
            </w:r>
          </w:p>
        </w:tc>
        <w:tc>
          <w:tcPr>
            <w:tcW w:w="1543" w:type="dxa"/>
            <w:tcBorders/>
            <w:vAlign w:val="center"/>
          </w:tcPr>
          <w:p>
            <w:pPr>
              <w:pStyle w:val="TableContents"/>
              <w:bidi w:val="0"/>
              <w:spacing w:before="0" w:after="283"/>
              <w:jc w:val="left"/>
              <w:rPr/>
            </w:pPr>
            <w:r>
              <w:rPr/>
              <w:t>2357167022</w:t>
            </w:r>
          </w:p>
        </w:tc>
        <w:tc>
          <w:tcPr>
            <w:tcW w:w="1561" w:type="dxa"/>
            <w:tcBorders/>
            <w:vAlign w:val="center"/>
          </w:tcPr>
          <w:p>
            <w:pPr>
              <w:pStyle w:val="TableContents"/>
              <w:bidi w:val="0"/>
              <w:spacing w:before="0" w:after="283"/>
              <w:jc w:val="left"/>
              <w:rPr/>
            </w:pPr>
            <w:r>
              <w:rPr/>
              <w:t>06/01/2026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Class A ordinary share)</w:t>
            </w:r>
          </w:p>
        </w:tc>
        <w:tc>
          <w:tcPr>
            <w:tcW w:w="1121" w:type="dxa"/>
            <w:tcBorders/>
            <w:vAlign w:val="center"/>
          </w:tcPr>
          <w:p>
            <w:pPr>
              <w:pStyle w:val="TableContents"/>
              <w:bidi w:val="0"/>
              <w:spacing w:before="0" w:after="283"/>
              <w:jc w:val="left"/>
              <w:rPr/>
            </w:pPr>
            <w:r>
              <w:rPr/>
              <w:t>06/01/2026</w:t>
            </w:r>
          </w:p>
        </w:tc>
        <w:tc>
          <w:tcPr>
            <w:tcW w:w="1460" w:type="dxa"/>
            <w:tcBorders/>
            <w:vAlign w:val="center"/>
          </w:tcPr>
          <w:p>
            <w:pPr>
              <w:pStyle w:val="TableContents"/>
              <w:bidi w:val="0"/>
              <w:spacing w:before="0" w:after="283"/>
              <w:jc w:val="left"/>
              <w:rPr/>
            </w:pPr>
            <w:r>
              <w:rPr/>
              <w:t>Vesting of restricted share units granted pursuant to the Issuer's Share Incentive Plan</w:t>
            </w:r>
          </w:p>
        </w:tc>
        <w:tc>
          <w:tcPr>
            <w:tcW w:w="1177" w:type="dxa"/>
            <w:tcBorders/>
            <w:vAlign w:val="center"/>
          </w:tcPr>
          <w:p>
            <w:pPr>
              <w:pStyle w:val="TableContents"/>
              <w:bidi w:val="0"/>
              <w:spacing w:before="0" w:after="283"/>
              <w:jc w:val="left"/>
              <w:rPr/>
            </w:pPr>
            <w:r>
              <w:rPr/>
              <w:t>NIO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100000</w:t>
            </w:r>
          </w:p>
        </w:tc>
        <w:tc>
          <w:tcPr>
            <w:tcW w:w="1062" w:type="dxa"/>
            <w:tcBorders/>
            <w:vAlign w:val="center"/>
          </w:tcPr>
          <w:p>
            <w:pPr>
              <w:pStyle w:val="TableContents"/>
              <w:bidi w:val="0"/>
              <w:spacing w:before="0" w:after="283"/>
              <w:jc w:val="left"/>
              <w:rPr/>
            </w:pPr>
            <w:r>
              <w:rPr/>
              <w:t>06/01/2026</w:t>
            </w:r>
          </w:p>
        </w:tc>
        <w:tc>
          <w:tcPr>
            <w:tcW w:w="1184"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4"/>
        <w:gridCol w:w="8901"/>
      </w:tblGrid>
      <w:tr>
        <w:trPr/>
        <w:tc>
          <w:tcPr>
            <w:tcW w:w="1304" w:type="dxa"/>
            <w:tcBorders/>
            <w:vAlign w:val="center"/>
          </w:tcPr>
          <w:p>
            <w:pPr>
              <w:pStyle w:val="TableContents"/>
              <w:bidi w:val="0"/>
              <w:spacing w:before="0" w:after="283"/>
              <w:jc w:val="left"/>
              <w:rPr/>
            </w:pPr>
            <w:r>
              <w:rPr/>
              <w:t>Remarks</w:t>
            </w:r>
          </w:p>
        </w:tc>
        <w:tc>
          <w:tcPr>
            <w:tcW w:w="8901" w:type="dxa"/>
            <w:tcBorders/>
            <w:vAlign w:val="center"/>
          </w:tcPr>
          <w:p>
            <w:pPr>
              <w:pStyle w:val="TableContents"/>
              <w:bidi w:val="0"/>
              <w:spacing w:before="0" w:after="0"/>
              <w:jc w:val="left"/>
              <w:rPr/>
            </w:pPr>
            <w:r>
              <w:rPr/>
              <w:t>The securities set forth herein are being sold pursuant to a sell-to-cover arrangement for the purpose of satisfying income tax liabilities incurred upon vesting of restricted share units only. The securities covered by this filing will be sold today or within three months from the date of this filing.</w:t>
            </w:r>
          </w:p>
        </w:tc>
      </w:tr>
      <w:tr>
        <w:trPr/>
        <w:tc>
          <w:tcPr>
            <w:tcW w:w="1304" w:type="dxa"/>
            <w:tcBorders/>
            <w:vAlign w:val="center"/>
          </w:tcPr>
          <w:p>
            <w:pPr>
              <w:pStyle w:val="TableContents"/>
              <w:bidi w:val="0"/>
              <w:spacing w:before="0" w:after="283"/>
              <w:jc w:val="left"/>
              <w:rPr/>
            </w:pPr>
            <w:r>
              <w:rPr/>
              <w:t>Date of Notice</w:t>
            </w:r>
          </w:p>
        </w:tc>
        <w:tc>
          <w:tcPr>
            <w:tcW w:w="8901"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4" w:type="dxa"/>
            <w:tcBorders/>
            <w:vAlign w:val="center"/>
          </w:tcPr>
          <w:p>
            <w:pPr>
              <w:pStyle w:val="TableContents"/>
              <w:bidi w:val="0"/>
              <w:spacing w:before="0" w:after="283"/>
              <w:jc w:val="left"/>
              <w:rPr/>
            </w:pPr>
            <w:r>
              <w:rPr/>
              <w:t>Signature</w:t>
            </w:r>
          </w:p>
        </w:tc>
        <w:tc>
          <w:tcPr>
            <w:tcW w:w="8901" w:type="dxa"/>
            <w:tcBorders/>
            <w:vAlign w:val="center"/>
          </w:tcPr>
          <w:p>
            <w:pPr>
              <w:pStyle w:val="TableContents"/>
              <w:bidi w:val="0"/>
              <w:spacing w:before="0" w:after="0"/>
              <w:jc w:val="left"/>
              <w:rPr/>
            </w:pPr>
            <w:r>
              <w:rPr/>
              <w:t>/s/ Eve Tang, Attorney-in-Fact for Yu Qu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bookmarkStart w:id="16" w:name="tm2616477d1_ex24.htm"/>
      <w:bookmarkStart w:id="17" w:name="kstm2616477d1_ex24"/>
      <w:bookmarkEnd w:id="16"/>
      <w:bookmarkEnd w:id="17"/>
      <w:r>
        <w:rPr/>
        <w:t> </w:t>
      </w:r>
      <w:r>
        <w:br w:type="page"/>
      </w:r>
    </w:p>
    <w:p>
      <w:pPr>
        <w:pStyle w:val="TextBody"/>
        <w:bidi w:val="0"/>
        <w:jc w:val="right"/>
        <w:rPr>
          <w:b/>
        </w:rPr>
      </w:pPr>
      <w:r>
        <w:rPr>
          <w:b/>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Executing Form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144</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Eve Tang as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xml:space="preserve">(1) </w:t>
            </w:r>
          </w:p>
        </w:tc>
        <w:tc>
          <w:tcPr>
            <w:tcW w:w="9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prepare, execute for and file on behalf of the undersigned Form 144 in accordance with Rule 144 under the Securities Act of 1933 in connection with the undersigned’s ownership, acquisition or disposition fo securities of NIO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2)</w:t>
            </w:r>
          </w:p>
        </w:tc>
        <w:tc>
          <w:tcPr>
            <w:tcW w:w="9959" w:type="dxa"/>
            <w:tcBorders/>
            <w:vAlign w:val="center"/>
          </w:tcPr>
          <w:p>
            <w:pPr>
              <w:pStyle w:val="TableContents"/>
              <w:bidi w:val="0"/>
              <w:spacing w:before="0" w:after="283"/>
              <w:jc w:val="left"/>
              <w:rPr>
                <w:sz w:val="20"/>
              </w:rPr>
            </w:pPr>
            <w:r>
              <w:rPr>
                <w:rFonts w:ascii="Times New Roman;Times;Serif" w:hAnsi="Times New Roman;Times;Serif"/>
                <w:sz w:val="20"/>
              </w:rPr>
              <w:t xml:space="preserve">do and perform any and all acts for and on behalf of the undersigned which may be necessary or desirable to complete and execute such Form </w:t>
            </w:r>
            <w:r>
              <w:rPr>
                <w:sz w:val="20"/>
              </w:rPr>
              <w:t>144, or any amendment thereto, and the timely filing of such form with the United States Securities and Exchange Commission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3)</w:t>
            </w:r>
          </w:p>
        </w:tc>
        <w:tc>
          <w:tcPr>
            <w:tcW w:w="9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Rule 144 under the Securities Act of 1933. This Power of Attorney shall remain in full force and effect until the undersigned is no longer required to file Form 144 with respect to the undersigned’s holdings of and transactions in securities issued by NIO Inc.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1st day of June 2026.</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320"/>
        <w:gridCol w:w="113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3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Yu Qu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rFonts w:ascii="Times New Roman;Times;Serif" w:hAnsi="Times New Roman;Times;Serif"/>
                <w:sz w:val="20"/>
              </w:rPr>
              <w:t>Name</w:t>
            </w:r>
            <w:r>
              <w:rPr>
                <w:sz w:val="20"/>
              </w:rPr>
              <w:t>: Yu Qu</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1075</Words>
  <Characters>5453</Characters>
  <CharactersWithSpaces>6479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