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254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191770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141605</wp:posOffset>
            </wp:positionV>
            <wp:extent cx="178308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4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161290</wp:posOffset>
            </wp:positionV>
            <wp:extent cx="178308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13a-16 OR 15d-16 UNDER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September 2021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Number: 001-38638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154305</wp:posOffset>
            </wp:positionV>
            <wp:extent cx="1783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NIO Inc.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(Registrant’s Name)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141605</wp:posOffset>
            </wp:positionV>
            <wp:extent cx="17830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Building 20, 56 Antuo Road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Jiading District, Shanghai 201804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People’s Republic of China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142875</wp:posOffset>
            </wp:positionV>
            <wp:extent cx="17830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4500"/>
        <w:spacing w:after="0" w:line="207" w:lineRule="exact"/>
        <w:tabs>
          <w:tab w:leader="none" w:pos="5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Form 40-F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187325</wp:posOffset>
            </wp:positionV>
            <wp:extent cx="71323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204470</wp:posOffset>
            </wp:positionV>
            <wp:extent cx="7132320" cy="254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641985</wp:posOffset>
            </wp:positionV>
            <wp:extent cx="713232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35" w:right="1440" w:bottom="1440" w:gutter="0" w:footer="0" w:header="0"/>
        </w:sectPr>
      </w:pPr>
    </w:p>
    <w:bookmarkStart w:id="1" w:name="page2"/>
    <w:bookmarkEnd w:id="1"/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NIO to Increase Shareholding in NIO China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September 24, 2021, NIO Inc. (“NIO” or the “Company”), through its wholly owned subsidiary, entered into a definitive agreement to increase its shareholding in NIO Holding Co., Ltd. (“NIO China,” previously known as NIO (Anhui) Holding Co., Ltd.).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right="4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agreement, NIO will (i) repurchase from a minority strategic investor that invested in NIO China in April 2020 (together with the remaining strategic investors, the “NIO China Strategic Investors”) 1.418% equity interest in NIO China for a consideration of RMB2.5 billion (the “Equity Interest Repurchase”); and (ii) subscribe for newly increased registered capital of NIO China at a subscription price of RMB7.5 billion (the “Capital Subscription”). Upon the completion of the Equity Interest Repurchase and the Capital Subscription, the Company will hold an aggregate of 92.114% controlling equity interests in NIO China.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connection with the Equity Interest Repurchases and the Capital Subscription, the NIO China Strategic Investors have duly waived their applicable minority shareholder rights, including pre-emptive rights.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391795</wp:posOffset>
            </wp:positionV>
            <wp:extent cx="713232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800"/>
          </w:cols>
          <w:pgMar w:left="320" w:top="904" w:right="77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32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NIO Inc.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64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:</w:t>
            </w:r>
          </w:p>
        </w:tc>
        <w:tc>
          <w:tcPr>
            <w:tcW w:w="4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Wei Feng</w:t>
            </w:r>
          </w:p>
        </w:tc>
      </w:tr>
      <w:tr>
        <w:trPr>
          <w:trHeight w:val="195"/>
        </w:trPr>
        <w:tc>
          <w:tcPr>
            <w:tcW w:w="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9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:</w:t>
            </w:r>
          </w:p>
        </w:tc>
        <w:tc>
          <w:tcPr>
            <w:tcW w:w="448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Wei Feng</w:t>
            </w:r>
          </w:p>
        </w:tc>
      </w:tr>
      <w:tr>
        <w:trPr>
          <w:trHeight w:val="230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:</w:t>
            </w:r>
          </w:p>
        </w:tc>
        <w:tc>
          <w:tcPr>
            <w:tcW w:w="4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</w:tr>
    </w:tbl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September 24, 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426085</wp:posOffset>
            </wp:positionV>
            <wp:extent cx="713232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904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2021-09-24T05:37:27Z</dcterms:created>
  <dcterms:modified xsi:type="dcterms:W3CDTF">2021-09-24T05:37:27Z</dcterms:modified>
</cp:coreProperties>
</file>