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NIO Inc.</w:t>
      </w:r>
    </w:p>
    <w:p>
      <w:pPr>
        <w:spacing w:after="0" w:line="40"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8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4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22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04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2200" w:type="dxa"/>
            <w:vAlign w:val="bottom"/>
            <w:gridSpan w:val="3"/>
          </w:tcPr>
          <w:p>
            <w:pPr>
              <w:jc w:val="center"/>
              <w:ind w:right="74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0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NIO Inc. Reports Unaudited First Quarter 2025 Financial Results</w:t>
            </w:r>
          </w:p>
        </w:tc>
      </w:tr>
      <w:tr>
        <w:trPr>
          <w:trHeight w:val="696"/>
        </w:trPr>
        <w:tc>
          <w:tcPr>
            <w:tcW w:w="11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700" w:type="dxa"/>
            <w:vAlign w:val="bottom"/>
            <w:tcBorders>
              <w:top w:val="single" w:sz="8" w:color="0000EE"/>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6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Reports Unaudited First Quarter 2025 Financial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SHANGHAI, China, June 3, 2025 (GLOBE NEWSWIRE) -- NIO Inc. (NYSE: NIO; HKEX: 9866; SGX: NIO) (“NIO” or the “Company”), a pioneer and a leading company in the global smart electric vehicle market, today announced its unaudited financial results for the first quarter ended March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Highlights for the First Quarter of 2025</w:t>
      </w:r>
    </w:p>
    <w:p>
      <w:pPr>
        <w:spacing w:after="0" w:line="225" w:lineRule="exact"/>
        <w:rPr>
          <w:sz w:val="20"/>
          <w:szCs w:val="20"/>
          <w:color w:val="auto"/>
        </w:rPr>
      </w:pPr>
    </w:p>
    <w:p>
      <w:pPr>
        <w:jc w:val="both"/>
        <w:ind w:left="340" w:hanging="332"/>
        <w:spacing w:after="0" w:line="268"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deliveries </w:t>
      </w:r>
      <w:r>
        <w:rPr>
          <w:rFonts w:ascii="Times New Roman" w:cs="Times New Roman" w:eastAsia="Times New Roman" w:hAnsi="Times New Roman"/>
          <w:sz w:val="18"/>
          <w:szCs w:val="18"/>
          <w:color w:val="auto"/>
        </w:rPr>
        <w:t>were 42,094 in the first quarter of 2025, consisting of 27,313 vehicles from the Company’s premium smart electric vehicle brand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NIO and 14,781 vehicles from the Company’s family-oriented smart electric vehicle brand ONVO, representing an increase of 40.1% from the first quarter of 2024, and a decrease of 42.1% from the fourth quarter of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Operating Results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4640" w:type="dxa"/>
            <w:vAlign w:val="bottom"/>
          </w:tcPr>
          <w:p>
            <w:pPr>
              <w:spacing w:after="0"/>
              <w:rPr>
                <w:sz w:val="24"/>
                <w:szCs w:val="24"/>
                <w:color w:val="auto"/>
              </w:rPr>
            </w:pPr>
          </w:p>
        </w:tc>
        <w:tc>
          <w:tcPr>
            <w:tcW w:w="17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2025 Q1</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2024 Q4</w:t>
            </w: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2024 Q3</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2024 Q2</w:t>
            </w:r>
          </w:p>
        </w:tc>
      </w:tr>
      <w:tr>
        <w:trPr>
          <w:trHeight w:val="216"/>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42,094</w:t>
            </w:r>
          </w:p>
        </w:tc>
        <w:tc>
          <w:tcPr>
            <w:tcW w:w="2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72,689</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61,855</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57,373</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4640" w:type="dxa"/>
            <w:vAlign w:val="bottom"/>
          </w:tcPr>
          <w:p>
            <w:pPr>
              <w:spacing w:after="0"/>
              <w:rPr>
                <w:sz w:val="24"/>
                <w:szCs w:val="24"/>
                <w:color w:val="auto"/>
              </w:rPr>
            </w:pPr>
          </w:p>
        </w:tc>
        <w:tc>
          <w:tcPr>
            <w:tcW w:w="17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2024 Q1</w:t>
            </w:r>
          </w:p>
        </w:tc>
        <w:tc>
          <w:tcPr>
            <w:tcW w:w="16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2023 Q4</w:t>
            </w:r>
          </w:p>
        </w:tc>
        <w:tc>
          <w:tcPr>
            <w:tcW w:w="16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2023 Q3</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2023 Q2</w:t>
            </w:r>
          </w:p>
        </w:tc>
      </w:tr>
      <w:tr>
        <w:trPr>
          <w:trHeight w:val="210"/>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30,053</w:t>
            </w:r>
          </w:p>
        </w:tc>
        <w:tc>
          <w:tcPr>
            <w:tcW w:w="2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50,045</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55,432</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Highlights for the First Quarter of 2025</w:t>
      </w:r>
    </w:p>
    <w:p>
      <w:pPr>
        <w:spacing w:after="0" w:line="229" w:lineRule="exact"/>
        <w:rPr>
          <w:sz w:val="20"/>
          <w:szCs w:val="20"/>
          <w:color w:val="auto"/>
        </w:rPr>
      </w:pPr>
    </w:p>
    <w:p>
      <w:pPr>
        <w:ind w:left="340" w:hanging="332"/>
        <w:spacing w:after="0" w:line="200" w:lineRule="auto"/>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RMB9,939.3 million (US$1,369.7 million)</w:t>
      </w:r>
      <w:r>
        <w:rPr>
          <w:rFonts w:ascii="Times New Roman" w:cs="Times New Roman" w:eastAsia="Times New Roman" w:hAnsi="Times New Roman"/>
          <w:sz w:val="35"/>
          <w:szCs w:val="35"/>
          <w:color w:val="auto"/>
          <w:vertAlign w:val="superscript"/>
        </w:rPr>
        <w: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first quarter of 2025, representing an increase of 18.6% from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a decrease of 43.1% from the fourth quarter of 2024.</w:t>
      </w:r>
    </w:p>
    <w:p>
      <w:pPr>
        <w:spacing w:after="0" w:line="198"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Vehicle margin</w:t>
      </w:r>
      <w:r>
        <w:rPr>
          <w:rFonts w:ascii="Times New Roman" w:cs="Times New Roman" w:eastAsia="Times New Roman" w:hAnsi="Times New Roman"/>
          <w:sz w:val="35"/>
          <w:szCs w:val="35"/>
          <w:color w:val="auto"/>
          <w:vertAlign w:val="superscript"/>
        </w:rPr>
        <w:t>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10.2% in the first quarter of 2025, compared with 9.2% in the first quarter of 2024 and 13.1% in the fourth quarter of 2024.</w:t>
      </w:r>
    </w:p>
    <w:p>
      <w:pPr>
        <w:spacing w:after="0" w:line="81" w:lineRule="exact"/>
        <w:rPr>
          <w:rFonts w:ascii="Times New Roman" w:cs="Times New Roman" w:eastAsia="Times New Roman" w:hAnsi="Times New Roman"/>
          <w:sz w:val="36"/>
          <w:szCs w:val="36"/>
          <w:color w:val="auto"/>
          <w:vertAlign w:val="superscript"/>
        </w:rPr>
      </w:pPr>
    </w:p>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RMB12,034.7 million (US$1,658.4 million) in the first quarter of 2025, representing an increase of 21.5% from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 and a decrease of 38.9% from the fourth quarter of 2024.</w:t>
      </w:r>
    </w:p>
    <w:p>
      <w:pPr>
        <w:spacing w:after="0" w:line="154"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RMB919.6 million (US$126.7 million) in the first quarter of 2025, representing an increase of 88.5% from the first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 decrease of 60.2% from the fourth quarter of 2024.</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7.6% in the first quarter of 2025, compared with 4.9% in the first quarter of 2024 and 11.7% in the fourth quarter of 2024.</w:t>
      </w:r>
    </w:p>
    <w:p>
      <w:pPr>
        <w:spacing w:after="0" w:line="200" w:lineRule="exact"/>
        <w:rPr>
          <w:sz w:val="20"/>
          <w:szCs w:val="20"/>
          <w:color w:val="auto"/>
        </w:rPr>
      </w:pPr>
    </w:p>
    <w:p>
      <w:pPr>
        <w:spacing w:after="0" w:line="245"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RMB6,418.1 million (US$884.4 million) in the first quarter of 2025, representing an increase of 19.0% from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an increase of 6.4% from the fourth quarter of 2024. Excluding share-based compensation expenses, adjusted loss from operations (non-GAAP) was RMB5,947.2 million (US$819.5 million) in the first quarter of 2025, representing an increase of 16.3% from the first quarter of 2024 and an increase of 7.3% from the fourth quarter of 2024.</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RMB6,750.0 million (US$930.2 million) in the first quarter of 2025, representing an increase of 30.2% from the first quarter of 2024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decrease of 5.1% from the fourth quarter of 2024. Excluding share-based compensation expenses, adjusted net loss (non-GAAP) was RMB6,279.1 million (US$865.3 million) in the first quarter of 2025, representing an increase of 28.1% from the first quarter of 2024 and a decrease of 5.2% from the fourth quarter of 2024.</w:t>
      </w:r>
    </w:p>
    <w:p>
      <w:pPr>
        <w:spacing w:after="0" w:line="176"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restricted cash, short-term investments and long-term time deposits </w:t>
      </w:r>
      <w:r>
        <w:rPr>
          <w:rFonts w:ascii="Times New Roman" w:cs="Times New Roman" w:eastAsia="Times New Roman" w:hAnsi="Times New Roman"/>
          <w:sz w:val="18"/>
          <w:szCs w:val="18"/>
          <w:color w:val="auto"/>
        </w:rPr>
        <w:t>were RMB26.0 billion (US$3.6 billion)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Key Financial Results for the First Quarter of 2025</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453"/>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RMB million, except for percentage)</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99"/>
        </w:trPr>
        <w:tc>
          <w:tcPr>
            <w:tcW w:w="3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2025 Q1</w:t>
            </w:r>
          </w:p>
        </w:tc>
        <w:tc>
          <w:tcPr>
            <w:tcW w:w="14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2024 Q4</w:t>
            </w:r>
          </w:p>
        </w:tc>
        <w:tc>
          <w:tcPr>
            <w:tcW w:w="23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2024 Q1</w:t>
            </w: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w w:val="98"/>
              </w:rPr>
              <w:t>% Change</w:t>
            </w:r>
            <w:r>
              <w:rPr>
                <w:rFonts w:ascii="Times New Roman" w:cs="Times New Roman" w:eastAsia="Times New Roman" w:hAnsi="Times New Roman"/>
                <w:sz w:val="35"/>
                <w:szCs w:val="35"/>
                <w:b w:val="1"/>
                <w:bCs w:val="1"/>
                <w:color w:val="auto"/>
                <w:w w:val="98"/>
                <w:vertAlign w:val="superscript"/>
              </w:rPr>
              <w:t>iii</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39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QoQ</w:t>
            </w:r>
          </w:p>
        </w:tc>
        <w:tc>
          <w:tcPr>
            <w:tcW w:w="10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8"/>
                <w:szCs w:val="18"/>
                <w:color w:val="auto"/>
              </w:rPr>
            </w:pPr>
          </w:p>
        </w:tc>
      </w:tr>
      <w:tr>
        <w:trPr>
          <w:trHeight w:val="216"/>
        </w:trPr>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9,939.3</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17,475.6</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8,381.3</w:t>
            </w: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8"/>
              </w:rPr>
              <w:t>-43.1%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Vehicle Margin</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80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-290bp</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100bp</w:t>
            </w:r>
          </w:p>
        </w:tc>
      </w:tr>
      <w:tr>
        <w:trPr>
          <w:trHeight w:val="216"/>
        </w:trPr>
        <w:tc>
          <w:tcPr>
            <w:tcW w:w="3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12,034.7</w:t>
            </w:r>
          </w:p>
        </w:tc>
        <w:tc>
          <w:tcPr>
            <w:tcW w:w="1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19,703.4</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9,908.6</w:t>
            </w:r>
          </w:p>
        </w:tc>
        <w:tc>
          <w:tcPr>
            <w:tcW w:w="800" w:type="dxa"/>
            <w:vAlign w:val="bottom"/>
          </w:tcPr>
          <w:p>
            <w:pPr>
              <w:spacing w:after="0"/>
              <w:rPr>
                <w:sz w:val="18"/>
                <w:szCs w:val="18"/>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8"/>
              </w:rPr>
              <w:t>-38.9%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919.6</w:t>
            </w:r>
          </w:p>
        </w:tc>
        <w:tc>
          <w:tcPr>
            <w:tcW w:w="1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2,308.9</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487.7</w:t>
            </w: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98"/>
              </w:rPr>
              <w:t>-60.2%</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88.5%</w:t>
            </w: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800" w:type="dxa"/>
            <w:vAlign w:val="bottom"/>
          </w:tcPr>
          <w:p>
            <w:pPr>
              <w:spacing w:after="0"/>
              <w:rPr>
                <w:sz w:val="18"/>
                <w:szCs w:val="18"/>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-410bp</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270bp</w:t>
            </w:r>
          </w:p>
        </w:tc>
      </w:tr>
      <w:tr>
        <w:trPr>
          <w:trHeight w:val="216"/>
        </w:trPr>
        <w:tc>
          <w:tcPr>
            <w:tcW w:w="3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(6,418.1)</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(6,032.9)</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(5,394.1)</w:t>
            </w:r>
          </w:p>
        </w:tc>
        <w:tc>
          <w:tcPr>
            <w:tcW w:w="800" w:type="dxa"/>
            <w:vAlign w:val="bottom"/>
          </w:tcPr>
          <w:p>
            <w:pPr>
              <w:spacing w:after="0"/>
              <w:rPr>
                <w:sz w:val="18"/>
                <w:szCs w:val="18"/>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6.4%</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Loss from Operations (non-GAAP)</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(5,947.2)</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(5,543.6)</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(5,112.7)</w:t>
            </w: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7.3%</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3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0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(6,750.0)</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(7,111.5)</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(5,184.6)</w:t>
            </w:r>
          </w:p>
        </w:tc>
        <w:tc>
          <w:tcPr>
            <w:tcW w:w="8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-5.1%</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34"/>
        </w:trPr>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Net Loss (non-GAAP)</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(6,279.1)</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(6,622.2)</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(4,903.2)</w:t>
            </w:r>
          </w:p>
        </w:tc>
        <w:tc>
          <w:tcPr>
            <w:tcW w:w="800" w:type="dxa"/>
            <w:vAlign w:val="bottom"/>
          </w:tcPr>
          <w:p>
            <w:pPr>
              <w:spacing w:after="0"/>
              <w:rPr>
                <w:sz w:val="20"/>
                <w:szCs w:val="20"/>
                <w:color w:val="auto"/>
              </w:rPr>
            </w:pPr>
          </w:p>
        </w:tc>
        <w:tc>
          <w:tcPr>
            <w:tcW w:w="10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-5.2%</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r>
      <w:tr>
        <w:trPr>
          <w:trHeight w:val="630"/>
        </w:trPr>
        <w:tc>
          <w:tcPr>
            <w:tcW w:w="3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Deliveries in April and May 2025</w:t>
      </w:r>
    </w:p>
    <w:p>
      <w:pPr>
        <w:spacing w:after="0" w:line="229"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delivered 23,900 vehicles in April 2025 and 23,231 vehicles in May 2025. As of May 31, 2025, the Company had delivered 89,225 vehicles in 2025, with cumulative deliveries reaching 760,789.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Equity Placement</w:t>
      </w:r>
    </w:p>
    <w:p>
      <w:pPr>
        <w:spacing w:after="0" w:line="229"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7, 2025, the Company completed its HK$4,030.13 million offering of 136,800,000 Class A ordinary shares (the “Placement Shares”) at an offering price of HK$29.46 per Placement Share. The Placement Shares were sold to non-U.S. persons in offshore transactions in reliance on Regulation S under the Securities Act of 1933,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ESG Report</w:t>
      </w:r>
    </w:p>
    <w:p>
      <w:pPr>
        <w:spacing w:after="0" w:line="229"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the Company released its 2024 Environmental, Social, and Governance (ESG) report, highlighting the Company’s ESG practices and accomplishments in sustainable development.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Firefly Started Deliveries</w:t>
      </w:r>
    </w:p>
    <w:p>
      <w:pPr>
        <w:spacing w:after="0" w:line="229"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2025, the Company officially launched and started deliveries of firefly, its small smart high-end electric car, and plans to gradually expand its availability to global markets in the near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Upgrades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2025, the Company officially launched and started deliveries of its four products featuring comprehensive upgrades, including the New ES6, our smart electric all-round SUV, the New EC6, our smart electric coupe SUV, the New ET5, our smart electric mid-size sedan, and the New ET5T, our smart electric tourer.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CEO and CFO Comments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2025, the Company delivered 42,094 smart electric vehicles, marking a solid year-over-year increase of 40.1%,” said William Bin Li, founder, chairman and chief executive officer of NIO. “Since the beginning of the second quarter, we have seen a steady increase in monthly delivery volume. In April, our new products, the ET9 and firefly, have secured notable market shares in the premium executive market and high-end small electric car market respectively. We have also witnessed the rising demand for ONVO L60. In late May, the New ES6, EC6, ET5 and ET5T started deliveries with all around upgrades. Based on this, we expect total deliveries for the second quarter to reach between 72,000 and 75,000, representing a year-on-year growth of 25.5% to 30.7%.”</w:t>
      </w:r>
    </w:p>
    <w:p>
      <w:pPr>
        <w:spacing w:after="0" w:line="200" w:lineRule="exact"/>
        <w:rPr>
          <w:sz w:val="20"/>
          <w:szCs w:val="20"/>
          <w:color w:val="auto"/>
        </w:rPr>
      </w:pPr>
    </w:p>
    <w:p>
      <w:pPr>
        <w:spacing w:after="0" w:line="20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8" w:lineRule="auto"/>
        <w:rPr>
          <w:sz w:val="20"/>
          <w:szCs w:val="20"/>
          <w:color w:val="auto"/>
        </w:rPr>
      </w:pPr>
      <w:r>
        <w:rPr>
          <w:rFonts w:ascii="Times New Roman" w:cs="Times New Roman" w:eastAsia="Times New Roman" w:hAnsi="Times New Roman"/>
          <w:sz w:val="18"/>
          <w:szCs w:val="18"/>
          <w:color w:val="auto"/>
        </w:rPr>
        <w:t>“2025 is a pivotal year for NIO’s product launch and technological innovation. On the technology front, we are advancing the smart EV experience and safety standards with our proprietary smart driving chips, full-domain operating system and intelligent chassis. Since late May, the first version of NIO World Model has been gradually rolled out to vehicles based on Banyan platform, bringing significant upgrades in safety, and driving and parking assistance. NIO World Model will provide users with a safer and more effortless intelligent driving experience across various scenarios,” added William Bin Li.</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the first quarter, we have implemented a range of cost control measures, including organizational restructuring, cross-brand integration, and efficiency improvements in R&amp;D, supply chain, sales and services,” added Stanley Yu Qu, NIO’s chief financial officer. “Starting from the second quarter, the Company aims to achieve structural improvements in overall cost efficiency, with continued progress in operational performance.”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Results for the First Quarter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ind w:left="340" w:hanging="332"/>
        <w:spacing w:after="0" w:line="28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 the first quarter of 2025 were RMB12,034.7 million (US$1,658.4 million), representing an increase of 21.5% from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 and a decrease of 38.9% from the fourth quarter of 2024.</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in the first quarter of 2025 were RMB9,939.3 million (US$1,369.7 million), representing an increase of 18.6% from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a decrease of 43.1% from the fourth quarter of 2024. The increase in vehicle sales over the first quarter of 2024 was mainly due to the increase in delivery volume, partially offset by the lower average selling price as a result of changes in product mix. The decrease in vehicle sales over the fourth quarter of 2024 was mainly attributable to a decrease in delivery volume, which was affected by seasonal factors.</w:t>
      </w:r>
    </w:p>
    <w:p>
      <w:pPr>
        <w:spacing w:after="0" w:line="39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340" w:hanging="332"/>
        <w:spacing w:after="0" w:line="259"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sales </w:t>
      </w:r>
      <w:r>
        <w:rPr>
          <w:rFonts w:ascii="Times New Roman" w:cs="Times New Roman" w:eastAsia="Times New Roman" w:hAnsi="Times New Roman"/>
          <w:sz w:val="18"/>
          <w:szCs w:val="18"/>
          <w:color w:val="auto"/>
        </w:rPr>
        <w:t>in the first quarter of 2025 were RMB2,095.4 million (US$288.8 million), representing an increase of 37.2% from the first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 decrease of 5.9% from the fourth quarter of 2024. The increase in other sales over the first quarter of 2024 was mainly due to i) the increase in sales of parts, after-sales vehicle services, and provision of power solutions, as a result of continued growth in the number of users, ii) the increase in revenues from sales of used cars, and iii) the increase in revenues from technical research and development services. The decrease in other sales over the fourth quarter of 2024 was mainly due to the decrease in revenues from technical research and development services and auto financing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225" w:lineRule="exact"/>
        <w:rPr>
          <w:sz w:val="20"/>
          <w:szCs w:val="20"/>
          <w:color w:val="auto"/>
        </w:rPr>
      </w:pPr>
    </w:p>
    <w:p>
      <w:pPr>
        <w:jc w:val="both"/>
        <w:ind w:left="660" w:hanging="328"/>
        <w:spacing w:after="0" w:line="26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in the first quarter of 2025 was RMB11,115.2 million (US$1,531.7 million), representing an increase of 18.0% from the first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 and a decrease of 36.1% from the fourth quarter of 2024. The increase in cost of sales over the first quarter of 2024 was mainly attributable to the increase in delivery volume, partially offset by the decreased material cost per vehicle. The decrease in cost of sales over the fourth quarter of 2024 was mainly attributable to a decrease in delivery volume.</w:t>
      </w:r>
    </w:p>
    <w:p>
      <w:pPr>
        <w:spacing w:after="0" w:line="176"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 the first quarter of 2025 was RMB919.6 million (US$126.7 million), representing an increase of 88.5% from the first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a decrease of 60.2% from the fourth quarter of 2024.</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in the first quarter of 2025 was 7.6%, compared with 4.9% in the first quarter of 2024 and 11.7% in the fourth quarter of 2024.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gross margin over the first quarter of 2024 was mainly due to i) the increase in sales from parts, accessories and after-sales vehicle services as well as provision of technical research and development services, with relatively higher margins, ii) the increased vehicle margin, and iii) the reduction in the gross loss rate from provision of power solutions due to the growing number of users. The decrease in gross margin over the fourth quarter of 2024 was mainly attributable to the lower vehicle margin.</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in the first quarter of 2025 was 10.2%, compared with 9.2% in the first quarter of 2024 and 13.1% in the fourth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increase in vehicle margin from the first quarter of 2024 was mainly attributable to decreased material cost per unit, partially offset by the impact of changes in product mix. The decrease in vehicle margin from the fourth quarter of 2024 was mainly due to the increased manufacture cost per unit as a result of decreased production volume.</w:t>
      </w:r>
    </w:p>
    <w:p>
      <w:pPr>
        <w:spacing w:after="0" w:line="39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in the first quarter of 2025 were RMB3,181.4 million (US$438.4 million), representing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11.1% from the first quarter of 2024 and a decrease of 12.5% from the fourth quarter of 2024. Excluding share-based compensation expenses, research and development expenses (non-GAAP) were RMB2,914.4 million (US$401.6 million), representing an increase of 9.6% from the first quarter of 2024 and a decrease of 11.5% from the fourth quarter of 2024. The increase in research and development expenses over the first quarter of 2024 was mainly due to the incremental design and development costs for new products and technologies as well as the increased personnel costs in research and development functions. The decrease in research and development expenses over the fourth quarter of 2024 was mainly due to the decreased design and development costs resulting from different stages of development for new products and technologies, partially offset by the increased personnel costs in research and development functions.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in the first quarter of 2025 were RMB4,400.8 million (US$606.4 million), representing an increase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46.8% from the first quarter of 2024 and a decrease of 9.8% from the fourth quarter of 2024. Excluding share-based compensation expenses, selling, general and administrative expenses (non-GAAP) were RMB4,211.9 million (US$580.4 million), representing an increase of 43.7% from the first quarter of 2024 and a decrease of 11.4% from the fourth quarter of 2024. The increase in selling, general and administrative expenses over the first quarter of 2024 was mainly attributable to (i) the increase in personnel costs related to sales functions, and (ii) the increase in sales and marketing activities. The decrease in selling, general and administrative expenses over the fourth quarter of 2024 was mainly due to the decreased sales and marketing activities and professional services, partially offset by the incremental personnel costs related to sales and general corporate functions.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25" w:lineRule="exact"/>
        <w:rPr>
          <w:sz w:val="20"/>
          <w:szCs w:val="20"/>
          <w:color w:val="auto"/>
        </w:rPr>
      </w:pPr>
    </w:p>
    <w:p>
      <w:pPr>
        <w:jc w:val="both"/>
        <w:ind w:left="660" w:hanging="328"/>
        <w:spacing w:after="0" w:line="26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in the first quarter of 2025 was RMB6,418.1 million (US$884.4 million), representing an increase of 19.0% from the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an increase of 6.4% from the fourth quarter of 2024. Excluding share-based compensation expenses, adjusted loss from operations (non-GAAP) was RMB5,947.2 million (US$819.5 million) in the first quarter of 2025, representing an increase of 16.3% from the first quarter of 2024 and an increase of 7.3% from the fourth quarter of 2024.</w:t>
      </w:r>
    </w:p>
    <w:p>
      <w:pPr>
        <w:spacing w:after="0" w:line="396"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Net Loss and Earnings Per Share/ADS</w:t>
      </w:r>
    </w:p>
    <w:p>
      <w:pPr>
        <w:spacing w:after="0" w:line="225" w:lineRule="exact"/>
        <w:rPr>
          <w:sz w:val="20"/>
          <w:szCs w:val="20"/>
          <w:color w:val="auto"/>
        </w:rPr>
      </w:pPr>
    </w:p>
    <w:p>
      <w:pPr>
        <w:jc w:val="both"/>
        <w:ind w:left="660" w:hanging="328"/>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in the first quarter of 2025 was RMB6,750.0 million (US$930.2 million), representing an increase of 30.2% from the first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 decrease of 5.1% from the fourth quarter of 2024. Excluding share-based compensation expenses, adjusted net loss (non-GAAP) was RMB6,279.1 million (US$865.3 million) in the first quarter of 2025, representing an increase of 28.1% from the first quarter of 2024 and a decrease of 5.2% from the fourth quarter of 2024.</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attributable to NIO’s ordinary shareholders </w:t>
      </w:r>
      <w:r>
        <w:rPr>
          <w:rFonts w:ascii="Times New Roman" w:cs="Times New Roman" w:eastAsia="Times New Roman" w:hAnsi="Times New Roman"/>
          <w:sz w:val="18"/>
          <w:szCs w:val="18"/>
          <w:color w:val="auto"/>
        </w:rPr>
        <w:t>in the first quarter of 2025 was RMB6,891.1 million (US$949.6 million), representing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31.1% from the first quarter of 2024 and a decrease of 3.4% from the fourth quarter of 2024. Excluding share-based compensation expenses and accretion on redeemable non-controlling interests to redemption value, adjusted net loss attributable to NIO’s ordinary shareholders (non-GAAP) was RMB6,275.6 million (US$864.8 million) in the first quarter of 2025.</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Basic and diluted net loss per ordinary share/ADS </w:t>
      </w:r>
      <w:r>
        <w:rPr>
          <w:rFonts w:ascii="Times New Roman" w:cs="Times New Roman" w:eastAsia="Times New Roman" w:hAnsi="Times New Roman"/>
          <w:sz w:val="18"/>
          <w:szCs w:val="18"/>
          <w:color w:val="auto"/>
        </w:rPr>
        <w:t>in the first quarter of 2025 were both RMB3.29 (US$0.45), compared with RMB2.57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quarter of 2024 and RMB3.45 in the fourth quarter of 2024. Excluding share-based compensation expenses and accretion on redeemable non-controlling interests to redemption value, adjusted basic and diluted net loss per share/ADS (non-GAAP) were both RMB3.01 (US$0.41), compared with RMB2.39 in the first quarter of 2024 and RMB3.17 in the fourth quarter of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5" w:lineRule="exact"/>
        <w:rPr>
          <w:sz w:val="20"/>
          <w:szCs w:val="20"/>
          <w:color w:val="auto"/>
        </w:rPr>
      </w:pPr>
    </w:p>
    <w:p>
      <w:pPr>
        <w:jc w:val="both"/>
        <w:ind w:left="660" w:hanging="328"/>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Balance of cash and cash equivalents, restricted cash, short-term investments and long-term time deposits </w:t>
      </w:r>
      <w:r>
        <w:rPr>
          <w:rFonts w:ascii="Times New Roman" w:cs="Times New Roman" w:eastAsia="Times New Roman" w:hAnsi="Times New Roman"/>
          <w:sz w:val="18"/>
          <w:szCs w:val="18"/>
          <w:color w:val="auto"/>
        </w:rPr>
        <w:t>was RMB26.0 billion (US$3.6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as of March 31, 2025. We have been incurring loss since inception. We incurred operating cash outflow for the first quarter ended March 31, 2025 and our current liabilities exceeded current assets and we had negative shareholders’ equity as of March 31, 2025. Based on our going concern and liquidity assessment, which considers our business plan including revenue growth, optimization of operation efficiency to improve operating cash flows, working capital management and the ability to raise funds from banks under available credit quotas and other sources when needed, we believe that our financial resources, including our available cash and cash equivalents, restricted cash and short-term investments, cash generated from operating activities and funds from available credit quotas and other sources will be sufficient to support our continuous operations in the ordinary course of business for the next twelve months.</w:t>
      </w:r>
    </w:p>
    <w:p>
      <w:pPr>
        <w:spacing w:after="0" w:line="200" w:lineRule="exact"/>
        <w:rPr>
          <w:sz w:val="20"/>
          <w:szCs w:val="20"/>
          <w:color w:val="auto"/>
        </w:rPr>
      </w:pPr>
    </w:p>
    <w:p>
      <w:pPr>
        <w:spacing w:after="0" w:line="205"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second quarter of 2025, the Company expects:</w:t>
      </w:r>
    </w:p>
    <w:p>
      <w:pPr>
        <w:spacing w:after="0" w:line="221" w:lineRule="exact"/>
        <w:rPr>
          <w:sz w:val="20"/>
          <w:szCs w:val="20"/>
          <w:color w:val="auto"/>
        </w:rPr>
      </w:pPr>
    </w:p>
    <w:p>
      <w:pPr>
        <w:ind w:left="660" w:hanging="328"/>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Deliveries of vehicles </w:t>
      </w:r>
      <w:r>
        <w:rPr>
          <w:rFonts w:ascii="Times New Roman" w:cs="Times New Roman" w:eastAsia="Times New Roman" w:hAnsi="Times New Roman"/>
          <w:sz w:val="18"/>
          <w:szCs w:val="18"/>
          <w:color w:val="auto"/>
        </w:rPr>
        <w:t>to be between 72,000 and 75,000 vehicles, representing an increase of approximately 25.5% to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30.7% from the same quarter of 2024.</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to be between RMB19,513 million (US$2,689 million) and RMB20,068 million (US$2,765 million), representing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11.8% to an increase of approximately 15.0% from the same quarter of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business outlook reflects the Company’s current and preliminary view on the business situation and market condition, which is subject to 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8:00 AM U.S. Eastern Time on June 3, 2025 (8:00 PM Beijing/Hong Kong/Singapore Time on June 3,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live and archived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https://ir.nio.com/news-events/events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conference using dial-in numbers, please register in advance using the link provided below and dial in 10 minutes prior to the call. Dial-in numbers, passcode and unique access PIN would be provided upon registering.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https://s1.c-conf.com/diamondpass/10047493-juh76t.html</w:t>
      </w:r>
    </w:p>
    <w:p>
      <w:pPr>
        <w:spacing w:after="0" w:line="200" w:lineRule="exact"/>
        <w:rPr>
          <w:sz w:val="20"/>
          <w:szCs w:val="20"/>
          <w:color w:val="auto"/>
        </w:rPr>
      </w:pPr>
    </w:p>
    <w:p>
      <w:pPr>
        <w:spacing w:after="0" w:line="241"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 replay of the conference call will be accessible by phone at the following numbers, until June 10, 2025:</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+1-855-883-1031</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208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+852-800-930-639</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208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+86-400-1209-216</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208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8"/>
              </w:rPr>
              <w:t>+65-800-1013-223</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+61-7-3107-6325</w:t>
            </w:r>
          </w:p>
        </w:tc>
      </w:tr>
      <w:tr>
        <w:trPr>
          <w:trHeight w:val="27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Replay PIN:</w:t>
            </w:r>
          </w:p>
        </w:tc>
        <w:tc>
          <w:tcPr>
            <w:tcW w:w="20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10047493</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200" w:lineRule="exact"/>
        <w:rPr>
          <w:sz w:val="20"/>
          <w:szCs w:val="20"/>
          <w:color w:val="auto"/>
        </w:rPr>
      </w:pPr>
    </w:p>
    <w:p>
      <w:pPr>
        <w:spacing w:after="0" w:line="203" w:lineRule="exact"/>
        <w:rPr>
          <w:sz w:val="20"/>
          <w:szCs w:val="20"/>
          <w:color w:val="auto"/>
        </w:rPr>
      </w:pPr>
    </w:p>
    <w:p>
      <w:pPr>
        <w:ind w:left="11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Non-GAAP Disclosure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uses non-GAAP measures, such as adjusted cost of sales (non-GAAP), adjusted research and development expenses (non-GAAP), adjusted selling, general and administrative expenses (non-GAAP), adjusted loss from operations (non-GAAP), adjusted net loss (non-GAAP), adjusted net loss attributable to ordinary shareholders (non-GAAP) and adjusted basic and diluted net loss per share/ADS (non-GAAP), in evaluating its operating results and for financial and operational decision-making purposes. The Company defines adjusted cost of sales (non-GAAP), adjusted research and development expenses (non-GAAP), adjusted selling, general and administrative expenses (non-GAAP) and adjusted loss from operations (non-GAAP) and adjusted net loss (non-GAAP) as cost of sales, research and development expenses, selling, general and administrative expenses, loss from operations and net loss excluding share-based compensation expenses. The Company defines adjusted net loss attributable to ordinary shareholders (non-GAAP), adjusted basic and diluted net loss per share/ADS (non-GAAP) as net loss attributable to ordinary shareholders and basic and diluted net loss per share/ADS excluding share-based compensation expenses and accretion on redeemable non-controlling interests to redemption value. By excluding the impact of share-based compensation expenses and accretion on redeemable non-controlling interests to redemption value,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w:t>
      </w:r>
    </w:p>
    <w:p>
      <w:pPr>
        <w:spacing w:after="0" w:line="200" w:lineRule="exact"/>
        <w:rPr>
          <w:sz w:val="20"/>
          <w:szCs w:val="20"/>
          <w:color w:val="auto"/>
        </w:rPr>
      </w:pPr>
    </w:p>
    <w:p>
      <w:pPr>
        <w:spacing w:after="0" w:line="203"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net loss or other consolidated statements of comprehensive loss data prepared in accordance with U.S. GAAP. The Company encourages investors and others to review its financial information in its entirety and not rely on a single financial measure.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mitigates these limitations by reconciling the non-GAAP financial measures to the most comparable U.S. GAAP performance measures, all of which should be considered when evaluating the Company’s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“Unaudited Reconciliation of GAAP and Non-GAAP Results” set forth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Renminbi amounts into U.S. dollars at specified rates solely for the convenience of the reader. Unless otherwise stated, all translations from Renminbi to U.S. dollars were made at the rate of RMB7.2567 to US$1.00, the noon buying rate in effect on March 31, 2025 in the H.10 statistical release of the Federal Reserve Board. The Company makes no representation that the Renminbi or U.S. dollars amounts referred could be converted into U.S. dollars or Renminbi, as the case may be, at any particular rate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NIO</w:t>
      </w:r>
    </w:p>
    <w:p>
      <w:pPr>
        <w:spacing w:after="0" w:line="200" w:lineRule="exact"/>
        <w:rPr>
          <w:sz w:val="20"/>
          <w:szCs w:val="20"/>
          <w:color w:val="auto"/>
        </w:rPr>
      </w:pPr>
    </w:p>
    <w:p>
      <w:pPr>
        <w:spacing w:after="0" w:line="223"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14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5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gridSpan w:val="2"/>
          </w:tcPr>
          <w:p>
            <w:pPr>
              <w:spacing w:after="0"/>
              <w:rPr>
                <w:sz w:val="19"/>
                <w:szCs w:val="19"/>
                <w:color w:val="auto"/>
              </w:rPr>
            </w:pPr>
          </w:p>
        </w:tc>
      </w:tr>
      <w:tr>
        <w:trPr>
          <w:trHeight w:val="209"/>
        </w:trPr>
        <w:tc>
          <w:tcPr>
            <w:tcW w:w="5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19,328,920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8,075,457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1,112,828</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8,320,728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6,201,797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854,630</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14,137,566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11,646,997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1,604,999</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Trade and notes receivables</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1,676,246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1,536,414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211,724</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7,702,404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9,040,834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1,245,860</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7,087,223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8,696,102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1,198,355</w:t>
            </w:r>
          </w:p>
        </w:tc>
        <w:tc>
          <w:tcPr>
            <w:tcW w:w="80" w:type="dxa"/>
            <w:vAlign w:val="bottom"/>
          </w:tcPr>
          <w:p>
            <w:pPr>
              <w:spacing w:after="0"/>
              <w:rPr>
                <w:sz w:val="18"/>
                <w:szCs w:val="18"/>
                <w:color w:val="auto"/>
              </w:rPr>
            </w:pPr>
          </w:p>
        </w:tc>
      </w:tr>
      <w:tr>
        <w:trPr>
          <w:trHeight w:val="22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3,632,956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4,592,787</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632,903</w:t>
            </w:r>
          </w:p>
        </w:tc>
        <w:tc>
          <w:tcPr>
            <w:tcW w:w="80" w:type="dxa"/>
            <w:vAlign w:val="bottom"/>
            <w:shd w:val="clear" w:color="auto" w:fill="CCEEFF"/>
          </w:tcPr>
          <w:p>
            <w:pPr>
              <w:spacing w:after="0"/>
              <w:rPr>
                <w:sz w:val="19"/>
                <w:szCs w:val="19"/>
                <w:color w:val="auto"/>
              </w:rPr>
            </w:pPr>
          </w:p>
        </w:tc>
      </w:tr>
      <w:tr>
        <w:trPr>
          <w:trHeight w:val="210"/>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61,886,043</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49,790,388</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6,861,299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97,720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80,066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11,033</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25,892,904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27,028,378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3,724,610</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29,648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29,648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4,086</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201,995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200,669</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27,653</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3,126,007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2,878,599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396,682</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12,797,158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13,124,764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1,808,641</w:t>
            </w:r>
          </w:p>
        </w:tc>
        <w:tc>
          <w:tcPr>
            <w:tcW w:w="80" w:type="dxa"/>
            <w:vAlign w:val="bottom"/>
            <w:shd w:val="clear" w:color="auto" w:fill="CCEEFF"/>
          </w:tcPr>
          <w:p>
            <w:pPr>
              <w:spacing w:after="0"/>
              <w:rPr>
                <w:sz w:val="18"/>
                <w:szCs w:val="18"/>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3,573,137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5,031,195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693,317</w:t>
            </w:r>
          </w:p>
        </w:tc>
        <w:tc>
          <w:tcPr>
            <w:tcW w:w="80" w:type="dxa"/>
            <w:vAlign w:val="bottom"/>
          </w:tcPr>
          <w:p>
            <w:pPr>
              <w:spacing w:after="0"/>
              <w:rPr>
                <w:sz w:val="19"/>
                <w:szCs w:val="19"/>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45,718,569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48,373,319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6,666,022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107,604,612</w:t>
            </w:r>
          </w:p>
        </w:tc>
        <w:tc>
          <w:tcPr>
            <w:tcW w:w="22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98,163,707</w:t>
            </w:r>
          </w:p>
        </w:tc>
        <w:tc>
          <w:tcPr>
            <w:tcW w:w="2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13,527,321</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6"/>
        </w:trPr>
        <w:tc>
          <w:tcPr>
            <w:tcW w:w="5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4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5,729,561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6,496,683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895,267</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Trade and notes payable</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34,387,266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31,385,990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4,325,105</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409,363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464,508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64,011</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400,146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392,655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54,109</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1,945,987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2,405,686</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331,512</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3,397,622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800,565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110,321</w:t>
            </w:r>
          </w:p>
        </w:tc>
        <w:tc>
          <w:tcPr>
            <w:tcW w:w="80" w:type="dxa"/>
            <w:vAlign w:val="bottom"/>
          </w:tcPr>
          <w:p>
            <w:pPr>
              <w:spacing w:after="0"/>
              <w:rPr>
                <w:sz w:val="18"/>
                <w:szCs w:val="18"/>
                <w:color w:val="auto"/>
              </w:rPr>
            </w:pPr>
          </w:p>
        </w:tc>
      </w:tr>
      <w:tr>
        <w:trPr>
          <w:trHeight w:val="23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other liabilities</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16,041,079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17,545,851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2,417,883</w:t>
            </w:r>
          </w:p>
        </w:tc>
        <w:tc>
          <w:tcPr>
            <w:tcW w:w="80" w:type="dxa"/>
            <w:vAlign w:val="bottom"/>
            <w:shd w:val="clear" w:color="auto" w:fill="CCEEFF"/>
          </w:tcPr>
          <w:p>
            <w:pPr>
              <w:spacing w:after="0"/>
              <w:rPr>
                <w:sz w:val="19"/>
                <w:szCs w:val="19"/>
                <w:color w:val="auto"/>
              </w:rPr>
            </w:pPr>
          </w:p>
        </w:tc>
      </w:tr>
      <w:tr>
        <w:trPr>
          <w:trHeight w:val="209"/>
        </w:trPr>
        <w:tc>
          <w:tcPr>
            <w:tcW w:w="5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62,311,024</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59,491,938</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8,198,208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11,440,755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9,286,728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1,279,745</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11,260,735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11,364,373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1,566,052</w:t>
            </w:r>
          </w:p>
        </w:tc>
        <w:tc>
          <w:tcPr>
            <w:tcW w:w="8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127,467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125,491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17,293</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 non-current</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329,492</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333,405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45,944</w:t>
            </w:r>
          </w:p>
        </w:tc>
        <w:tc>
          <w:tcPr>
            <w:tcW w:w="80" w:type="dxa"/>
            <w:vAlign w:val="bottom"/>
            <w:shd w:val="clear" w:color="auto" w:fill="CCEEFF"/>
          </w:tcPr>
          <w:p>
            <w:pPr>
              <w:spacing w:after="0"/>
              <w:rPr>
                <w:sz w:val="18"/>
                <w:szCs w:val="18"/>
                <w:color w:val="auto"/>
              </w:rPr>
            </w:pPr>
          </w:p>
        </w:tc>
      </w:tr>
      <w:tr>
        <w:trPr>
          <w:trHeight w:val="229"/>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8,628,596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10,247,119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1,412,093</w:t>
            </w:r>
          </w:p>
        </w:tc>
        <w:tc>
          <w:tcPr>
            <w:tcW w:w="80" w:type="dxa"/>
            <w:vAlign w:val="bottom"/>
          </w:tcPr>
          <w:p>
            <w:pPr>
              <w:spacing w:after="0"/>
              <w:rPr>
                <w:sz w:val="19"/>
                <w:szCs w:val="19"/>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31,787,045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31,357,116</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4,321,127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94,098,069</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90,849,054</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12,519,335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9"/>
        </w:trPr>
        <w:tc>
          <w:tcPr>
            <w:tcW w:w="53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90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8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w:t>
            </w: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jc w:val="right"/>
              <w:ind w:right="661"/>
              <w:spacing w:after="0"/>
              <w:rPr>
                <w:sz w:val="20"/>
                <w:szCs w:val="20"/>
                <w:color w:val="auto"/>
              </w:rPr>
            </w:pPr>
            <w:r>
              <w:rPr>
                <w:rFonts w:ascii="Times New Roman" w:cs="Times New Roman" w:eastAsia="Times New Roman" w:hAnsi="Times New Roman"/>
                <w:sz w:val="18"/>
                <w:szCs w:val="18"/>
                <w:color w:val="auto"/>
              </w:rPr>
              <w:t>As of</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December 31, 2024</w:t>
            </w:r>
          </w:p>
        </w:tc>
        <w:tc>
          <w:tcPr>
            <w:tcW w:w="14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gridSpan w:val="2"/>
          </w:tcPr>
          <w:p>
            <w:pPr>
              <w:spacing w:after="0"/>
              <w:rPr>
                <w:sz w:val="19"/>
                <w:szCs w:val="19"/>
                <w:color w:val="auto"/>
              </w:rPr>
            </w:pPr>
          </w:p>
        </w:tc>
      </w:tr>
      <w:tr>
        <w:trPr>
          <w:trHeight w:val="209"/>
        </w:trPr>
        <w:tc>
          <w:tcPr>
            <w:tcW w:w="5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8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7,441,997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7,586,488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1,045,446</w:t>
            </w:r>
          </w:p>
        </w:tc>
        <w:tc>
          <w:tcPr>
            <w:tcW w:w="8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8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7,441,997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7,586,488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1,045,446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EQUITY/(DEFICIT)</w:t>
            </w: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NIO Inc. shareholders’ equity/(deficit)</w:t>
            </w:r>
          </w:p>
        </w:tc>
        <w:tc>
          <w:tcPr>
            <w:tcW w:w="2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5,967,023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(365,896)</w:t>
            </w: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(50,422)</w:t>
            </w:r>
          </w:p>
        </w:tc>
      </w:tr>
      <w:tr>
        <w:trPr>
          <w:trHeight w:val="210"/>
        </w:trPr>
        <w:tc>
          <w:tcPr>
            <w:tcW w:w="5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97,523</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94,061</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equity/(deficit)</w:t>
            </w:r>
          </w:p>
        </w:tc>
        <w:tc>
          <w:tcPr>
            <w:tcW w:w="82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6,064,546</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(271,835</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(37,460</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equity/(deficit)</w:t>
            </w:r>
          </w:p>
        </w:tc>
        <w:tc>
          <w:tcPr>
            <w:tcW w:w="8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107,604,612</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98,163,707</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13,527,321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8"/>
        </w:trPr>
        <w:tc>
          <w:tcPr>
            <w:tcW w:w="59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5360" w:type="dxa"/>
            <w:vAlign w:val="bottom"/>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4"/>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13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98"/>
              </w:rPr>
              <w:t>March 31, 2024</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22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2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36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Vehicle sales</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8,381,318</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17,475,587</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9,939,305</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1,369,673</w:t>
            </w:r>
          </w:p>
        </w:tc>
        <w:tc>
          <w:tcPr>
            <w:tcW w:w="0" w:type="dxa"/>
            <w:vAlign w:val="bottom"/>
          </w:tcPr>
          <w:p>
            <w:pPr>
              <w:spacing w:after="0"/>
              <w:rPr>
                <w:sz w:val="1"/>
                <w:szCs w:val="1"/>
                <w:color w:val="auto"/>
              </w:rPr>
            </w:pPr>
          </w:p>
        </w:tc>
      </w:tr>
      <w:tr>
        <w:trPr>
          <w:trHeight w:val="216"/>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sales</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1,527,318</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2,227,840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2,095,424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288,757</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9,908,636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19,703,427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12,034,729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1,658,430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Vehicle sales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(7,613,242)</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(15,190,937)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(8,925,641)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(1,229,986)</w:t>
            </w:r>
          </w:p>
        </w:tc>
        <w:tc>
          <w:tcPr>
            <w:tcW w:w="0" w:type="dxa"/>
            <w:vAlign w:val="bottom"/>
          </w:tcPr>
          <w:p>
            <w:pPr>
              <w:spacing w:after="0"/>
              <w:rPr>
                <w:sz w:val="1"/>
                <w:szCs w:val="1"/>
                <w:color w:val="auto"/>
              </w:rPr>
            </w:pPr>
          </w:p>
        </w:tc>
      </w:tr>
      <w:tr>
        <w:trPr>
          <w:trHeight w:val="216"/>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sales</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(1,807,663)</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(2,203,547)</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(2,189,534)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(301,726)</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(9,420,905)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(17,394,484)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(11,115,175)</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(1,531,712)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487,731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2,308,943</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919,554</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126,718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(2,864,216)</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(3,635,826)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(3,181,403)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(438,409)</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(2,996,798)</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(4,877,995)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(4,400,763)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(606,441)</w:t>
            </w:r>
          </w:p>
        </w:tc>
        <w:tc>
          <w:tcPr>
            <w:tcW w:w="0" w:type="dxa"/>
            <w:vAlign w:val="bottom"/>
          </w:tcPr>
          <w:p>
            <w:pPr>
              <w:spacing w:after="0"/>
              <w:rPr>
                <w:sz w:val="1"/>
                <w:szCs w:val="1"/>
                <w:color w:val="auto"/>
              </w:rPr>
            </w:pPr>
          </w:p>
        </w:tc>
      </w:tr>
      <w:tr>
        <w:trPr>
          <w:trHeight w:val="216"/>
        </w:trPr>
        <w:tc>
          <w:tcPr>
            <w:tcW w:w="5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operating (loss)/income</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(20,790)</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171,943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244,484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33,691</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(5,881,804)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(8,341,878)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(7,337,682)</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(1,011,159)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(5,394,073)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(6,032,935)</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(6,418,128)</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(884,441)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investment income/(loss)</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(169,919)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173,216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(170,875)</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(247,586)</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(244,862)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(33,743)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(Loss)/gain on extinguishment of debt</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(11,326)</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6,846</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(14,660)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 of equity investees</w:t>
            </w:r>
          </w:p>
        </w:tc>
        <w:tc>
          <w:tcPr>
            <w:tcW w:w="13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(19,482)</w:t>
            </w:r>
          </w:p>
        </w:tc>
        <w:tc>
          <w:tcPr>
            <w:tcW w:w="174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(210,442)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(256,195)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(35,305)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income/(loss), net</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67,376</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(527,524)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15,227</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(5,177,587)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(7,181,560)</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(6,745,402)</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(929,541)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(expense)/benefit</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(6,990)</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70,089</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(4,631)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(5,184,577)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(7,111,471)</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(6,750,033)</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(930,179)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(79,524)</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(93,570)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(144,490)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6,183</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73,272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3,462</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NIO Inc.</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(5,257,918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(7,131,769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(6,891,061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(949,613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(5,184,577)</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(7,111,471)</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(6,750,033)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(930,179)</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w:t>
            </w:r>
          </w:p>
        </w:tc>
        <w:tc>
          <w:tcPr>
            <w:tcW w:w="12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tax</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7,468</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351,100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75,911</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10,461</w:t>
            </w:r>
          </w:p>
        </w:tc>
        <w:tc>
          <w:tcPr>
            <w:tcW w:w="0" w:type="dxa"/>
            <w:vAlign w:val="bottom"/>
          </w:tcPr>
          <w:p>
            <w:pPr>
              <w:spacing w:after="0"/>
              <w:rPr>
                <w:sz w:val="1"/>
                <w:szCs w:val="1"/>
                <w:color w:val="auto"/>
              </w:rPr>
            </w:pPr>
          </w:p>
        </w:tc>
      </w:tr>
      <w:tr>
        <w:trPr>
          <w:trHeight w:val="210"/>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income</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7,468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351,100</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75,911</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10,461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(5,177,109)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(6,760,371)</w:t>
            </w:r>
          </w:p>
        </w:tc>
        <w:tc>
          <w:tcPr>
            <w:tcW w:w="22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(6,674,122)</w:t>
            </w:r>
          </w:p>
        </w:tc>
        <w:tc>
          <w:tcPr>
            <w:tcW w:w="2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(79,524)</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(93,570)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(144,490)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(19,911)</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3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6,183</w:t>
            </w:r>
          </w:p>
        </w:tc>
        <w:tc>
          <w:tcPr>
            <w:tcW w:w="174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73,272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3,462</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194"/>
        </w:trPr>
        <w:tc>
          <w:tcPr>
            <w:tcW w:w="53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Comprehensive loss attributable to ordinary shareholders of NIO</w:t>
            </w:r>
          </w:p>
        </w:tc>
        <w:tc>
          <w:tcPr>
            <w:tcW w:w="1360" w:type="dxa"/>
            <w:vAlign w:val="bottom"/>
            <w:gridSpan w:val="2"/>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(5,250,450)</w:t>
            </w:r>
          </w:p>
        </w:tc>
        <w:tc>
          <w:tcPr>
            <w:tcW w:w="1740" w:type="dxa"/>
            <w:vAlign w:val="bottom"/>
            <w:gridSpan w:val="3"/>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(6,780,669)</w:t>
            </w:r>
          </w:p>
        </w:tc>
        <w:tc>
          <w:tcPr>
            <w:tcW w:w="144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(6,815,150)</w:t>
            </w:r>
          </w:p>
        </w:tc>
        <w:tc>
          <w:tcPr>
            <w:tcW w:w="13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(939,152)</w:t>
            </w:r>
          </w:p>
        </w:tc>
        <w:tc>
          <w:tcPr>
            <w:tcW w:w="0" w:type="dxa"/>
            <w:vAlign w:val="bottom"/>
          </w:tcPr>
          <w:p>
            <w:pPr>
              <w:spacing w:after="0"/>
              <w:rPr>
                <w:sz w:val="1"/>
                <w:szCs w:val="1"/>
                <w:color w:val="auto"/>
              </w:rPr>
            </w:pPr>
          </w:p>
        </w:tc>
      </w:tr>
      <w:tr>
        <w:trPr>
          <w:trHeight w:val="225"/>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Inc.</w:t>
            </w:r>
          </w:p>
        </w:tc>
        <w:tc>
          <w:tcPr>
            <w:tcW w:w="1360" w:type="dxa"/>
            <w:vAlign w:val="bottom"/>
            <w:gridSpan w:val="2"/>
            <w:vMerge w:val="continue"/>
            <w:shd w:val="clear" w:color="auto" w:fill="CCEEFF"/>
          </w:tcPr>
          <w:p>
            <w:pPr>
              <w:spacing w:after="0"/>
              <w:rPr>
                <w:sz w:val="19"/>
                <w:szCs w:val="19"/>
                <w:color w:val="auto"/>
              </w:rPr>
            </w:pPr>
          </w:p>
        </w:tc>
        <w:tc>
          <w:tcPr>
            <w:tcW w:w="1740" w:type="dxa"/>
            <w:vAlign w:val="bottom"/>
            <w:gridSpan w:val="3"/>
            <w:vMerge w:val="continue"/>
            <w:shd w:val="clear" w:color="auto" w:fill="CCEEFF"/>
          </w:tcPr>
          <w:p>
            <w:pPr>
              <w:spacing w:after="0"/>
              <w:rPr>
                <w:sz w:val="19"/>
                <w:szCs w:val="19"/>
                <w:color w:val="auto"/>
              </w:rPr>
            </w:pPr>
          </w:p>
        </w:tc>
        <w:tc>
          <w:tcPr>
            <w:tcW w:w="1440" w:type="dxa"/>
            <w:vAlign w:val="bottom"/>
            <w:gridSpan w:val="2"/>
            <w:vMerge w:val="continue"/>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shares/ADS used in</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3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computing net loss per share/ADS</w:t>
            </w:r>
          </w:p>
        </w:tc>
        <w:tc>
          <w:tcPr>
            <w:tcW w:w="1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3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2,044,151,465</w:t>
            </w:r>
          </w:p>
        </w:tc>
        <w:tc>
          <w:tcPr>
            <w:tcW w:w="174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2,068,453,952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2,093,881,620</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2,093,881,620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share/ADS attributable to ordinary shareholders</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3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(2.57)</w:t>
            </w:r>
          </w:p>
        </w:tc>
        <w:tc>
          <w:tcPr>
            <w:tcW w:w="174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648"/>
        </w:trPr>
        <w:tc>
          <w:tcPr>
            <w:tcW w:w="5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2025</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Accretion on redeemable</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00" w:type="dxa"/>
            <w:vAlign w:val="bottom"/>
          </w:tcPr>
          <w:p>
            <w:pPr>
              <w:spacing w:after="0"/>
              <w:rPr>
                <w:sz w:val="16"/>
                <w:szCs w:val="16"/>
                <w:color w:val="auto"/>
              </w:rPr>
            </w:pPr>
          </w:p>
        </w:tc>
      </w:tr>
      <w:tr>
        <w:trPr>
          <w:trHeight w:val="216"/>
        </w:trPr>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non-controlling interests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4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 w:type="dxa"/>
            <w:vAlign w:val="bottom"/>
          </w:tcPr>
          <w:p>
            <w:pPr>
              <w:spacing w:after="0"/>
              <w:rPr>
                <w:sz w:val="20"/>
                <w:szCs w:val="20"/>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to 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10"/>
        </w:trPr>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Borders>
              <w:top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(11,115,175)</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15,001</w:t>
            </w:r>
          </w:p>
        </w:tc>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(11,100,174)</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(3,181,403)</w:t>
            </w:r>
          </w:p>
        </w:tc>
        <w:tc>
          <w:tcPr>
            <w:tcW w:w="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267,047</w:t>
            </w:r>
          </w:p>
        </w:tc>
        <w:tc>
          <w:tcPr>
            <w:tcW w:w="2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(2,914,356)</w:t>
            </w: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(4,400,763)</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188,891</w:t>
            </w:r>
          </w:p>
        </w:tc>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(4,211,872)</w:t>
            </w:r>
          </w:p>
        </w:tc>
      </w:tr>
      <w:tr>
        <w:trPr>
          <w:trHeight w:val="21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(18,697,341)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470,939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Borders>
              <w:top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(18,226,402)</w:t>
            </w: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(6,418,128)</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470,939</w:t>
            </w:r>
          </w:p>
        </w:tc>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(5,947,189)</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(6,750,033)</w:t>
            </w:r>
          </w:p>
        </w:tc>
        <w:tc>
          <w:tcPr>
            <w:tcW w:w="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470,939</w:t>
            </w:r>
          </w:p>
        </w:tc>
        <w:tc>
          <w:tcPr>
            <w:tcW w:w="2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(6,279,094)</w:t>
            </w: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(6,891,061)</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470,939</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144,490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(6,275,632)</w:t>
            </w:r>
          </w:p>
        </w:tc>
      </w:tr>
      <w:tr>
        <w:trPr>
          <w:trHeight w:val="198"/>
        </w:trPr>
        <w:tc>
          <w:tcPr>
            <w:tcW w:w="4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 shareholders,</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 (RMB)</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tcPr>
          <w:p>
            <w:pPr>
              <w:spacing w:after="0"/>
              <w:rPr>
                <w:sz w:val="20"/>
                <w:szCs w:val="20"/>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2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w:t>
            </w:r>
          </w:p>
        </w:tc>
      </w:tr>
      <w:tr>
        <w:trPr>
          <w:trHeight w:val="198"/>
        </w:trPr>
        <w:tc>
          <w:tcPr>
            <w:tcW w:w="49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ADS attributable to ordinary shareholders, basic and</w:t>
            </w: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(USD)</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(0.45)</w:t>
            </w:r>
          </w:p>
        </w:tc>
        <w:tc>
          <w:tcPr>
            <w:tcW w:w="20" w:type="dxa"/>
            <w:vAlign w:val="bottom"/>
            <w:shd w:val="clear" w:color="auto" w:fill="CCEEFF"/>
          </w:tcPr>
          <w:p>
            <w:pPr>
              <w:spacing w:after="0"/>
              <w:rPr>
                <w:sz w:val="20"/>
                <w:szCs w:val="20"/>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(0.41)</w:t>
            </w:r>
          </w:p>
        </w:tc>
      </w:tr>
      <w:tr>
        <w:trPr>
          <w:trHeight w:val="432"/>
        </w:trPr>
        <w:tc>
          <w:tcPr>
            <w:tcW w:w="4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December 31, 2024</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Accretion on redeemable</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00" w:type="dxa"/>
            <w:vAlign w:val="bottom"/>
          </w:tcPr>
          <w:p>
            <w:pPr>
              <w:spacing w:after="0"/>
              <w:rPr>
                <w:sz w:val="16"/>
                <w:szCs w:val="16"/>
                <w:color w:val="auto"/>
              </w:rPr>
            </w:pPr>
          </w:p>
        </w:tc>
      </w:tr>
      <w:tr>
        <w:trPr>
          <w:trHeight w:val="216"/>
        </w:trPr>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2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non-controlling interests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4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 w:type="dxa"/>
            <w:vAlign w:val="bottom"/>
          </w:tcPr>
          <w:p>
            <w:pPr>
              <w:spacing w:after="0"/>
              <w:rPr>
                <w:sz w:val="20"/>
                <w:szCs w:val="20"/>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to 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10"/>
        </w:trPr>
        <w:tc>
          <w:tcPr>
            <w:tcW w:w="48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(17,394,484)</w:t>
            </w: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(17,374,843)</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(3,635,826)</w:t>
            </w:r>
          </w:p>
        </w:tc>
        <w:tc>
          <w:tcPr>
            <w:tcW w:w="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344,088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(3,291,738)</w:t>
            </w: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(4,877,995)</w:t>
            </w: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125,564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(4,752,431)</w:t>
            </w:r>
          </w:p>
        </w:tc>
      </w:tr>
      <w:tr>
        <w:trPr>
          <w:trHeight w:val="210"/>
        </w:trPr>
        <w:tc>
          <w:tcPr>
            <w:tcW w:w="4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(25,908,305)</w:t>
            </w:r>
          </w:p>
        </w:tc>
        <w:tc>
          <w:tcPr>
            <w:tcW w:w="220" w:type="dxa"/>
            <w:vAlign w:val="bottom"/>
            <w:gridSpan w:val="2"/>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489,293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(25,419,012)</w:t>
            </w: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(6,032,935)</w:t>
            </w: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489,293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(5,543,642)</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(7,111,471)</w:t>
            </w:r>
          </w:p>
        </w:tc>
        <w:tc>
          <w:tcPr>
            <w:tcW w:w="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489,293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(6,622,178)</w:t>
            </w: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(7,131,769)</w:t>
            </w: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489,293</w:t>
            </w:r>
          </w:p>
        </w:tc>
        <w:tc>
          <w:tcPr>
            <w:tcW w:w="200" w:type="dxa"/>
            <w:vAlign w:val="bottom"/>
            <w:shd w:val="clear" w:color="auto" w:fill="CCEEFF"/>
          </w:tcPr>
          <w:p>
            <w:pPr>
              <w:spacing w:after="0"/>
              <w:rPr>
                <w:sz w:val="18"/>
                <w:szCs w:val="18"/>
                <w:color w:val="auto"/>
              </w:rPr>
            </w:pP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93,570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(6,548,906)</w:t>
            </w:r>
          </w:p>
        </w:tc>
      </w:tr>
      <w:tr>
        <w:trPr>
          <w:trHeight w:val="198"/>
        </w:trPr>
        <w:tc>
          <w:tcPr>
            <w:tcW w:w="4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 shareholders,</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 (RMB)</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spacing w:after="0"/>
              <w:rPr>
                <w:sz w:val="20"/>
                <w:szCs w:val="20"/>
                <w:color w:val="auto"/>
              </w:rPr>
            </w:pPr>
          </w:p>
        </w:tc>
        <w:tc>
          <w:tcPr>
            <w:tcW w:w="2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r>
      <w:tr>
        <w:trPr>
          <w:trHeight w:val="445"/>
        </w:trPr>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2024</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Accretion on redeemable</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Adjusted</w:t>
            </w:r>
          </w:p>
        </w:tc>
        <w:tc>
          <w:tcPr>
            <w:tcW w:w="100" w:type="dxa"/>
            <w:vAlign w:val="bottom"/>
          </w:tcPr>
          <w:p>
            <w:pPr>
              <w:spacing w:after="0"/>
              <w:rPr>
                <w:sz w:val="16"/>
                <w:szCs w:val="16"/>
                <w:color w:val="auto"/>
              </w:rPr>
            </w:pPr>
          </w:p>
        </w:tc>
      </w:tr>
      <w:tr>
        <w:trPr>
          <w:trHeight w:val="216"/>
        </w:trPr>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non-controlling interests</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4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Result</w:t>
            </w: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 w:type="dxa"/>
            <w:vAlign w:val="bottom"/>
          </w:tcPr>
          <w:p>
            <w:pPr>
              <w:spacing w:after="0"/>
              <w:rPr>
                <w:sz w:val="20"/>
                <w:szCs w:val="20"/>
                <w:color w:val="auto"/>
              </w:rPr>
            </w:pPr>
          </w:p>
        </w:tc>
        <w:tc>
          <w:tcPr>
            <w:tcW w:w="2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to 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10"/>
        </w:trPr>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gridSpan w:val="2"/>
          </w:tcPr>
          <w:p>
            <w:pPr>
              <w:spacing w:after="0"/>
              <w:rPr>
                <w:sz w:val="18"/>
                <w:szCs w:val="18"/>
                <w:color w:val="auto"/>
              </w:rPr>
            </w:pPr>
          </w:p>
        </w:tc>
        <w:tc>
          <w:tcPr>
            <w:tcW w:w="124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(9,420,905)</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9,753</w:t>
            </w:r>
          </w:p>
        </w:tc>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(9,411,152)</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(2,864,216)</w:t>
            </w:r>
          </w:p>
        </w:tc>
        <w:tc>
          <w:tcPr>
            <w:tcW w:w="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205,983</w:t>
            </w:r>
          </w:p>
        </w:tc>
        <w:tc>
          <w:tcPr>
            <w:tcW w:w="2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(2,658,233)</w:t>
            </w:r>
          </w:p>
        </w:tc>
      </w:tr>
      <w:tr>
        <w:trPr>
          <w:trHeight w:val="230"/>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(2,996,798)</w:t>
            </w:r>
          </w:p>
        </w:tc>
        <w:tc>
          <w:tcPr>
            <w:tcW w:w="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65,675</w:t>
            </w:r>
          </w:p>
        </w:tc>
        <w:tc>
          <w:tcPr>
            <w:tcW w:w="2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(2,931,123)</w:t>
            </w:r>
          </w:p>
        </w:tc>
      </w:tr>
      <w:tr>
        <w:trPr>
          <w:trHeight w:val="210"/>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(15,281,919)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281,411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80" w:type="dxa"/>
            <w:vAlign w:val="bottom"/>
            <w:tcBorders>
              <w:top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(15,000,508)</w:t>
            </w:r>
          </w:p>
        </w:tc>
        <w:tc>
          <w:tcPr>
            <w:tcW w:w="100" w:type="dxa"/>
            <w:vAlign w:val="bottom"/>
          </w:tcPr>
          <w:p>
            <w:pPr>
              <w:spacing w:after="0"/>
              <w:rPr>
                <w:sz w:val="18"/>
                <w:szCs w:val="18"/>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(5,394,073)</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281,411</w:t>
            </w:r>
          </w:p>
        </w:tc>
        <w:tc>
          <w:tcPr>
            <w:tcW w:w="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(5,112,662)</w:t>
            </w:r>
          </w:p>
        </w:tc>
      </w:tr>
      <w:tr>
        <w:trPr>
          <w:trHeight w:val="216"/>
        </w:trPr>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(5,184,577)</w:t>
            </w:r>
          </w:p>
        </w:tc>
        <w:tc>
          <w:tcPr>
            <w:tcW w:w="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281,411</w:t>
            </w:r>
          </w:p>
        </w:tc>
        <w:tc>
          <w:tcPr>
            <w:tcW w:w="20" w:type="dxa"/>
            <w:vAlign w:val="bottom"/>
          </w:tcPr>
          <w:p>
            <w:pPr>
              <w:spacing w:after="0"/>
              <w:rPr>
                <w:sz w:val="18"/>
                <w:szCs w:val="18"/>
                <w:color w:val="auto"/>
              </w:rPr>
            </w:pPr>
          </w:p>
        </w:tc>
        <w:tc>
          <w:tcPr>
            <w:tcW w:w="2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(4,903,166)</w:t>
            </w:r>
          </w:p>
        </w:tc>
      </w:tr>
      <w:tr>
        <w:trPr>
          <w:trHeight w:val="216"/>
        </w:trPr>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ordinary shareholders of NIO Inc.</w:t>
            </w:r>
          </w:p>
        </w:tc>
        <w:tc>
          <w:tcPr>
            <w:tcW w:w="14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(5,257,918)</w:t>
            </w:r>
          </w:p>
        </w:tc>
        <w:tc>
          <w:tcPr>
            <w:tcW w:w="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281,411</w:t>
            </w:r>
          </w:p>
        </w:tc>
        <w:tc>
          <w:tcPr>
            <w:tcW w:w="21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79,524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(4,896,983)</w:t>
            </w:r>
          </w:p>
        </w:tc>
      </w:tr>
      <w:tr>
        <w:trPr>
          <w:trHeight w:val="198"/>
        </w:trPr>
        <w:tc>
          <w:tcPr>
            <w:tcW w:w="49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 ordinary shareholders,</w:t>
            </w: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 and diluted (RMB)</w:t>
            </w:r>
          </w:p>
        </w:tc>
        <w:tc>
          <w:tcPr>
            <w:tcW w:w="14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(2.57)</w:t>
            </w:r>
          </w:p>
        </w:tc>
        <w:tc>
          <w:tcPr>
            <w:tcW w:w="20" w:type="dxa"/>
            <w:vAlign w:val="bottom"/>
          </w:tcPr>
          <w:p>
            <w:pPr>
              <w:spacing w:after="0"/>
              <w:rPr>
                <w:sz w:val="20"/>
                <w:szCs w:val="20"/>
                <w:color w:val="auto"/>
              </w:rPr>
            </w:pPr>
          </w:p>
        </w:tc>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0.14</w:t>
            </w:r>
          </w:p>
        </w:tc>
        <w:tc>
          <w:tcPr>
            <w:tcW w:w="21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94" w:lineRule="exact"/>
        <w:rPr>
          <w:sz w:val="20"/>
          <w:szCs w:val="20"/>
          <w:color w:val="auto"/>
        </w:rPr>
      </w:pPr>
    </w:p>
    <w:p>
      <w:pPr>
        <w:ind w:right="20" w:firstLine="8"/>
        <w:spacing w:after="0" w:line="195" w:lineRule="auto"/>
        <w:tabs>
          <w:tab w:leader="none" w:pos="79" w:val="left"/>
        </w:tabs>
        <w:numPr>
          <w:ilvl w:val="0"/>
          <w:numId w:val="1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translations from RMB to USD for the first quarter of 2025 were made at the rate of RMB7.2567 to US$1.00, the noon buying rate in effect on March 31, 2025 in the H.10 statistical release of the Federal Reserve Board.</w:t>
      </w:r>
    </w:p>
    <w:p>
      <w:pPr>
        <w:spacing w:after="0" w:line="1" w:lineRule="exact"/>
        <w:rPr>
          <w:rFonts w:ascii="Times New Roman" w:cs="Times New Roman" w:eastAsia="Times New Roman" w:hAnsi="Times New Roman"/>
          <w:sz w:val="30"/>
          <w:szCs w:val="30"/>
          <w:color w:val="auto"/>
          <w:vertAlign w:val="superscript"/>
        </w:rPr>
      </w:pPr>
    </w:p>
    <w:p>
      <w:pPr>
        <w:ind w:right="800"/>
        <w:spacing w:after="0" w:line="22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ii</w:t>
      </w:r>
      <w:r>
        <w:rPr>
          <w:rFonts w:ascii="Times New Roman" w:cs="Times New Roman" w:eastAsia="Times New Roman" w:hAnsi="Times New Roman"/>
          <w:sz w:val="18"/>
          <w:szCs w:val="18"/>
          <w:color w:val="auto"/>
        </w:rPr>
        <w:t xml:space="preserve"> Vehicle margin is the margin of new vehicle sales, which is calculated based on revenues and cost of sales derived from new vehicle sales only. </w:t>
      </w:r>
      <w:r>
        <w:rPr>
          <w:rFonts w:ascii="Times New Roman" w:cs="Times New Roman" w:eastAsia="Times New Roman" w:hAnsi="Times New Roman"/>
          <w:sz w:val="29"/>
          <w:szCs w:val="29"/>
          <w:color w:val="auto"/>
          <w:vertAlign w:val="superscript"/>
        </w:rPr>
        <w:t>iii</w:t>
      </w:r>
      <w:r>
        <w:rPr>
          <w:rFonts w:ascii="Times New Roman" w:cs="Times New Roman" w:eastAsia="Times New Roman" w:hAnsi="Times New Roman"/>
          <w:sz w:val="18"/>
          <w:szCs w:val="18"/>
          <w:color w:val="auto"/>
        </w:rPr>
        <w:t xml:space="preserve"> Except for gross margin and vehicle margin, where absolute changes instead of percentage changes are calculated.</w:t>
      </w:r>
    </w:p>
    <w:p>
      <w:pPr>
        <w:spacing w:after="0" w:line="293"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
      <w:numFmt w:val="bullet"/>
      <w:start w:val="1"/>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2025-06-03T07:36:14Z</dcterms:created>
  <dcterms:modified xsi:type="dcterms:W3CDTF">2025-06-03T07:36:14Z</dcterms:modified>
</cp:coreProperties>
</file>