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4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2"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73025</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56"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96520</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For the month of September 2025</w:t>
      </w:r>
    </w:p>
    <w:p>
      <w:pPr>
        <w:spacing w:after="0" w:line="22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88265</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8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73025</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8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74295</wp:posOffset>
            </wp:positionV>
            <wp:extent cx="157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3840"/>
        <w:spacing w:after="0" w:line="207" w:lineRule="exact"/>
        <w:tabs>
          <w:tab w:leader="none" w:pos="50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660400</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103505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146050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479"/>
          </w:cols>
          <w:pgMar w:left="980" w:top="857" w:right="1440" w:bottom="1440" w:gutter="0" w:footer="0" w:header="0"/>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All exhibits to this current report on Form 6-K are hereby incorporated by reference into the registration statement on Form F-3 of NIO Inc. (File No. 333-279584) and shall become a part thereof from the date on which this current report is furnished,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740410</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60"/>
          </w:cols>
          <w:pgMar w:left="980" w:top="873" w:right="11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380" w:type="dxa"/>
            <w:vAlign w:val="bottom"/>
            <w:gridSpan w:val="3"/>
          </w:tcPr>
          <w:p>
            <w:pPr>
              <w:ind w:left="17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45"/>
        </w:trPr>
        <w:tc>
          <w:tcPr>
            <w:tcW w:w="17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gridSpan w:val="3"/>
          </w:tcPr>
          <w:p>
            <w:pPr>
              <w:ind w:left="29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720" w:type="dxa"/>
            <w:vAlign w:val="bottom"/>
          </w:tcPr>
          <w:p>
            <w:pPr>
              <w:ind w:left="34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2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color w:val="0000EE"/>
              </w:rPr>
              <w:t>Unaudited Condensed Consolidated Financial Statements as of and for the Six Months Ended June 30, 2024</w:t>
            </w:r>
          </w:p>
        </w:tc>
      </w:tr>
      <w:tr>
        <w:trPr>
          <w:trHeight w:val="196"/>
        </w:trPr>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78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and 2025</w:t>
            </w:r>
          </w:p>
        </w:tc>
        <w:tc>
          <w:tcPr>
            <w:tcW w:w="26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r>
      <w:tr>
        <w:trPr>
          <w:trHeight w:val="196"/>
        </w:trPr>
        <w:tc>
          <w:tcPr>
            <w:tcW w:w="17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160" w:type="dxa"/>
            <w:vAlign w:val="bottom"/>
          </w:tcPr>
          <w:p>
            <w:pPr>
              <w:spacing w:after="0"/>
              <w:rPr>
                <w:sz w:val="17"/>
                <w:szCs w:val="17"/>
                <w:color w:val="auto"/>
              </w:rPr>
            </w:pPr>
          </w:p>
        </w:tc>
        <w:tc>
          <w:tcPr>
            <w:tcW w:w="8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r>
      <w:tr>
        <w:trPr>
          <w:trHeight w:val="20"/>
        </w:trPr>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gridSpan w:val="3"/>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r>
      <w:tr>
        <w:trPr>
          <w:trHeight w:val="218"/>
        </w:trPr>
        <w:tc>
          <w:tcPr>
            <w:tcW w:w="1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18"/>
                <w:szCs w:val="18"/>
                <w:color w:val="auto"/>
              </w:rPr>
            </w:pPr>
          </w:p>
        </w:tc>
        <w:tc>
          <w:tcPr>
            <w:tcW w:w="8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Document-this instance document does not appear in the Interactive Data File because</w:t>
            </w:r>
          </w:p>
        </w:tc>
      </w:tr>
      <w:tr>
        <w:trPr>
          <w:trHeight w:val="216"/>
        </w:trPr>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r>
      <w:tr>
        <w:trPr>
          <w:trHeight w:val="216"/>
        </w:trPr>
        <w:tc>
          <w:tcPr>
            <w:tcW w:w="1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18"/>
                <w:szCs w:val="18"/>
                <w:color w:val="auto"/>
              </w:rPr>
            </w:pPr>
          </w:p>
        </w:tc>
        <w:tc>
          <w:tcPr>
            <w:tcW w:w="8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18"/>
                <w:szCs w:val="18"/>
                <w:color w:val="auto"/>
              </w:rPr>
            </w:pPr>
          </w:p>
        </w:tc>
        <w:tc>
          <w:tcPr>
            <w:tcW w:w="8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18"/>
                <w:szCs w:val="18"/>
                <w:color w:val="auto"/>
              </w:rPr>
            </w:pPr>
          </w:p>
        </w:tc>
        <w:tc>
          <w:tcPr>
            <w:tcW w:w="8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101.LAB</w:t>
            </w:r>
          </w:p>
        </w:tc>
        <w:tc>
          <w:tcPr>
            <w:tcW w:w="160" w:type="dxa"/>
            <w:vAlign w:val="bottom"/>
          </w:tcPr>
          <w:p>
            <w:pPr>
              <w:spacing w:after="0"/>
              <w:rPr>
                <w:sz w:val="18"/>
                <w:szCs w:val="18"/>
                <w:color w:val="auto"/>
              </w:rPr>
            </w:pPr>
          </w:p>
        </w:tc>
        <w:tc>
          <w:tcPr>
            <w:tcW w:w="8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101.PRE</w:t>
            </w:r>
          </w:p>
        </w:tc>
        <w:tc>
          <w:tcPr>
            <w:tcW w:w="160" w:type="dxa"/>
            <w:vAlign w:val="bottom"/>
          </w:tcPr>
          <w:p>
            <w:pPr>
              <w:spacing w:after="0"/>
              <w:rPr>
                <w:sz w:val="18"/>
                <w:szCs w:val="18"/>
                <w:color w:val="auto"/>
              </w:rPr>
            </w:pPr>
          </w:p>
        </w:tc>
        <w:tc>
          <w:tcPr>
            <w:tcW w:w="8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0"/>
                <w:szCs w:val="20"/>
                <w:color w:val="auto"/>
              </w:rPr>
            </w:pPr>
          </w:p>
        </w:tc>
        <w:tc>
          <w:tcPr>
            <w:tcW w:w="8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22"/>
        </w:trPr>
        <w:tc>
          <w:tcPr>
            <w:tcW w:w="1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3" w:right="9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29" w:lineRule="exact"/>
        <w:rPr>
          <w:sz w:val="20"/>
          <w:szCs w:val="20"/>
          <w:color w:val="auto"/>
        </w:rPr>
      </w:pPr>
    </w:p>
    <w:tbl>
      <w:tblPr>
        <w:tblLayout w:type="fixed"/>
        <w:tblInd w:w="486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 Qu</w:t>
            </w:r>
          </w:p>
        </w:tc>
      </w:tr>
      <w:tr>
        <w:trPr>
          <w:trHeight w:val="191"/>
        </w:trPr>
        <w:tc>
          <w:tcPr>
            <w:tcW w:w="680" w:type="dxa"/>
            <w:vAlign w:val="bottom"/>
            <w:gridSpan w:val="2"/>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Name :</w:t>
            </w: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771525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Exhibit 99.1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2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INDEX TO UNAUDITED INTERIM CONDENSED CONSOLIDATED FINANCIAL STATEMENTS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Financial Statements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9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Unaudited Interim Condensed Consolidated Balance Sheets as of December 31, 2024 and June 30, 2025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F-2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30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9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Interim Condensed Consolidated Statements of Comprehensive Loss for the Six Months Ended June 30, 2024 and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2025</w:t>
            </w:r>
          </w:p>
        </w:tc>
        <w:tc>
          <w:tcPr>
            <w:tcW w:w="4300" w:type="dxa"/>
            <w:vAlign w:val="bottom"/>
            <w:tcBorders>
              <w:top w:val="single" w:sz="8" w:color="0000EE"/>
            </w:tcBorders>
            <w:shd w:val="clear" w:color="auto" w:fill="CCEEFF"/>
          </w:tcPr>
          <w:p>
            <w:pPr>
              <w:spacing w:after="0"/>
              <w:rPr>
                <w:sz w:val="17"/>
                <w:szCs w:val="17"/>
                <w:color w:val="auto"/>
              </w:rPr>
            </w:pPr>
          </w:p>
        </w:tc>
        <w:tc>
          <w:tcPr>
            <w:tcW w:w="2140" w:type="dxa"/>
            <w:vAlign w:val="bottom"/>
            <w:tcBorders>
              <w:top w:val="single" w:sz="8" w:color="0000EE"/>
            </w:tcBorders>
            <w:shd w:val="clear" w:color="auto" w:fill="CCEEFF"/>
          </w:tcPr>
          <w:p>
            <w:pPr>
              <w:spacing w:after="0"/>
              <w:rPr>
                <w:sz w:val="17"/>
                <w:szCs w:val="17"/>
                <w:color w:val="auto"/>
              </w:rPr>
            </w:pPr>
          </w:p>
        </w:tc>
        <w:tc>
          <w:tcPr>
            <w:tcW w:w="12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ind w:left="280"/>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30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Borders>
              <w:bottom w:val="single" w:sz="8" w:color="0000EE"/>
            </w:tcBorders>
            <w:vMerge w:val="continue"/>
          </w:tcPr>
          <w:p>
            <w:pPr>
              <w:spacing w:after="0"/>
              <w:rPr>
                <w:sz w:val="15"/>
                <w:szCs w:val="15"/>
                <w:color w:val="auto"/>
              </w:rPr>
            </w:pPr>
          </w:p>
        </w:tc>
        <w:tc>
          <w:tcPr>
            <w:tcW w:w="8960" w:type="dxa"/>
            <w:vAlign w:val="bottom"/>
            <w:tcBorders>
              <w:bottom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Interim Condensed Consolidated Statements of Shareholders’ Equity/(Deficit) for the Six Months Ended June 30,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9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2024 and 2025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87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Interim Condensed Consolidated Statements of Cash Flows for the Six Months Ended June 30, 2024 and 2025</w:t>
            </w: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F-7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5360" w:type="dxa"/>
            <w:vAlign w:val="bottom"/>
            <w:tcBorders>
              <w:bottom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Unaudited Interim Condensed Consolidated Financial Statements</w:t>
            </w:r>
          </w:p>
        </w:tc>
        <w:tc>
          <w:tcPr>
            <w:tcW w:w="360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F-8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20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 of June 30,</w:t>
            </w:r>
          </w:p>
        </w:tc>
      </w:tr>
      <w:tr>
        <w:trPr>
          <w:trHeight w:val="142"/>
        </w:trPr>
        <w:tc>
          <w:tcPr>
            <w:tcW w:w="632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17"/>
        </w:trPr>
        <w:tc>
          <w:tcPr>
            <w:tcW w:w="6320" w:type="dxa"/>
            <w:vAlign w:val="bottom"/>
          </w:tcPr>
          <w:p>
            <w:pPr>
              <w:spacing w:after="0"/>
              <w:rPr>
                <w:sz w:val="10"/>
                <w:szCs w:val="10"/>
                <w:color w:val="auto"/>
              </w:rPr>
            </w:pPr>
          </w:p>
        </w:tc>
        <w:tc>
          <w:tcPr>
            <w:tcW w:w="12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0"/>
                <w:szCs w:val="10"/>
                <w:color w:val="auto"/>
              </w:rPr>
            </w:pPr>
          </w:p>
        </w:tc>
        <w:tc>
          <w:tcPr>
            <w:tcW w:w="10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10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USD</w:t>
            </w:r>
          </w:p>
        </w:tc>
      </w:tr>
      <w:tr>
        <w:trPr>
          <w:trHeight w:val="148"/>
        </w:trPr>
        <w:tc>
          <w:tcPr>
            <w:tcW w:w="6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r>
      <w:tr>
        <w:trPr>
          <w:trHeight w:val="173"/>
        </w:trPr>
        <w:tc>
          <w:tcPr>
            <w:tcW w:w="6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 2(d)</w:t>
            </w:r>
          </w:p>
        </w:tc>
      </w:tr>
      <w:tr>
        <w:trPr>
          <w:trHeight w:val="20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19,328,920</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7,111,459</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992,721</w:t>
            </w: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8,320,728</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9,260,268</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1,292,684</w:t>
            </w:r>
          </w:p>
        </w:tc>
      </w:tr>
      <w:tr>
        <w:trPr>
          <w:trHeight w:val="20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14,137,566</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10,689,430</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1,492,187</w:t>
            </w:r>
          </w:p>
        </w:tc>
      </w:tr>
      <w:tr>
        <w:trPr>
          <w:trHeight w:val="189"/>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Trade and notes receivables, net (Allowance for expected credit losses of RMB38,540 and</w:t>
            </w: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0"/>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RMB45,990 as of December 31, 2024 and June 30, 2025, respectively)</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1,676,246</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1,344,095</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187,628</w:t>
            </w:r>
          </w:p>
        </w:tc>
      </w:tr>
      <w:tr>
        <w:trPr>
          <w:trHeight w:val="195"/>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from related parties, net (Allowance for expected credit losses of RMB10,142</w:t>
            </w: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6"/>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and RMB14,709 as of December 31, 2024 and June 30, 2025, respectively)</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7,702,404</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11,414,387</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1,593,387</w:t>
            </w: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Inventory</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7,087,223</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8,243,337</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1,150,725</w:t>
            </w:r>
          </w:p>
        </w:tc>
      </w:tr>
      <w:tr>
        <w:trPr>
          <w:trHeight w:val="18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Prepayments and other current assets, net (Allowance for expected credit losses of RMB1,912</w:t>
            </w: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6"/>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and RMB1,931 as of December 31, 2024 and June 30, 2025, respectively)</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3,632,956</w:t>
            </w:r>
          </w:p>
        </w:tc>
        <w:tc>
          <w:tcPr>
            <w:tcW w:w="1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4,444,995</w:t>
            </w:r>
          </w:p>
        </w:tc>
        <w:tc>
          <w:tcPr>
            <w:tcW w:w="1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620,497</w:t>
            </w:r>
          </w:p>
        </w:tc>
      </w:tr>
      <w:tr>
        <w:trPr>
          <w:trHeight w:val="196"/>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61,886,043</w:t>
            </w: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52,507,971</w:t>
            </w:r>
          </w:p>
        </w:tc>
        <w:tc>
          <w:tcPr>
            <w:tcW w:w="1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7,329,829</w:t>
            </w:r>
          </w:p>
        </w:tc>
      </w:tr>
      <w:tr>
        <w:trPr>
          <w:trHeight w:val="19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Long-term restricted cash</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97,720</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78,073</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10,899</w:t>
            </w:r>
          </w:p>
        </w:tc>
      </w:tr>
      <w:tr>
        <w:trPr>
          <w:trHeight w:val="20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25,892,904</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26,805,111</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3,741,849</w:t>
            </w: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29,648</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29,648</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4,139</w:t>
            </w:r>
          </w:p>
        </w:tc>
      </w:tr>
      <w:tr>
        <w:trPr>
          <w:trHeight w:val="20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 use rights, net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201,995</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199,343</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27,827</w:t>
            </w: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Long-term investments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3,126,007</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2,710,730</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378,403</w:t>
            </w:r>
          </w:p>
        </w:tc>
      </w:tr>
      <w:tr>
        <w:trPr>
          <w:trHeight w:val="20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assets – operating lease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12,797,158</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12,958,244</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1,808,901</w:t>
            </w:r>
          </w:p>
        </w:tc>
      </w:tr>
      <w:tr>
        <w:trPr>
          <w:trHeight w:val="189"/>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 net (Allowance for expected credit losses of RMB59,386 and</w:t>
            </w: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0"/>
        </w:trPr>
        <w:tc>
          <w:tcPr>
            <w:tcW w:w="6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RMB40,313 as of December 31, 2024 and June 30, 2025, respectively)</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3,573,137</w:t>
            </w: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4,756,725</w:t>
            </w: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664,013</w:t>
            </w:r>
          </w:p>
        </w:tc>
      </w:tr>
      <w:tr>
        <w:trPr>
          <w:trHeight w:val="202"/>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45,718,569</w:t>
            </w:r>
          </w:p>
        </w:tc>
        <w:tc>
          <w:tcPr>
            <w:tcW w:w="16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47,537,874</w:t>
            </w:r>
          </w:p>
        </w:tc>
        <w:tc>
          <w:tcPr>
            <w:tcW w:w="14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6,636,031</w:t>
            </w:r>
          </w:p>
        </w:tc>
      </w:tr>
      <w:tr>
        <w:trPr>
          <w:trHeight w:val="236"/>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107,604,612</w:t>
            </w:r>
          </w:p>
        </w:tc>
        <w:tc>
          <w:tcPr>
            <w:tcW w:w="1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100,045,845</w:t>
            </w:r>
          </w:p>
        </w:tc>
        <w:tc>
          <w:tcPr>
            <w:tcW w:w="14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13,965,860</w:t>
            </w:r>
          </w:p>
        </w:tc>
      </w:tr>
      <w:tr>
        <w:trPr>
          <w:trHeight w:val="183"/>
        </w:trPr>
        <w:tc>
          <w:tcPr>
            <w:tcW w:w="63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borrowings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5,729,561</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5,438,829</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759,231</w:t>
            </w: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Trade and notes payable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34,387,266</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34,951,395</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4,879,027</w:t>
            </w:r>
          </w:p>
        </w:tc>
      </w:tr>
      <w:tr>
        <w:trPr>
          <w:trHeight w:val="20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to related parties, current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409,363</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641,495</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89,549</w:t>
            </w: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Taxes payable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400,146</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503,432</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70,276</w:t>
            </w:r>
          </w:p>
        </w:tc>
      </w:tr>
      <w:tr>
        <w:trPr>
          <w:trHeight w:val="20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1,945,987</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2,644,228</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369,120</w:t>
            </w: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Current portion of long-term borrowings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3,397,622</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792,198</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110,587</w:t>
            </w:r>
          </w:p>
        </w:tc>
      </w:tr>
      <w:tr>
        <w:trPr>
          <w:trHeight w:val="20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Accruals and other liabilities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16,041,079</w:t>
            </w:r>
          </w:p>
        </w:tc>
        <w:tc>
          <w:tcPr>
            <w:tcW w:w="16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17,310,010</w:t>
            </w:r>
          </w:p>
        </w:tc>
        <w:tc>
          <w:tcPr>
            <w:tcW w:w="14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2,416,385</w:t>
            </w:r>
          </w:p>
        </w:tc>
      </w:tr>
      <w:tr>
        <w:trPr>
          <w:trHeight w:val="196"/>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62,311,024</w:t>
            </w: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62,281,587</w:t>
            </w:r>
          </w:p>
        </w:tc>
        <w:tc>
          <w:tcPr>
            <w:tcW w:w="1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8,694,175</w:t>
            </w:r>
          </w:p>
        </w:tc>
      </w:tr>
      <w:tr>
        <w:trPr>
          <w:trHeight w:val="19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Long-term borrowings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11,440,755</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9,113,178</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1,272,151</w:t>
            </w:r>
          </w:p>
        </w:tc>
      </w:tr>
      <w:tr>
        <w:trPr>
          <w:trHeight w:val="20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11,260,735</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11,110,807</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1,551,009</w:t>
            </w: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127,467</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127,286</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17,768</w:t>
            </w:r>
          </w:p>
        </w:tc>
      </w:tr>
      <w:tr>
        <w:trPr>
          <w:trHeight w:val="20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to related parties, non-current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329,492</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357,970</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49,971</w:t>
            </w:r>
          </w:p>
        </w:tc>
      </w:tr>
      <w:tr>
        <w:trPr>
          <w:trHeight w:val="203"/>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8,628,596</w:t>
            </w: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10,439,053</w:t>
            </w:r>
          </w:p>
        </w:tc>
        <w:tc>
          <w:tcPr>
            <w:tcW w:w="1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1,457,232</w:t>
            </w:r>
          </w:p>
        </w:tc>
      </w:tr>
      <w:tr>
        <w:trPr>
          <w:trHeight w:val="19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31,787,045</w:t>
            </w:r>
          </w:p>
        </w:tc>
        <w:tc>
          <w:tcPr>
            <w:tcW w:w="16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31,148,294</w:t>
            </w:r>
          </w:p>
        </w:tc>
        <w:tc>
          <w:tcPr>
            <w:tcW w:w="14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4,348,131</w:t>
            </w:r>
          </w:p>
        </w:tc>
      </w:tr>
      <w:tr>
        <w:trPr>
          <w:trHeight w:val="236"/>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94,098,069</w:t>
            </w:r>
          </w:p>
        </w:tc>
        <w:tc>
          <w:tcPr>
            <w:tcW w:w="1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93,429,881</w:t>
            </w:r>
          </w:p>
        </w:tc>
        <w:tc>
          <w:tcPr>
            <w:tcW w:w="14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13,042,306</w:t>
            </w:r>
          </w:p>
        </w:tc>
      </w:tr>
      <w:tr>
        <w:trPr>
          <w:trHeight w:val="183"/>
        </w:trPr>
        <w:tc>
          <w:tcPr>
            <w:tcW w:w="63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Commitments and contingencies (Note 24)</w:t>
            </w: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22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12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0"/>
                <w:szCs w:val="10"/>
                <w:color w:val="auto"/>
              </w:rPr>
            </w:pPr>
          </w:p>
        </w:tc>
        <w:tc>
          <w:tcPr>
            <w:tcW w:w="10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10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 2(d)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MEZZANINE EQUITY</w:t>
            </w: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7,441,997</w:t>
            </w: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7,734,861</w:t>
            </w:r>
          </w:p>
        </w:tc>
        <w:tc>
          <w:tcPr>
            <w:tcW w:w="1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1,079,745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mezzanine equity</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7,441,997</w:t>
            </w:r>
          </w:p>
        </w:tc>
        <w:tc>
          <w:tcPr>
            <w:tcW w:w="16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7,734,861</w:t>
            </w:r>
          </w:p>
        </w:tc>
        <w:tc>
          <w:tcPr>
            <w:tcW w:w="14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1,079,745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EQUITY/(DEFICIT)</w:t>
            </w: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A Ordinary Shares (US$0.00025 par value; 2,632,030,222 and 2,632,030,222 shares</w:t>
            </w: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authorized; 1,946,478,828 and 2,099,062,644 shares issued; 1,943,005,895 and</w:t>
            </w: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2,096,166,266 shares outstanding as of December 31, 2024 and June 30, 2025, respectively)</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3,406</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Class C Ordinary Shares (US$0.00025 par value; 148,500,000 shares authorized, issued and</w:t>
            </w: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outstanding as of December 31, 2024 and June 30, 2025)</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Treasury shares (3,472,933 and 2,896,378 shares as of December 31, 2024 and June 30,</w:t>
            </w: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2025, respectively)</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(239,328)</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(139,156)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118,688,242</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122,894,093</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17,155,354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582,659</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843,138</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(113,068,210)</w:t>
            </w:r>
          </w:p>
        </w:tc>
        <w:tc>
          <w:tcPr>
            <w:tcW w:w="16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(124,807,714)</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(17,422,485)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NIO Inc. shareholders’ equity/(deficit)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5,967,023</w:t>
            </w:r>
          </w:p>
        </w:tc>
        <w:tc>
          <w:tcPr>
            <w:tcW w:w="16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(1,205,705)</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(168,309)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97,523</w:t>
            </w: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86,808</w:t>
            </w:r>
          </w:p>
        </w:tc>
        <w:tc>
          <w:tcPr>
            <w:tcW w:w="1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shareholders’ equity/(deficit)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6,064,546</w:t>
            </w: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(1,118,897)</w:t>
            </w:r>
          </w:p>
        </w:tc>
        <w:tc>
          <w:tcPr>
            <w:tcW w:w="1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(156,191)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mezzanine equity and shareholders’ equity/(deficit)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107,604,612</w:t>
            </w:r>
          </w:p>
        </w:tc>
        <w:tc>
          <w:tcPr>
            <w:tcW w:w="16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100,045,845</w:t>
            </w:r>
          </w:p>
        </w:tc>
        <w:tc>
          <w:tcPr>
            <w:tcW w:w="14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13,965,860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344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650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2"/>
                <w:szCs w:val="12"/>
                <w:color w:val="auto"/>
              </w:rPr>
            </w:pPr>
          </w:p>
        </w:tc>
      </w:tr>
      <w:tr>
        <w:trPr>
          <w:trHeight w:val="117"/>
        </w:trPr>
        <w:tc>
          <w:tcPr>
            <w:tcW w:w="6500" w:type="dxa"/>
            <w:vAlign w:val="bottom"/>
          </w:tcPr>
          <w:p>
            <w:pPr>
              <w:spacing w:after="0"/>
              <w:rPr>
                <w:sz w:val="10"/>
                <w:szCs w:val="10"/>
                <w:color w:val="auto"/>
              </w:rPr>
            </w:pPr>
          </w:p>
        </w:tc>
        <w:tc>
          <w:tcPr>
            <w:tcW w:w="10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0"/>
                <w:szCs w:val="10"/>
                <w:color w:val="auto"/>
              </w:rPr>
            </w:pPr>
          </w:p>
        </w:tc>
        <w:tc>
          <w:tcPr>
            <w:tcW w:w="10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10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USD</w:t>
            </w:r>
          </w:p>
        </w:tc>
        <w:tc>
          <w:tcPr>
            <w:tcW w:w="20" w:type="dxa"/>
            <w:vAlign w:val="bottom"/>
          </w:tcPr>
          <w:p>
            <w:pPr>
              <w:spacing w:after="0"/>
              <w:rPr>
                <w:sz w:val="10"/>
                <w:szCs w:val="10"/>
                <w:color w:val="auto"/>
              </w:rPr>
            </w:pPr>
          </w:p>
        </w:tc>
      </w:tr>
      <w:tr>
        <w:trPr>
          <w:trHeight w:val="149"/>
        </w:trPr>
        <w:tc>
          <w:tcPr>
            <w:tcW w:w="6500" w:type="dxa"/>
            <w:vAlign w:val="bottom"/>
          </w:tcPr>
          <w:p>
            <w:pPr>
              <w:spacing w:after="0"/>
              <w:rPr>
                <w:sz w:val="12"/>
                <w:szCs w:val="12"/>
                <w:color w:val="auto"/>
              </w:rPr>
            </w:pPr>
          </w:p>
        </w:tc>
        <w:tc>
          <w:tcPr>
            <w:tcW w:w="12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1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r>
      <w:tr>
        <w:trPr>
          <w:trHeight w:val="173"/>
        </w:trPr>
        <w:tc>
          <w:tcPr>
            <w:tcW w:w="6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 2(d)</w:t>
            </w:r>
          </w:p>
        </w:tc>
      </w:tr>
      <w:tr>
        <w:trPr>
          <w:trHeight w:val="20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89"/>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Vehicle sales (including revenues from related parties of RMB3,439,194 and RMB5,067,653 for</w:t>
            </w: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6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the six months ended June 30, 2024 and 2025, respectively)</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24,060,941</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26,075,419</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3,639,988</w:t>
            </w:r>
          </w:p>
        </w:tc>
        <w:tc>
          <w:tcPr>
            <w:tcW w:w="20" w:type="dxa"/>
            <w:vAlign w:val="bottom"/>
          </w:tcPr>
          <w:p>
            <w:pPr>
              <w:spacing w:after="0"/>
              <w:rPr>
                <w:sz w:val="18"/>
                <w:szCs w:val="18"/>
                <w:color w:val="auto"/>
              </w:rPr>
            </w:pPr>
          </w:p>
        </w:tc>
      </w:tr>
      <w:tr>
        <w:trPr>
          <w:trHeight w:val="195"/>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sales (including revenues from related parties of RMB92,997 and RMB385,062 for the six</w:t>
            </w: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months ended June 30, 2024 and 2025, respectively)</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3,293,663</w:t>
            </w:r>
          </w:p>
        </w:tc>
        <w:tc>
          <w:tcPr>
            <w:tcW w:w="1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4,967,975</w:t>
            </w:r>
          </w:p>
        </w:tc>
        <w:tc>
          <w:tcPr>
            <w:tcW w:w="1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693,503</w:t>
            </w:r>
          </w:p>
        </w:tc>
        <w:tc>
          <w:tcPr>
            <w:tcW w:w="20" w:type="dxa"/>
            <w:vAlign w:val="bottom"/>
          </w:tcPr>
          <w:p>
            <w:pPr>
              <w:spacing w:after="0"/>
              <w:rPr>
                <w:sz w:val="18"/>
                <w:szCs w:val="18"/>
                <w:color w:val="auto"/>
              </w:rPr>
            </w:pPr>
          </w:p>
        </w:tc>
      </w:tr>
      <w:tr>
        <w:trPr>
          <w:trHeight w:val="196"/>
        </w:trPr>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27,354,604</w:t>
            </w:r>
          </w:p>
        </w:tc>
        <w:tc>
          <w:tcPr>
            <w:tcW w:w="1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31,043,394</w:t>
            </w:r>
          </w:p>
        </w:tc>
        <w:tc>
          <w:tcPr>
            <w:tcW w:w="1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4,333,491</w:t>
            </w:r>
          </w:p>
        </w:tc>
        <w:tc>
          <w:tcPr>
            <w:tcW w:w="20" w:type="dxa"/>
            <w:vAlign w:val="bottom"/>
          </w:tcPr>
          <w:p>
            <w:pPr>
              <w:spacing w:after="0"/>
              <w:rPr>
                <w:sz w:val="17"/>
                <w:szCs w:val="17"/>
                <w:color w:val="auto"/>
              </w:rPr>
            </w:pPr>
          </w:p>
        </w:tc>
      </w:tr>
      <w:tr>
        <w:trPr>
          <w:trHeight w:val="19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Vehicle sales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(21,386,680)</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(23,398,863)</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(3,266,355)</w:t>
            </w:r>
          </w:p>
        </w:tc>
        <w:tc>
          <w:tcPr>
            <w:tcW w:w="20" w:type="dxa"/>
            <w:vAlign w:val="bottom"/>
          </w:tcPr>
          <w:p>
            <w:pPr>
              <w:spacing w:after="0"/>
              <w:rPr>
                <w:sz w:val="17"/>
                <w:szCs w:val="17"/>
                <w:color w:val="auto"/>
              </w:rPr>
            </w:pPr>
          </w:p>
        </w:tc>
      </w:tr>
      <w:tr>
        <w:trPr>
          <w:trHeight w:val="20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sales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(3,791,478)</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(4,827,454)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(673,887)</w:t>
            </w:r>
          </w:p>
        </w:tc>
        <w:tc>
          <w:tcPr>
            <w:tcW w:w="20" w:type="dxa"/>
            <w:vAlign w:val="bottom"/>
          </w:tcPr>
          <w:p>
            <w:pPr>
              <w:spacing w:after="0"/>
              <w:rPr>
                <w:sz w:val="17"/>
                <w:szCs w:val="17"/>
                <w:color w:val="auto"/>
              </w:rPr>
            </w:pPr>
          </w:p>
        </w:tc>
      </w:tr>
      <w:tr>
        <w:trPr>
          <w:trHeight w:val="196"/>
        </w:trPr>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cost of sales</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(25,178,158)</w:t>
            </w:r>
          </w:p>
        </w:tc>
        <w:tc>
          <w:tcPr>
            <w:tcW w:w="16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(28,226,317)</w:t>
            </w:r>
          </w:p>
        </w:tc>
        <w:tc>
          <w:tcPr>
            <w:tcW w:w="14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(3,940,242)</w:t>
            </w:r>
          </w:p>
        </w:tc>
        <w:tc>
          <w:tcPr>
            <w:tcW w:w="20" w:type="dxa"/>
            <w:vAlign w:val="bottom"/>
          </w:tcPr>
          <w:p>
            <w:pPr>
              <w:spacing w:after="0"/>
              <w:rPr>
                <w:sz w:val="17"/>
                <w:szCs w:val="17"/>
                <w:color w:val="auto"/>
              </w:rPr>
            </w:pPr>
          </w:p>
        </w:tc>
      </w:tr>
      <w:tr>
        <w:trPr>
          <w:trHeight w:val="19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2,176,446</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2,817,077</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393,249</w:t>
            </w:r>
          </w:p>
        </w:tc>
        <w:tc>
          <w:tcPr>
            <w:tcW w:w="20" w:type="dxa"/>
            <w:vAlign w:val="bottom"/>
          </w:tcPr>
          <w:p>
            <w:pPr>
              <w:spacing w:after="0"/>
              <w:rPr>
                <w:sz w:val="17"/>
                <w:szCs w:val="17"/>
                <w:color w:val="auto"/>
              </w:rPr>
            </w:pP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(6,082,738)</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(6,188,435)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(863,872)</w:t>
            </w:r>
          </w:p>
        </w:tc>
        <w:tc>
          <w:tcPr>
            <w:tcW w:w="20" w:type="dxa"/>
            <w:vAlign w:val="bottom"/>
          </w:tcPr>
          <w:p>
            <w:pPr>
              <w:spacing w:after="0"/>
              <w:rPr>
                <w:sz w:val="17"/>
                <w:szCs w:val="17"/>
                <w:color w:val="auto"/>
              </w:rPr>
            </w:pP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(6,754,256)</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(8,365,684)</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(1,167,804)</w:t>
            </w:r>
          </w:p>
        </w:tc>
        <w:tc>
          <w:tcPr>
            <w:tcW w:w="20" w:type="dxa"/>
            <w:vAlign w:val="bottom"/>
          </w:tcPr>
          <w:p>
            <w:pPr>
              <w:spacing w:after="0"/>
              <w:rPr>
                <w:sz w:val="17"/>
                <w:szCs w:val="17"/>
                <w:color w:val="auto"/>
              </w:rPr>
            </w:pPr>
          </w:p>
        </w:tc>
      </w:tr>
      <w:tr>
        <w:trPr>
          <w:trHeight w:val="20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operating income, net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57,177</w:t>
            </w:r>
          </w:p>
        </w:tc>
        <w:tc>
          <w:tcPr>
            <w:tcW w:w="16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410,056</w:t>
            </w:r>
          </w:p>
        </w:tc>
        <w:tc>
          <w:tcPr>
            <w:tcW w:w="14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57,242</w:t>
            </w:r>
          </w:p>
        </w:tc>
        <w:tc>
          <w:tcPr>
            <w:tcW w:w="20" w:type="dxa"/>
            <w:vAlign w:val="bottom"/>
          </w:tcPr>
          <w:p>
            <w:pPr>
              <w:spacing w:after="0"/>
              <w:rPr>
                <w:sz w:val="17"/>
                <w:szCs w:val="17"/>
                <w:color w:val="auto"/>
              </w:rPr>
            </w:pPr>
          </w:p>
        </w:tc>
      </w:tr>
      <w:tr>
        <w:trPr>
          <w:trHeight w:val="196"/>
        </w:trPr>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(12,779,817)</w:t>
            </w:r>
          </w:p>
        </w:tc>
        <w:tc>
          <w:tcPr>
            <w:tcW w:w="1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(14,144,063)</w:t>
            </w:r>
          </w:p>
        </w:tc>
        <w:tc>
          <w:tcPr>
            <w:tcW w:w="1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(1,974,434)</w:t>
            </w:r>
          </w:p>
        </w:tc>
        <w:tc>
          <w:tcPr>
            <w:tcW w:w="20" w:type="dxa"/>
            <w:vAlign w:val="bottom"/>
          </w:tcPr>
          <w:p>
            <w:pPr>
              <w:spacing w:after="0"/>
              <w:rPr>
                <w:sz w:val="17"/>
                <w:szCs w:val="17"/>
                <w:color w:val="auto"/>
              </w:rPr>
            </w:pPr>
          </w:p>
        </w:tc>
      </w:tr>
      <w:tr>
        <w:trPr>
          <w:trHeight w:val="19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(10,603,371)</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(11,326,986)</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(1,581,185)</w:t>
            </w:r>
          </w:p>
        </w:tc>
        <w:tc>
          <w:tcPr>
            <w:tcW w:w="20" w:type="dxa"/>
            <w:vAlign w:val="bottom"/>
          </w:tcPr>
          <w:p>
            <w:pPr>
              <w:spacing w:after="0"/>
              <w:rPr>
                <w:sz w:val="17"/>
                <w:szCs w:val="17"/>
                <w:color w:val="auto"/>
              </w:rPr>
            </w:pP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713,524</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280,745</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39,190</w:t>
            </w:r>
          </w:p>
        </w:tc>
        <w:tc>
          <w:tcPr>
            <w:tcW w:w="20" w:type="dxa"/>
            <w:vAlign w:val="bottom"/>
          </w:tcPr>
          <w:p>
            <w:pPr>
              <w:spacing w:after="0"/>
              <w:rPr>
                <w:sz w:val="17"/>
                <w:szCs w:val="17"/>
                <w:color w:val="auto"/>
              </w:rPr>
            </w:pPr>
          </w:p>
        </w:tc>
      </w:tr>
      <w:tr>
        <w:trPr>
          <w:trHeight w:val="20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(347,016)</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(457,610)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(63,880)</w:t>
            </w:r>
          </w:p>
        </w:tc>
        <w:tc>
          <w:tcPr>
            <w:tcW w:w="20" w:type="dxa"/>
            <w:vAlign w:val="bottom"/>
          </w:tcPr>
          <w:p>
            <w:pPr>
              <w:spacing w:after="0"/>
              <w:rPr>
                <w:sz w:val="17"/>
                <w:szCs w:val="17"/>
                <w:color w:val="auto"/>
              </w:rPr>
            </w:pP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(11,326)</w:t>
            </w:r>
          </w:p>
        </w:tc>
        <w:tc>
          <w:tcPr>
            <w:tcW w:w="16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(14,660)</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20" w:type="dxa"/>
            <w:vAlign w:val="bottom"/>
          </w:tcPr>
          <w:p>
            <w:pPr>
              <w:spacing w:after="0"/>
              <w:rPr>
                <w:sz w:val="17"/>
                <w:szCs w:val="17"/>
                <w:color w:val="auto"/>
              </w:rPr>
            </w:pPr>
          </w:p>
        </w:tc>
      </w:tr>
      <w:tr>
        <w:trPr>
          <w:trHeight w:val="20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of loss of equity investees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(93,089)</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(380,859)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(53,166)</w:t>
            </w:r>
          </w:p>
        </w:tc>
        <w:tc>
          <w:tcPr>
            <w:tcW w:w="20" w:type="dxa"/>
            <w:vAlign w:val="bottom"/>
          </w:tcPr>
          <w:p>
            <w:pPr>
              <w:spacing w:after="0"/>
              <w:rPr>
                <w:sz w:val="17"/>
                <w:szCs w:val="17"/>
                <w:color w:val="auto"/>
              </w:rPr>
            </w:pPr>
          </w:p>
        </w:tc>
      </w:tr>
      <w:tr>
        <w:trPr>
          <w:trHeight w:val="203"/>
        </w:trPr>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119,727</w:t>
            </w:r>
          </w:p>
        </w:tc>
        <w:tc>
          <w:tcPr>
            <w:tcW w:w="1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202,106</w:t>
            </w:r>
          </w:p>
        </w:tc>
        <w:tc>
          <w:tcPr>
            <w:tcW w:w="1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28,213</w:t>
            </w:r>
          </w:p>
        </w:tc>
        <w:tc>
          <w:tcPr>
            <w:tcW w:w="20" w:type="dxa"/>
            <w:vAlign w:val="bottom"/>
          </w:tcPr>
          <w:p>
            <w:pPr>
              <w:spacing w:after="0"/>
              <w:rPr>
                <w:sz w:val="17"/>
                <w:szCs w:val="17"/>
                <w:color w:val="auto"/>
              </w:rPr>
            </w:pPr>
          </w:p>
        </w:tc>
      </w:tr>
      <w:tr>
        <w:trPr>
          <w:trHeight w:val="19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before income tax expense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(10,221,551)</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(11,697,264)</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(1,632,874)</w:t>
            </w:r>
          </w:p>
        </w:tc>
        <w:tc>
          <w:tcPr>
            <w:tcW w:w="20" w:type="dxa"/>
            <w:vAlign w:val="bottom"/>
          </w:tcPr>
          <w:p>
            <w:pPr>
              <w:spacing w:after="0"/>
              <w:rPr>
                <w:sz w:val="17"/>
                <w:szCs w:val="17"/>
                <w:color w:val="auto"/>
              </w:rPr>
            </w:pP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(9,009)</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(47,570)</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(6,641)</w:t>
            </w:r>
          </w:p>
        </w:tc>
        <w:tc>
          <w:tcPr>
            <w:tcW w:w="20" w:type="dxa"/>
            <w:vAlign w:val="bottom"/>
          </w:tcPr>
          <w:p>
            <w:pPr>
              <w:spacing w:after="0"/>
              <w:rPr>
                <w:sz w:val="17"/>
                <w:szCs w:val="17"/>
                <w:color w:val="auto"/>
              </w:rPr>
            </w:pPr>
          </w:p>
        </w:tc>
      </w:tr>
      <w:tr>
        <w:trPr>
          <w:trHeight w:val="196"/>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(10,230,560)</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(11,744,834)</w:t>
            </w:r>
          </w:p>
        </w:tc>
        <w:tc>
          <w:tcPr>
            <w:tcW w:w="1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(1,639,515)</w:t>
            </w:r>
          </w:p>
        </w:tc>
        <w:tc>
          <w:tcPr>
            <w:tcW w:w="20" w:type="dxa"/>
            <w:vAlign w:val="bottom"/>
          </w:tcPr>
          <w:p>
            <w:pPr>
              <w:spacing w:after="0"/>
              <w:rPr>
                <w:sz w:val="17"/>
                <w:szCs w:val="17"/>
                <w:color w:val="auto"/>
              </w:rPr>
            </w:pP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Accretion on redeemable non-controlling interests to redemption value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(162,546)</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(292,864)</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(40,882)</w:t>
            </w:r>
          </w:p>
        </w:tc>
        <w:tc>
          <w:tcPr>
            <w:tcW w:w="20" w:type="dxa"/>
            <w:vAlign w:val="bottom"/>
          </w:tcPr>
          <w:p>
            <w:pPr>
              <w:spacing w:after="0"/>
              <w:rPr>
                <w:sz w:val="17"/>
                <w:szCs w:val="17"/>
                <w:color w:val="auto"/>
              </w:rPr>
            </w:pPr>
          </w:p>
        </w:tc>
      </w:tr>
      <w:tr>
        <w:trPr>
          <w:trHeight w:val="20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8,818</w:t>
            </w:r>
          </w:p>
        </w:tc>
        <w:tc>
          <w:tcPr>
            <w:tcW w:w="16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5,330</w:t>
            </w:r>
          </w:p>
        </w:tc>
        <w:tc>
          <w:tcPr>
            <w:tcW w:w="14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20" w:type="dxa"/>
            <w:vAlign w:val="bottom"/>
          </w:tcPr>
          <w:p>
            <w:pPr>
              <w:spacing w:after="0"/>
              <w:rPr>
                <w:sz w:val="17"/>
                <w:szCs w:val="17"/>
                <w:color w:val="auto"/>
              </w:rPr>
            </w:pPr>
          </w:p>
        </w:tc>
      </w:tr>
      <w:tr>
        <w:trPr>
          <w:trHeight w:val="196"/>
        </w:trPr>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loss attributable to ordinary shareholders of NIO Inc.</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(10,384,288)</w:t>
            </w:r>
          </w:p>
        </w:tc>
        <w:tc>
          <w:tcPr>
            <w:tcW w:w="1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(12,032,368)</w:t>
            </w:r>
          </w:p>
        </w:tc>
        <w:tc>
          <w:tcPr>
            <w:tcW w:w="1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(1,679,653)</w:t>
            </w:r>
          </w:p>
        </w:tc>
        <w:tc>
          <w:tcPr>
            <w:tcW w:w="20" w:type="dxa"/>
            <w:vAlign w:val="bottom"/>
          </w:tcPr>
          <w:p>
            <w:pPr>
              <w:spacing w:after="0"/>
              <w:rPr>
                <w:sz w:val="17"/>
                <w:szCs w:val="17"/>
                <w:color w:val="auto"/>
              </w:rPr>
            </w:pPr>
          </w:p>
        </w:tc>
      </w:tr>
      <w:tr>
        <w:trPr>
          <w:trHeight w:val="19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(10,230,560)</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(11,744,834)</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(1,639,515)</w:t>
            </w:r>
          </w:p>
        </w:tc>
        <w:tc>
          <w:tcPr>
            <w:tcW w:w="20" w:type="dxa"/>
            <w:vAlign w:val="bottom"/>
          </w:tcPr>
          <w:p>
            <w:pPr>
              <w:spacing w:after="0"/>
              <w:rPr>
                <w:sz w:val="17"/>
                <w:szCs w:val="17"/>
                <w:color w:val="auto"/>
              </w:rPr>
            </w:pP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 net of nil tax</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96,951</w:t>
            </w:r>
          </w:p>
        </w:tc>
        <w:tc>
          <w:tcPr>
            <w:tcW w:w="16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260,479</w:t>
            </w:r>
          </w:p>
        </w:tc>
        <w:tc>
          <w:tcPr>
            <w:tcW w:w="14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36,361</w:t>
            </w:r>
          </w:p>
        </w:tc>
        <w:tc>
          <w:tcPr>
            <w:tcW w:w="20" w:type="dxa"/>
            <w:vAlign w:val="bottom"/>
          </w:tcPr>
          <w:p>
            <w:pPr>
              <w:spacing w:after="0"/>
              <w:rPr>
                <w:sz w:val="17"/>
                <w:szCs w:val="17"/>
                <w:color w:val="auto"/>
              </w:rPr>
            </w:pPr>
          </w:p>
        </w:tc>
      </w:tr>
      <w:tr>
        <w:trPr>
          <w:trHeight w:val="196"/>
        </w:trPr>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other comprehensive income</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96,951</w:t>
            </w:r>
          </w:p>
        </w:tc>
        <w:tc>
          <w:tcPr>
            <w:tcW w:w="1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260,479</w:t>
            </w:r>
          </w:p>
        </w:tc>
        <w:tc>
          <w:tcPr>
            <w:tcW w:w="1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36,361</w:t>
            </w:r>
          </w:p>
        </w:tc>
        <w:tc>
          <w:tcPr>
            <w:tcW w:w="20" w:type="dxa"/>
            <w:vAlign w:val="bottom"/>
          </w:tcPr>
          <w:p>
            <w:pPr>
              <w:spacing w:after="0"/>
              <w:rPr>
                <w:sz w:val="17"/>
                <w:szCs w:val="17"/>
                <w:color w:val="auto"/>
              </w:rPr>
            </w:pPr>
          </w:p>
        </w:tc>
      </w:tr>
      <w:tr>
        <w:trPr>
          <w:trHeight w:val="19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comprehensive loss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(10,133,609)</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(11,484,355)</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(1,603,154)</w:t>
            </w:r>
          </w:p>
        </w:tc>
        <w:tc>
          <w:tcPr>
            <w:tcW w:w="20" w:type="dxa"/>
            <w:vAlign w:val="bottom"/>
          </w:tcPr>
          <w:p>
            <w:pPr>
              <w:spacing w:after="0"/>
              <w:rPr>
                <w:sz w:val="17"/>
                <w:szCs w:val="17"/>
                <w:color w:val="auto"/>
              </w:rPr>
            </w:pP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Accretion on redeemable non-controlling interests to redemption value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(162,546)</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(292,864)</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(40,882)</w:t>
            </w:r>
          </w:p>
        </w:tc>
        <w:tc>
          <w:tcPr>
            <w:tcW w:w="20" w:type="dxa"/>
            <w:vAlign w:val="bottom"/>
          </w:tcPr>
          <w:p>
            <w:pPr>
              <w:spacing w:after="0"/>
              <w:rPr>
                <w:sz w:val="17"/>
                <w:szCs w:val="17"/>
                <w:color w:val="auto"/>
              </w:rPr>
            </w:pPr>
          </w:p>
        </w:tc>
      </w:tr>
      <w:tr>
        <w:trPr>
          <w:trHeight w:val="20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8,818</w:t>
            </w:r>
          </w:p>
        </w:tc>
        <w:tc>
          <w:tcPr>
            <w:tcW w:w="16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5,330</w:t>
            </w:r>
          </w:p>
        </w:tc>
        <w:tc>
          <w:tcPr>
            <w:tcW w:w="14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20" w:type="dxa"/>
            <w:vAlign w:val="bottom"/>
          </w:tcPr>
          <w:p>
            <w:pPr>
              <w:spacing w:after="0"/>
              <w:rPr>
                <w:sz w:val="17"/>
                <w:szCs w:val="17"/>
                <w:color w:val="auto"/>
              </w:rPr>
            </w:pPr>
          </w:p>
        </w:tc>
      </w:tr>
      <w:tr>
        <w:trPr>
          <w:trHeight w:val="196"/>
        </w:trPr>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Comprehensive loss attributable to ordinary shareholders of NIO Inc</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(10,287,337)</w:t>
            </w:r>
          </w:p>
        </w:tc>
        <w:tc>
          <w:tcPr>
            <w:tcW w:w="1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(11,771,889)</w:t>
            </w:r>
          </w:p>
        </w:tc>
        <w:tc>
          <w:tcPr>
            <w:tcW w:w="1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(1,643,292)</w:t>
            </w:r>
          </w:p>
        </w:tc>
        <w:tc>
          <w:tcPr>
            <w:tcW w:w="20" w:type="dxa"/>
            <w:vAlign w:val="bottom"/>
          </w:tcPr>
          <w:p>
            <w:pPr>
              <w:spacing w:after="0"/>
              <w:rPr>
                <w:sz w:val="17"/>
                <w:szCs w:val="17"/>
                <w:color w:val="auto"/>
              </w:rPr>
            </w:pPr>
          </w:p>
        </w:tc>
      </w:tr>
      <w:tr>
        <w:trPr>
          <w:trHeight w:val="167"/>
        </w:trPr>
        <w:tc>
          <w:tcPr>
            <w:tcW w:w="65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Weighted average number of ordinary shares/ADS used in computing net loss per</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18"/>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share/ADS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2,047,257,903</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2,162,319,854</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2,162,319,854</w:t>
            </w:r>
          </w:p>
        </w:tc>
        <w:tc>
          <w:tcPr>
            <w:tcW w:w="20" w:type="dxa"/>
            <w:vAlign w:val="bottom"/>
          </w:tcPr>
          <w:p>
            <w:pPr>
              <w:spacing w:after="0"/>
              <w:rPr>
                <w:sz w:val="17"/>
                <w:szCs w:val="17"/>
                <w:color w:val="auto"/>
              </w:rPr>
            </w:pPr>
          </w:p>
        </w:tc>
      </w:tr>
      <w:tr>
        <w:trPr>
          <w:trHeight w:val="20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per share/ADS attributable to ordinary shareholders</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(5.07)</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(5.56)</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20" w:type="dxa"/>
            <w:vAlign w:val="bottom"/>
          </w:tcPr>
          <w:p>
            <w:pPr>
              <w:spacing w:after="0"/>
              <w:rPr>
                <w:sz w:val="18"/>
                <w:szCs w:val="18"/>
                <w:color w:val="auto"/>
              </w:rPr>
            </w:pPr>
          </w:p>
        </w:tc>
      </w:tr>
    </w:tbl>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SHAREHOLDERS’ EQUITY/(DEFICIT)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78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580" w:type="dxa"/>
            <w:vAlign w:val="bottom"/>
            <w:gridSpan w:val="3"/>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Treasury Shares</w:t>
            </w: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780" w:type="dxa"/>
            <w:vAlign w:val="bottom"/>
            <w:gridSpan w:val="4"/>
            <w:vMerge w:val="continue"/>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2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20" w:type="dxa"/>
            <w:vAlign w:val="bottom"/>
            <w:vMerge w:val="continue"/>
          </w:tcPr>
          <w:p>
            <w:pPr>
              <w:spacing w:after="0"/>
              <w:rPr>
                <w:sz w:val="12"/>
                <w:szCs w:val="12"/>
                <w:color w:val="auto"/>
              </w:rPr>
            </w:pPr>
          </w:p>
        </w:tc>
        <w:tc>
          <w:tcPr>
            <w:tcW w:w="11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2"/>
                <w:szCs w:val="2"/>
                <w:color w:val="auto"/>
              </w:rPr>
            </w:pPr>
          </w:p>
        </w:tc>
        <w:tc>
          <w:tcPr>
            <w:tcW w:w="11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2"/>
                <w:szCs w:val="2"/>
                <w:color w:val="auto"/>
              </w:rPr>
            </w:pP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40" w:type="dxa"/>
            <w:vAlign w:val="bottom"/>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Par value</w:t>
            </w:r>
          </w:p>
        </w:tc>
        <w:tc>
          <w:tcPr>
            <w:tcW w:w="140" w:type="dxa"/>
            <w:vAlign w:val="bottom"/>
            <w:vMerge w:val="continue"/>
          </w:tcPr>
          <w:p>
            <w:pPr>
              <w:spacing w:after="0"/>
              <w:rPr>
                <w:sz w:val="12"/>
                <w:szCs w:val="12"/>
                <w:color w:val="auto"/>
              </w:rPr>
            </w:pPr>
          </w:p>
        </w:tc>
        <w:tc>
          <w:tcPr>
            <w:tcW w:w="90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080" w:type="dxa"/>
            <w:vAlign w:val="bottom"/>
            <w:tcBorders>
              <w:top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 as of</w:t>
            </w:r>
          </w:p>
        </w:tc>
        <w:tc>
          <w:tcPr>
            <w:tcW w:w="9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2,073,522,118</w:t>
            </w: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3,622</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(18,061,024)</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(1,849,600)</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117,717,254</w:t>
            </w: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432,991</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(90,758,034)</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25,546,233</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189,399</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25,735,632</w:t>
            </w:r>
          </w:p>
        </w:tc>
        <w:tc>
          <w:tcPr>
            <w:tcW w:w="0" w:type="dxa"/>
            <w:vAlign w:val="bottom"/>
          </w:tcPr>
          <w:p>
            <w:pPr>
              <w:spacing w:after="0"/>
              <w:rPr>
                <w:sz w:val="1"/>
                <w:szCs w:val="1"/>
                <w:color w:val="auto"/>
              </w:rPr>
            </w:pPr>
          </w:p>
        </w:tc>
      </w:tr>
      <w:tr>
        <w:trPr>
          <w:trHeight w:val="173"/>
        </w:trPr>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9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Accretion on</w:t>
            </w: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redeemable</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non-</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controlling</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interests to</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redemption</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(162,546)</w:t>
            </w:r>
          </w:p>
        </w:tc>
        <w:tc>
          <w:tcPr>
            <w:tcW w:w="140" w:type="dxa"/>
            <w:vAlign w:val="bottom"/>
          </w:tcPr>
          <w:p>
            <w:pPr>
              <w:spacing w:after="0"/>
              <w:rPr>
                <w:sz w:val="12"/>
                <w:szCs w:val="12"/>
                <w:color w:val="auto"/>
              </w:rPr>
            </w:pPr>
          </w:p>
        </w:tc>
        <w:tc>
          <w:tcPr>
            <w:tcW w:w="11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(162,546)</w:t>
            </w:r>
          </w:p>
        </w:tc>
        <w:tc>
          <w:tcPr>
            <w:tcW w:w="14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(162,546)</w:t>
            </w:r>
          </w:p>
        </w:tc>
        <w:tc>
          <w:tcPr>
            <w:tcW w:w="0" w:type="dxa"/>
            <w:vAlign w:val="bottom"/>
          </w:tcPr>
          <w:p>
            <w:pPr>
              <w:spacing w:after="0"/>
              <w:rPr>
                <w:sz w:val="1"/>
                <w:szCs w:val="1"/>
                <w:color w:val="auto"/>
              </w:rPr>
            </w:pPr>
          </w:p>
        </w:tc>
      </w:tr>
      <w:tr>
        <w:trPr>
          <w:trHeight w:val="171"/>
        </w:trPr>
        <w:tc>
          <w:tcPr>
            <w:tcW w:w="1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value</w:t>
            </w:r>
          </w:p>
        </w:tc>
        <w:tc>
          <w:tcPr>
            <w:tcW w:w="10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Exercise of</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2,881,202</w:t>
            </w: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23,587</w:t>
            </w:r>
          </w:p>
        </w:tc>
        <w:tc>
          <w:tcPr>
            <w:tcW w:w="14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23,592</w:t>
            </w:r>
          </w:p>
        </w:tc>
        <w:tc>
          <w:tcPr>
            <w:tcW w:w="1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23,592</w:t>
            </w:r>
          </w:p>
        </w:tc>
        <w:tc>
          <w:tcPr>
            <w:tcW w:w="0" w:type="dxa"/>
            <w:vAlign w:val="bottom"/>
          </w:tcPr>
          <w:p>
            <w:pPr>
              <w:spacing w:after="0"/>
              <w:rPr>
                <w:sz w:val="1"/>
                <w:szCs w:val="1"/>
                <w:color w:val="auto"/>
              </w:rPr>
            </w:pPr>
          </w:p>
        </w:tc>
      </w:tr>
      <w:tr>
        <w:trPr>
          <w:trHeight w:val="171"/>
        </w:trPr>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 options</w:t>
            </w:r>
          </w:p>
        </w:tc>
        <w:tc>
          <w:tcPr>
            <w:tcW w:w="9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 based</w:t>
            </w: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of the</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restricted</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shares and</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7,056,923</w:t>
            </w:r>
          </w:p>
        </w:tc>
        <w:tc>
          <w:tcPr>
            <w:tcW w:w="1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792,151</w:t>
            </w:r>
          </w:p>
        </w:tc>
        <w:tc>
          <w:tcPr>
            <w:tcW w:w="140" w:type="dxa"/>
            <w:vAlign w:val="bottom"/>
          </w:tcPr>
          <w:p>
            <w:pPr>
              <w:spacing w:after="0"/>
              <w:rPr>
                <w:sz w:val="12"/>
                <w:szCs w:val="12"/>
                <w:color w:val="auto"/>
              </w:rPr>
            </w:pPr>
          </w:p>
        </w:tc>
        <w:tc>
          <w:tcPr>
            <w:tcW w:w="11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792,164</w:t>
            </w:r>
          </w:p>
        </w:tc>
        <w:tc>
          <w:tcPr>
            <w:tcW w:w="14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792,164</w:t>
            </w:r>
          </w:p>
        </w:tc>
        <w:tc>
          <w:tcPr>
            <w:tcW w:w="0" w:type="dxa"/>
            <w:vAlign w:val="bottom"/>
          </w:tcPr>
          <w:p>
            <w:pPr>
              <w:spacing w:after="0"/>
              <w:rPr>
                <w:sz w:val="1"/>
                <w:szCs w:val="1"/>
                <w:color w:val="auto"/>
              </w:rPr>
            </w:pPr>
          </w:p>
        </w:tc>
      </w:tr>
      <w:tr>
        <w:trPr>
          <w:trHeight w:val="171"/>
        </w:trPr>
        <w:tc>
          <w:tcPr>
            <w:tcW w:w="1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 options</w:t>
            </w: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w:t>
            </w: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currency</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96,951</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96,951</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96,951</w:t>
            </w:r>
          </w:p>
        </w:tc>
        <w:tc>
          <w:tcPr>
            <w:tcW w:w="0" w:type="dxa"/>
            <w:vAlign w:val="bottom"/>
          </w:tcPr>
          <w:p>
            <w:pPr>
              <w:spacing w:after="0"/>
              <w:rPr>
                <w:sz w:val="1"/>
                <w:szCs w:val="1"/>
                <w:color w:val="auto"/>
              </w:rPr>
            </w:pPr>
          </w:p>
        </w:tc>
      </w:tr>
      <w:tr>
        <w:trPr>
          <w:trHeight w:val="171"/>
        </w:trPr>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w:t>
            </w:r>
          </w:p>
        </w:tc>
        <w:tc>
          <w:tcPr>
            <w:tcW w:w="10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Settlement of</w:t>
            </w: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capped call</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options and</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zero strike</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call options</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(13,404,825)</w:t>
            </w: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(709,490)</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709,490</w:t>
            </w:r>
          </w:p>
        </w:tc>
        <w:tc>
          <w:tcPr>
            <w:tcW w:w="140" w:type="dxa"/>
            <w:vAlign w:val="bottom"/>
          </w:tcPr>
          <w:p>
            <w:pPr>
              <w:spacing w:after="0"/>
              <w:rPr>
                <w:sz w:val="12"/>
                <w:szCs w:val="12"/>
                <w:color w:val="auto"/>
              </w:rPr>
            </w:pPr>
          </w:p>
        </w:tc>
        <w:tc>
          <w:tcPr>
            <w:tcW w:w="11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(Note 11 (iii))</w:t>
            </w:r>
          </w:p>
        </w:tc>
        <w:tc>
          <w:tcPr>
            <w:tcW w:w="10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Capital</w:t>
            </w: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withdrawal</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by non-</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controlling</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171"/>
        </w:trPr>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interests</w:t>
            </w:r>
          </w:p>
        </w:tc>
        <w:tc>
          <w:tcPr>
            <w:tcW w:w="10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 lending</w:t>
            </w: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arrangement</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139,175</w:t>
            </w: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11,711</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(11,711)</w:t>
            </w:r>
          </w:p>
        </w:tc>
        <w:tc>
          <w:tcPr>
            <w:tcW w:w="140" w:type="dxa"/>
            <w:vAlign w:val="bottom"/>
          </w:tcPr>
          <w:p>
            <w:pPr>
              <w:spacing w:after="0"/>
              <w:rPr>
                <w:sz w:val="12"/>
                <w:szCs w:val="12"/>
                <w:color w:val="auto"/>
              </w:rPr>
            </w:pPr>
          </w:p>
        </w:tc>
        <w:tc>
          <w:tcPr>
            <w:tcW w:w="11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(Note 20)</w:t>
            </w:r>
          </w:p>
        </w:tc>
        <w:tc>
          <w:tcPr>
            <w:tcW w:w="10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(10,221,742)</w:t>
            </w:r>
          </w:p>
        </w:tc>
        <w:tc>
          <w:tcPr>
            <w:tcW w:w="10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(10,221,742)</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(8,818)</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(10,230,560)</w:t>
            </w:r>
          </w:p>
        </w:tc>
        <w:tc>
          <w:tcPr>
            <w:tcW w:w="0" w:type="dxa"/>
            <w:vAlign w:val="bottom"/>
          </w:tcPr>
          <w:p>
            <w:pPr>
              <w:spacing w:after="0"/>
              <w:rPr>
                <w:sz w:val="1"/>
                <w:szCs w:val="1"/>
                <w:color w:val="auto"/>
              </w:rPr>
            </w:pPr>
          </w:p>
        </w:tc>
      </w:tr>
      <w:tr>
        <w:trPr>
          <w:trHeight w:val="104"/>
        </w:trPr>
        <w:tc>
          <w:tcPr>
            <w:tcW w:w="1080" w:type="dxa"/>
            <w:vAlign w:val="bottom"/>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 as of</w:t>
            </w:r>
          </w:p>
        </w:tc>
        <w:tc>
          <w:tcPr>
            <w:tcW w:w="9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2,083,460,243</w:t>
            </w:r>
          </w:p>
        </w:tc>
        <w:tc>
          <w:tcPr>
            <w:tcW w:w="1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3,640</w:t>
            </w: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(31,326,674)</w:t>
            </w: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(2,547,379)</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119,068,225</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529,942</w:t>
            </w: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(100,979,776)</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16,074,652</w:t>
            </w: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180,238</w:t>
            </w: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16,254,890</w:t>
            </w:r>
          </w:p>
        </w:tc>
        <w:tc>
          <w:tcPr>
            <w:tcW w:w="0" w:type="dxa"/>
            <w:vAlign w:val="bottom"/>
          </w:tcPr>
          <w:p>
            <w:pPr>
              <w:spacing w:after="0"/>
              <w:rPr>
                <w:sz w:val="1"/>
                <w:szCs w:val="1"/>
                <w:color w:val="auto"/>
              </w:rPr>
            </w:pPr>
          </w:p>
        </w:tc>
      </w:tr>
      <w:tr>
        <w:trPr>
          <w:trHeight w:val="160"/>
        </w:trPr>
        <w:tc>
          <w:tcPr>
            <w:tcW w:w="1080" w:type="dxa"/>
            <w:vAlign w:val="bottom"/>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9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80810" cy="26035"/>
                    </a:xfrm>
                    <a:prstGeom prst="rect">
                      <a:avLst/>
                    </a:prstGeom>
                    <a:noFill/>
                  </pic:spPr>
                </pic:pic>
              </a:graphicData>
            </a:graphic>
          </wp:anchor>
        </w:drawing>
      </w:r>
    </w:p>
    <w:p>
      <w:pPr>
        <w:sectPr>
          <w:pgSz w:w="11900" w:h="16838" w:orient="portrait"/>
          <w:cols w:equalWidth="0" w:num="1">
            <w:col w:w="10220"/>
          </w:cols>
          <w:pgMar w:left="840" w:top="513" w:right="8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6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SHAREHOLDERS’ EQUITY/(DEFICIT)</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78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54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Treasury Shares</w:t>
            </w: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780" w:type="dxa"/>
            <w:vAlign w:val="bottom"/>
            <w:gridSpan w:val="4"/>
            <w:vMerge w:val="continue"/>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Paid in</w:t>
            </w:r>
          </w:p>
        </w:tc>
        <w:tc>
          <w:tcPr>
            <w:tcW w:w="12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2"/>
            <w:vMerge w:val="continue"/>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2"/>
                <w:szCs w:val="2"/>
                <w:color w:val="auto"/>
              </w:rPr>
            </w:pPr>
          </w:p>
        </w:tc>
        <w:tc>
          <w:tcPr>
            <w:tcW w:w="11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Equity/(Deficit)</w:t>
            </w: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Equity/(Deficit)</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40" w:type="dxa"/>
            <w:vAlign w:val="bottom"/>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Par value</w:t>
            </w:r>
          </w:p>
        </w:tc>
        <w:tc>
          <w:tcPr>
            <w:tcW w:w="140" w:type="dxa"/>
            <w:vAlign w:val="bottom"/>
            <w:vMerge w:val="continue"/>
          </w:tcPr>
          <w:p>
            <w:pPr>
              <w:spacing w:after="0"/>
              <w:rPr>
                <w:sz w:val="12"/>
                <w:szCs w:val="12"/>
                <w:color w:val="auto"/>
              </w:rPr>
            </w:pPr>
          </w:p>
        </w:tc>
        <w:tc>
          <w:tcPr>
            <w:tcW w:w="82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080" w:type="dxa"/>
            <w:vAlign w:val="bottom"/>
            <w:tcBorders>
              <w:top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 as of</w:t>
            </w:r>
          </w:p>
        </w:tc>
        <w:tc>
          <w:tcPr>
            <w:tcW w:w="9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2,094,978,828</w:t>
            </w: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3,660</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(3,472,933)</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(239,328)</w:t>
            </w: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118,688,242</w:t>
            </w:r>
          </w:p>
        </w:tc>
        <w:tc>
          <w:tcPr>
            <w:tcW w:w="1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582,659</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(113,068,210)</w:t>
            </w:r>
          </w:p>
        </w:tc>
        <w:tc>
          <w:tcPr>
            <w:tcW w:w="1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5,967,023</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97,523</w:t>
            </w:r>
          </w:p>
        </w:tc>
        <w:tc>
          <w:tcPr>
            <w:tcW w:w="1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6,064,546</w:t>
            </w:r>
          </w:p>
        </w:tc>
        <w:tc>
          <w:tcPr>
            <w:tcW w:w="0" w:type="dxa"/>
            <w:vAlign w:val="bottom"/>
          </w:tcPr>
          <w:p>
            <w:pPr>
              <w:spacing w:after="0"/>
              <w:rPr>
                <w:sz w:val="1"/>
                <w:szCs w:val="1"/>
                <w:color w:val="auto"/>
              </w:rPr>
            </w:pPr>
          </w:p>
        </w:tc>
      </w:tr>
      <w:tr>
        <w:trPr>
          <w:trHeight w:val="173"/>
        </w:trPr>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9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Accretion on</w:t>
            </w: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redeemable</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non-</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controlling</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interests to</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redemption</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(292,864)</w:t>
            </w:r>
          </w:p>
        </w:tc>
        <w:tc>
          <w:tcPr>
            <w:tcW w:w="160" w:type="dxa"/>
            <w:vAlign w:val="bottom"/>
          </w:tcPr>
          <w:p>
            <w:pPr>
              <w:spacing w:after="0"/>
              <w:rPr>
                <w:sz w:val="12"/>
                <w:szCs w:val="12"/>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(292,864)</w:t>
            </w:r>
          </w:p>
        </w:tc>
        <w:tc>
          <w:tcPr>
            <w:tcW w:w="16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(292,864)</w:t>
            </w:r>
          </w:p>
        </w:tc>
        <w:tc>
          <w:tcPr>
            <w:tcW w:w="0" w:type="dxa"/>
            <w:vAlign w:val="bottom"/>
          </w:tcPr>
          <w:p>
            <w:pPr>
              <w:spacing w:after="0"/>
              <w:rPr>
                <w:sz w:val="1"/>
                <w:szCs w:val="1"/>
                <w:color w:val="auto"/>
              </w:rPr>
            </w:pPr>
          </w:p>
        </w:tc>
      </w:tr>
      <w:tr>
        <w:trPr>
          <w:trHeight w:val="171"/>
        </w:trPr>
        <w:tc>
          <w:tcPr>
            <w:tcW w:w="1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value</w:t>
            </w:r>
          </w:p>
        </w:tc>
        <w:tc>
          <w:tcPr>
            <w:tcW w:w="10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w:t>
            </w: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ordinary</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136,800,000</w:t>
            </w: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3,684,647</w:t>
            </w:r>
          </w:p>
        </w:tc>
        <w:tc>
          <w:tcPr>
            <w:tcW w:w="16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3,684,893</w:t>
            </w:r>
          </w:p>
        </w:tc>
        <w:tc>
          <w:tcPr>
            <w:tcW w:w="1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3,684,893</w:t>
            </w:r>
          </w:p>
        </w:tc>
        <w:tc>
          <w:tcPr>
            <w:tcW w:w="0" w:type="dxa"/>
            <w:vAlign w:val="bottom"/>
          </w:tcPr>
          <w:p>
            <w:pPr>
              <w:spacing w:after="0"/>
              <w:rPr>
                <w:sz w:val="1"/>
                <w:szCs w:val="1"/>
                <w:color w:val="auto"/>
              </w:rPr>
            </w:pPr>
          </w:p>
        </w:tc>
      </w:tr>
      <w:tr>
        <w:trPr>
          <w:trHeight w:val="171"/>
        </w:trPr>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9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Exercise of</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1,326,807</w:t>
            </w: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17,152</w:t>
            </w:r>
          </w:p>
        </w:tc>
        <w:tc>
          <w:tcPr>
            <w:tcW w:w="160" w:type="dxa"/>
            <w:vAlign w:val="bottom"/>
          </w:tcPr>
          <w:p>
            <w:pPr>
              <w:spacing w:after="0"/>
              <w:rPr>
                <w:sz w:val="10"/>
                <w:szCs w:val="10"/>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17,154</w:t>
            </w:r>
          </w:p>
        </w:tc>
        <w:tc>
          <w:tcPr>
            <w:tcW w:w="16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17,154</w:t>
            </w:r>
          </w:p>
        </w:tc>
        <w:tc>
          <w:tcPr>
            <w:tcW w:w="0" w:type="dxa"/>
            <w:vAlign w:val="bottom"/>
          </w:tcPr>
          <w:p>
            <w:pPr>
              <w:spacing w:after="0"/>
              <w:rPr>
                <w:sz w:val="1"/>
                <w:szCs w:val="1"/>
                <w:color w:val="auto"/>
              </w:rPr>
            </w:pPr>
          </w:p>
        </w:tc>
      </w:tr>
      <w:tr>
        <w:trPr>
          <w:trHeight w:val="171"/>
        </w:trPr>
        <w:tc>
          <w:tcPr>
            <w:tcW w:w="1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 options</w:t>
            </w: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 based</w:t>
            </w: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of the</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restricted</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shares and</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14,457,009</w:t>
            </w: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897,088</w:t>
            </w:r>
          </w:p>
        </w:tc>
        <w:tc>
          <w:tcPr>
            <w:tcW w:w="16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897,114</w:t>
            </w:r>
          </w:p>
        </w:tc>
        <w:tc>
          <w:tcPr>
            <w:tcW w:w="1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897,114</w:t>
            </w:r>
          </w:p>
        </w:tc>
        <w:tc>
          <w:tcPr>
            <w:tcW w:w="0" w:type="dxa"/>
            <w:vAlign w:val="bottom"/>
          </w:tcPr>
          <w:p>
            <w:pPr>
              <w:spacing w:after="0"/>
              <w:rPr>
                <w:sz w:val="1"/>
                <w:szCs w:val="1"/>
                <w:color w:val="auto"/>
              </w:rPr>
            </w:pPr>
          </w:p>
        </w:tc>
      </w:tr>
      <w:tr>
        <w:trPr>
          <w:trHeight w:val="171"/>
        </w:trPr>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 options</w:t>
            </w:r>
          </w:p>
        </w:tc>
        <w:tc>
          <w:tcPr>
            <w:tcW w:w="9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w:t>
            </w: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currency</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260,479</w:t>
            </w:r>
          </w:p>
        </w:tc>
        <w:tc>
          <w:tcPr>
            <w:tcW w:w="140" w:type="dxa"/>
            <w:vAlign w:val="bottom"/>
          </w:tcPr>
          <w:p>
            <w:pPr>
              <w:spacing w:after="0"/>
              <w:rPr>
                <w:sz w:val="12"/>
                <w:szCs w:val="12"/>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260,479</w:t>
            </w:r>
          </w:p>
        </w:tc>
        <w:tc>
          <w:tcPr>
            <w:tcW w:w="16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260,479</w:t>
            </w:r>
          </w:p>
        </w:tc>
        <w:tc>
          <w:tcPr>
            <w:tcW w:w="0" w:type="dxa"/>
            <w:vAlign w:val="bottom"/>
          </w:tcPr>
          <w:p>
            <w:pPr>
              <w:spacing w:after="0"/>
              <w:rPr>
                <w:sz w:val="1"/>
                <w:szCs w:val="1"/>
                <w:color w:val="auto"/>
              </w:rPr>
            </w:pPr>
          </w:p>
        </w:tc>
      </w:tr>
      <w:tr>
        <w:trPr>
          <w:trHeight w:val="171"/>
        </w:trPr>
        <w:tc>
          <w:tcPr>
            <w:tcW w:w="1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adjustment</w:t>
            </w:r>
          </w:p>
        </w:tc>
        <w:tc>
          <w:tcPr>
            <w:tcW w:w="10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Distribution to</w:t>
            </w: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non-</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controlling</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(5,385)</w:t>
            </w:r>
          </w:p>
        </w:tc>
        <w:tc>
          <w:tcPr>
            <w:tcW w:w="1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(5,385)</w:t>
            </w:r>
          </w:p>
        </w:tc>
        <w:tc>
          <w:tcPr>
            <w:tcW w:w="0" w:type="dxa"/>
            <w:vAlign w:val="bottom"/>
          </w:tcPr>
          <w:p>
            <w:pPr>
              <w:spacing w:after="0"/>
              <w:rPr>
                <w:sz w:val="1"/>
                <w:szCs w:val="1"/>
                <w:color w:val="auto"/>
              </w:rPr>
            </w:pPr>
          </w:p>
        </w:tc>
      </w:tr>
      <w:tr>
        <w:trPr>
          <w:trHeight w:val="171"/>
        </w:trPr>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interests</w:t>
            </w:r>
          </w:p>
        </w:tc>
        <w:tc>
          <w:tcPr>
            <w:tcW w:w="10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 lending</w:t>
            </w: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arrangement</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576,555</w:t>
            </w: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100,172</w:t>
            </w: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(100,172)</w:t>
            </w:r>
          </w:p>
        </w:tc>
        <w:tc>
          <w:tcPr>
            <w:tcW w:w="160" w:type="dxa"/>
            <w:vAlign w:val="bottom"/>
          </w:tcPr>
          <w:p>
            <w:pPr>
              <w:spacing w:after="0"/>
              <w:rPr>
                <w:sz w:val="12"/>
                <w:szCs w:val="12"/>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(Note 20)</w:t>
            </w:r>
          </w:p>
        </w:tc>
        <w:tc>
          <w:tcPr>
            <w:tcW w:w="10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(11,739,504)</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(11,739,504)</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(5,330)</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(11,744,834)</w:t>
            </w:r>
          </w:p>
        </w:tc>
        <w:tc>
          <w:tcPr>
            <w:tcW w:w="0" w:type="dxa"/>
            <w:vAlign w:val="bottom"/>
          </w:tcPr>
          <w:p>
            <w:pPr>
              <w:spacing w:after="0"/>
              <w:rPr>
                <w:sz w:val="1"/>
                <w:szCs w:val="1"/>
                <w:color w:val="auto"/>
              </w:rPr>
            </w:pPr>
          </w:p>
        </w:tc>
      </w:tr>
      <w:tr>
        <w:trPr>
          <w:trHeight w:val="104"/>
        </w:trPr>
        <w:tc>
          <w:tcPr>
            <w:tcW w:w="1080" w:type="dxa"/>
            <w:vAlign w:val="bottom"/>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 as of</w:t>
            </w:r>
          </w:p>
        </w:tc>
        <w:tc>
          <w:tcPr>
            <w:tcW w:w="9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2,247,562,644</w:t>
            </w:r>
          </w:p>
        </w:tc>
        <w:tc>
          <w:tcPr>
            <w:tcW w:w="1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3,934</w:t>
            </w: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(2,896,378)</w:t>
            </w: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(139,156)</w:t>
            </w: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122,894,093</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843,138</w:t>
            </w: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(124,807,714)</w:t>
            </w:r>
          </w:p>
        </w:tc>
        <w:tc>
          <w:tcPr>
            <w:tcW w:w="1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(1,205,705)</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86,808</w:t>
            </w:r>
          </w:p>
        </w:tc>
        <w:tc>
          <w:tcPr>
            <w:tcW w:w="1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(1,118,897)</w:t>
            </w:r>
          </w:p>
        </w:tc>
        <w:tc>
          <w:tcPr>
            <w:tcW w:w="0" w:type="dxa"/>
            <w:vAlign w:val="bottom"/>
          </w:tcPr>
          <w:p>
            <w:pPr>
              <w:spacing w:after="0"/>
              <w:rPr>
                <w:sz w:val="1"/>
                <w:szCs w:val="1"/>
                <w:color w:val="auto"/>
              </w:rPr>
            </w:pPr>
          </w:p>
        </w:tc>
      </w:tr>
      <w:tr>
        <w:trPr>
          <w:trHeight w:val="160"/>
        </w:trPr>
        <w:tc>
          <w:tcPr>
            <w:tcW w:w="1080" w:type="dxa"/>
            <w:vAlign w:val="bottom"/>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9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360"/>
          </w:cols>
          <w:pgMar w:left="840" w:top="513" w:right="6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6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b w:val="1"/>
          <w:bCs w:val="1"/>
          <w:color w:val="auto"/>
        </w:rPr>
        <w:t>NIO INC.</w:t>
      </w:r>
    </w:p>
    <w:p>
      <w:pPr>
        <w:spacing w:after="0" w:line="14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6"/>
          <w:szCs w:val="16"/>
          <w:b w:val="1"/>
          <w:bCs w:val="1"/>
          <w:color w:val="auto"/>
        </w:rPr>
        <w:t>UNAUDITED INTERIM CONDENSED CONSOLIDATED STATEMENTS OF CASH FLOWS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Six Months Ended June 30,</w:t>
            </w:r>
          </w:p>
        </w:tc>
        <w:tc>
          <w:tcPr>
            <w:tcW w:w="10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8"/>
        </w:trPr>
        <w:tc>
          <w:tcPr>
            <w:tcW w:w="624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20" w:type="dxa"/>
            <w:vAlign w:val="bottom"/>
          </w:tcPr>
          <w:p>
            <w:pPr>
              <w:spacing w:after="0"/>
              <w:rPr>
                <w:sz w:val="11"/>
                <w:szCs w:val="11"/>
                <w:color w:val="auto"/>
              </w:rPr>
            </w:pPr>
          </w:p>
        </w:tc>
        <w:tc>
          <w:tcPr>
            <w:tcW w:w="1280" w:type="dxa"/>
            <w:vAlign w:val="bottom"/>
            <w:gridSpan w:val="2"/>
          </w:tcPr>
          <w:p>
            <w:pPr>
              <w:jc w:val="center"/>
              <w:ind w:left="177"/>
              <w:spacing w:after="0" w:line="129" w:lineRule="exact"/>
              <w:rPr>
                <w:sz w:val="20"/>
                <w:szCs w:val="20"/>
                <w:color w:val="auto"/>
              </w:rPr>
            </w:pPr>
            <w:r>
              <w:rPr>
                <w:rFonts w:ascii="Times New Roman" w:cs="Times New Roman" w:eastAsia="Times New Roman" w:hAnsi="Times New Roman"/>
                <w:sz w:val="13"/>
                <w:szCs w:val="13"/>
                <w:b w:val="1"/>
                <w:bCs w:val="1"/>
                <w:color w:val="auto"/>
                <w:w w:val="92"/>
              </w:rPr>
              <w:t>2025</w:t>
            </w:r>
          </w:p>
        </w:tc>
        <w:tc>
          <w:tcPr>
            <w:tcW w:w="260" w:type="dxa"/>
            <w:vAlign w:val="bottom"/>
          </w:tcPr>
          <w:p>
            <w:pPr>
              <w:spacing w:after="0"/>
              <w:rPr>
                <w:sz w:val="11"/>
                <w:szCs w:val="11"/>
                <w:color w:val="auto"/>
              </w:rPr>
            </w:pPr>
          </w:p>
        </w:tc>
        <w:tc>
          <w:tcPr>
            <w:tcW w:w="10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2025</w:t>
            </w:r>
          </w:p>
        </w:tc>
        <w:tc>
          <w:tcPr>
            <w:tcW w:w="20" w:type="dxa"/>
            <w:vAlign w:val="bottom"/>
          </w:tcPr>
          <w:p>
            <w:pPr>
              <w:spacing w:after="0"/>
              <w:rPr>
                <w:sz w:val="11"/>
                <w:szCs w:val="11"/>
                <w:color w:val="auto"/>
              </w:rPr>
            </w:pPr>
          </w:p>
        </w:tc>
      </w:tr>
      <w:tr>
        <w:trPr>
          <w:trHeight w:val="108"/>
        </w:trPr>
        <w:tc>
          <w:tcPr>
            <w:tcW w:w="6240" w:type="dxa"/>
            <w:vAlign w:val="bottom"/>
          </w:tcPr>
          <w:p>
            <w:pPr>
              <w:spacing w:after="0"/>
              <w:rPr>
                <w:sz w:val="9"/>
                <w:szCs w:val="9"/>
                <w:color w:val="auto"/>
              </w:rPr>
            </w:pPr>
          </w:p>
        </w:tc>
        <w:tc>
          <w:tcPr>
            <w:tcW w:w="104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RMB</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w w:val="99"/>
              </w:rPr>
              <w:t>RMB</w:t>
            </w:r>
          </w:p>
        </w:tc>
        <w:tc>
          <w:tcPr>
            <w:tcW w:w="260" w:type="dxa"/>
            <w:vAlign w:val="bottom"/>
          </w:tcPr>
          <w:p>
            <w:pPr>
              <w:spacing w:after="0"/>
              <w:rPr>
                <w:sz w:val="9"/>
                <w:szCs w:val="9"/>
                <w:color w:val="auto"/>
              </w:rPr>
            </w:pPr>
          </w:p>
        </w:tc>
        <w:tc>
          <w:tcPr>
            <w:tcW w:w="10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w w:val="99"/>
              </w:rPr>
              <w:t>USD</w:t>
            </w:r>
          </w:p>
        </w:tc>
        <w:tc>
          <w:tcPr>
            <w:tcW w:w="20" w:type="dxa"/>
            <w:vAlign w:val="bottom"/>
          </w:tcPr>
          <w:p>
            <w:pPr>
              <w:spacing w:after="0"/>
              <w:rPr>
                <w:sz w:val="9"/>
                <w:szCs w:val="9"/>
                <w:color w:val="auto"/>
              </w:rPr>
            </w:pPr>
          </w:p>
        </w:tc>
      </w:tr>
      <w:tr>
        <w:trPr>
          <w:trHeight w:val="135"/>
        </w:trPr>
        <w:tc>
          <w:tcPr>
            <w:tcW w:w="6240" w:type="dxa"/>
            <w:vAlign w:val="bottom"/>
          </w:tcPr>
          <w:p>
            <w:pPr>
              <w:spacing w:after="0"/>
              <w:rPr>
                <w:sz w:val="11"/>
                <w:szCs w:val="11"/>
                <w:color w:val="auto"/>
              </w:rPr>
            </w:pPr>
          </w:p>
        </w:tc>
        <w:tc>
          <w:tcPr>
            <w:tcW w:w="10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(Unaudited)</w:t>
            </w:r>
          </w:p>
        </w:tc>
        <w:tc>
          <w:tcPr>
            <w:tcW w:w="2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(Unaudited)</w:t>
            </w:r>
          </w:p>
        </w:tc>
        <w:tc>
          <w:tcPr>
            <w:tcW w:w="110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(Unaudited)</w:t>
            </w:r>
          </w:p>
        </w:tc>
      </w:tr>
      <w:tr>
        <w:trPr>
          <w:trHeight w:val="155"/>
        </w:trPr>
        <w:tc>
          <w:tcPr>
            <w:tcW w:w="6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Note 2(d)</w:t>
            </w:r>
          </w:p>
        </w:tc>
      </w:tr>
      <w:tr>
        <w:trPr>
          <w:trHeight w:val="135"/>
        </w:trPr>
        <w:tc>
          <w:tcPr>
            <w:tcW w:w="6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0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0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(10,230,560)</w:t>
            </w:r>
          </w:p>
        </w:tc>
        <w:tc>
          <w:tcPr>
            <w:tcW w:w="154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(11,744,834)</w:t>
            </w: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(1,639,515)</w:t>
            </w:r>
          </w:p>
        </w:tc>
        <w:tc>
          <w:tcPr>
            <w:tcW w:w="20" w:type="dxa"/>
            <w:vAlign w:val="bottom"/>
          </w:tcPr>
          <w:p>
            <w:pPr>
              <w:spacing w:after="0"/>
              <w:rPr>
                <w:sz w:val="11"/>
                <w:szCs w:val="11"/>
                <w:color w:val="auto"/>
              </w:rPr>
            </w:pPr>
          </w:p>
        </w:tc>
      </w:tr>
      <w:tr>
        <w:trPr>
          <w:trHeight w:val="135"/>
        </w:trPr>
        <w:tc>
          <w:tcPr>
            <w:tcW w:w="6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10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2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2,650,584</w:t>
            </w:r>
          </w:p>
        </w:tc>
        <w:tc>
          <w:tcPr>
            <w:tcW w:w="20" w:type="dxa"/>
            <w:vAlign w:val="bottom"/>
          </w:tcPr>
          <w:p>
            <w:pPr>
              <w:spacing w:after="0"/>
              <w:rPr>
                <w:sz w:val="11"/>
                <w:szCs w:val="11"/>
                <w:color w:val="auto"/>
              </w:rPr>
            </w:pPr>
          </w:p>
        </w:tc>
        <w:tc>
          <w:tcPr>
            <w:tcW w:w="12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3,495,955</w:t>
            </w:r>
          </w:p>
        </w:tc>
        <w:tc>
          <w:tcPr>
            <w:tcW w:w="26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488,017</w:t>
            </w:r>
          </w:p>
        </w:tc>
        <w:tc>
          <w:tcPr>
            <w:tcW w:w="20" w:type="dxa"/>
            <w:vAlign w:val="bottom"/>
          </w:tcPr>
          <w:p>
            <w:pPr>
              <w:spacing w:after="0"/>
              <w:rPr>
                <w:sz w:val="11"/>
                <w:szCs w:val="11"/>
                <w:color w:val="auto"/>
              </w:rPr>
            </w:pPr>
          </w:p>
        </w:tc>
      </w:tr>
      <w:tr>
        <w:trPr>
          <w:trHeight w:val="135"/>
        </w:trPr>
        <w:tc>
          <w:tcPr>
            <w:tcW w:w="62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Expected credit loss reversal</w:t>
            </w:r>
          </w:p>
        </w:tc>
        <w:tc>
          <w:tcPr>
            <w:tcW w:w="10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(7,684)</w:t>
            </w:r>
          </w:p>
        </w:tc>
        <w:tc>
          <w:tcPr>
            <w:tcW w:w="15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(7,037)</w:t>
            </w: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(982)</w:t>
            </w:r>
          </w:p>
        </w:tc>
        <w:tc>
          <w:tcPr>
            <w:tcW w:w="20" w:type="dxa"/>
            <w:vAlign w:val="bottom"/>
          </w:tcPr>
          <w:p>
            <w:pPr>
              <w:spacing w:after="0"/>
              <w:rPr>
                <w:sz w:val="11"/>
                <w:szCs w:val="11"/>
                <w:color w:val="auto"/>
              </w:rPr>
            </w:pPr>
          </w:p>
        </w:tc>
      </w:tr>
      <w:tr>
        <w:trPr>
          <w:trHeight w:val="135"/>
        </w:trPr>
        <w:tc>
          <w:tcPr>
            <w:tcW w:w="62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Inventory write-downs</w:t>
            </w: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71,175</w:t>
            </w:r>
          </w:p>
        </w:tc>
        <w:tc>
          <w:tcPr>
            <w:tcW w:w="20" w:type="dxa"/>
            <w:vAlign w:val="bottom"/>
          </w:tcPr>
          <w:p>
            <w:pPr>
              <w:spacing w:after="0"/>
              <w:rPr>
                <w:sz w:val="11"/>
                <w:szCs w:val="11"/>
                <w:color w:val="auto"/>
              </w:rPr>
            </w:pPr>
          </w:p>
        </w:tc>
        <w:tc>
          <w:tcPr>
            <w:tcW w:w="12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133,381</w:t>
            </w:r>
          </w:p>
        </w:tc>
        <w:tc>
          <w:tcPr>
            <w:tcW w:w="26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18,619</w:t>
            </w:r>
          </w:p>
        </w:tc>
        <w:tc>
          <w:tcPr>
            <w:tcW w:w="20" w:type="dxa"/>
            <w:vAlign w:val="bottom"/>
          </w:tcPr>
          <w:p>
            <w:pPr>
              <w:spacing w:after="0"/>
              <w:rPr>
                <w:sz w:val="11"/>
                <w:szCs w:val="11"/>
                <w:color w:val="auto"/>
              </w:rPr>
            </w:pPr>
          </w:p>
        </w:tc>
      </w:tr>
      <w:tr>
        <w:trPr>
          <w:trHeight w:val="135"/>
        </w:trPr>
        <w:tc>
          <w:tcPr>
            <w:tcW w:w="62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Impairment on long-term assets</w:t>
            </w: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55,331</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62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Foreign exchange gain</w:t>
            </w:r>
          </w:p>
        </w:tc>
        <w:tc>
          <w:tcPr>
            <w:tcW w:w="10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(15,618)</w:t>
            </w:r>
          </w:p>
        </w:tc>
        <w:tc>
          <w:tcPr>
            <w:tcW w:w="154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(65,711)</w:t>
            </w: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(9,173)</w:t>
            </w:r>
          </w:p>
        </w:tc>
        <w:tc>
          <w:tcPr>
            <w:tcW w:w="20" w:type="dxa"/>
            <w:vAlign w:val="bottom"/>
          </w:tcPr>
          <w:p>
            <w:pPr>
              <w:spacing w:after="0"/>
              <w:rPr>
                <w:sz w:val="11"/>
                <w:szCs w:val="11"/>
                <w:color w:val="auto"/>
              </w:rPr>
            </w:pPr>
          </w:p>
        </w:tc>
      </w:tr>
      <w:tr>
        <w:trPr>
          <w:trHeight w:val="135"/>
        </w:trPr>
        <w:tc>
          <w:tcPr>
            <w:tcW w:w="62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Share-based compensation expenses</w:t>
            </w: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792,164</w:t>
            </w:r>
          </w:p>
        </w:tc>
        <w:tc>
          <w:tcPr>
            <w:tcW w:w="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897,114</w:t>
            </w: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125,232</w:t>
            </w:r>
          </w:p>
        </w:tc>
        <w:tc>
          <w:tcPr>
            <w:tcW w:w="20" w:type="dxa"/>
            <w:vAlign w:val="bottom"/>
          </w:tcPr>
          <w:p>
            <w:pPr>
              <w:spacing w:after="0"/>
              <w:rPr>
                <w:sz w:val="11"/>
                <w:szCs w:val="11"/>
                <w:color w:val="auto"/>
              </w:rPr>
            </w:pPr>
          </w:p>
        </w:tc>
      </w:tr>
      <w:tr>
        <w:trPr>
          <w:trHeight w:val="135"/>
        </w:trPr>
        <w:tc>
          <w:tcPr>
            <w:tcW w:w="62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Investment loss/(income)</w:t>
            </w: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31,736</w:t>
            </w:r>
          </w:p>
        </w:tc>
        <w:tc>
          <w:tcPr>
            <w:tcW w:w="20" w:type="dxa"/>
            <w:vAlign w:val="bottom"/>
          </w:tcPr>
          <w:p>
            <w:pPr>
              <w:spacing w:after="0"/>
              <w:rPr>
                <w:sz w:val="11"/>
                <w:szCs w:val="11"/>
                <w:color w:val="auto"/>
              </w:rPr>
            </w:pPr>
          </w:p>
        </w:tc>
        <w:tc>
          <w:tcPr>
            <w:tcW w:w="154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(6,649)</w:t>
            </w: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(928)</w:t>
            </w:r>
          </w:p>
        </w:tc>
        <w:tc>
          <w:tcPr>
            <w:tcW w:w="20" w:type="dxa"/>
            <w:vAlign w:val="bottom"/>
          </w:tcPr>
          <w:p>
            <w:pPr>
              <w:spacing w:after="0"/>
              <w:rPr>
                <w:sz w:val="11"/>
                <w:szCs w:val="11"/>
                <w:color w:val="auto"/>
              </w:rPr>
            </w:pPr>
          </w:p>
        </w:tc>
      </w:tr>
      <w:tr>
        <w:trPr>
          <w:trHeight w:val="135"/>
        </w:trPr>
        <w:tc>
          <w:tcPr>
            <w:tcW w:w="62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Loss on extinguishment of debt</w:t>
            </w: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11,326</w:t>
            </w:r>
          </w:p>
        </w:tc>
        <w:tc>
          <w:tcPr>
            <w:tcW w:w="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14,660</w:t>
            </w: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2,046</w:t>
            </w:r>
          </w:p>
        </w:tc>
        <w:tc>
          <w:tcPr>
            <w:tcW w:w="20" w:type="dxa"/>
            <w:vAlign w:val="bottom"/>
          </w:tcPr>
          <w:p>
            <w:pPr>
              <w:spacing w:after="0"/>
              <w:rPr>
                <w:sz w:val="11"/>
                <w:szCs w:val="11"/>
                <w:color w:val="auto"/>
              </w:rPr>
            </w:pPr>
          </w:p>
        </w:tc>
      </w:tr>
      <w:tr>
        <w:trPr>
          <w:trHeight w:val="135"/>
        </w:trPr>
        <w:tc>
          <w:tcPr>
            <w:tcW w:w="62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 of loss of equity investees, net of tax</w:t>
            </w: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93,089</w:t>
            </w:r>
          </w:p>
        </w:tc>
        <w:tc>
          <w:tcPr>
            <w:tcW w:w="20" w:type="dxa"/>
            <w:vAlign w:val="bottom"/>
          </w:tcPr>
          <w:p>
            <w:pPr>
              <w:spacing w:after="0"/>
              <w:rPr>
                <w:sz w:val="11"/>
                <w:szCs w:val="11"/>
                <w:color w:val="auto"/>
              </w:rPr>
            </w:pPr>
          </w:p>
        </w:tc>
        <w:tc>
          <w:tcPr>
            <w:tcW w:w="12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380,859</w:t>
            </w:r>
          </w:p>
        </w:tc>
        <w:tc>
          <w:tcPr>
            <w:tcW w:w="26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53,166</w:t>
            </w:r>
          </w:p>
        </w:tc>
        <w:tc>
          <w:tcPr>
            <w:tcW w:w="20" w:type="dxa"/>
            <w:vAlign w:val="bottom"/>
          </w:tcPr>
          <w:p>
            <w:pPr>
              <w:spacing w:after="0"/>
              <w:rPr>
                <w:sz w:val="11"/>
                <w:szCs w:val="11"/>
                <w:color w:val="auto"/>
              </w:rPr>
            </w:pPr>
          </w:p>
        </w:tc>
      </w:tr>
      <w:tr>
        <w:trPr>
          <w:trHeight w:val="135"/>
        </w:trPr>
        <w:tc>
          <w:tcPr>
            <w:tcW w:w="62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Amortization of right-of-use assets</w:t>
            </w: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845,610</w:t>
            </w:r>
          </w:p>
        </w:tc>
        <w:tc>
          <w:tcPr>
            <w:tcW w:w="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1,074,102</w:t>
            </w: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149,939</w:t>
            </w:r>
          </w:p>
        </w:tc>
        <w:tc>
          <w:tcPr>
            <w:tcW w:w="20" w:type="dxa"/>
            <w:vAlign w:val="bottom"/>
          </w:tcPr>
          <w:p>
            <w:pPr>
              <w:spacing w:after="0"/>
              <w:rPr>
                <w:sz w:val="11"/>
                <w:szCs w:val="11"/>
                <w:color w:val="auto"/>
              </w:rPr>
            </w:pPr>
          </w:p>
        </w:tc>
      </w:tr>
      <w:tr>
        <w:trPr>
          <w:trHeight w:val="135"/>
        </w:trPr>
        <w:tc>
          <w:tcPr>
            <w:tcW w:w="62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Loss on disposal of property, plant and equipment</w:t>
            </w: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13,721</w:t>
            </w:r>
          </w:p>
        </w:tc>
        <w:tc>
          <w:tcPr>
            <w:tcW w:w="20" w:type="dxa"/>
            <w:vAlign w:val="bottom"/>
          </w:tcPr>
          <w:p>
            <w:pPr>
              <w:spacing w:after="0"/>
              <w:rPr>
                <w:sz w:val="11"/>
                <w:szCs w:val="11"/>
                <w:color w:val="auto"/>
              </w:rPr>
            </w:pPr>
          </w:p>
        </w:tc>
        <w:tc>
          <w:tcPr>
            <w:tcW w:w="12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46,287</w:t>
            </w:r>
          </w:p>
        </w:tc>
        <w:tc>
          <w:tcPr>
            <w:tcW w:w="26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6,461</w:t>
            </w:r>
          </w:p>
        </w:tc>
        <w:tc>
          <w:tcPr>
            <w:tcW w:w="20" w:type="dxa"/>
            <w:vAlign w:val="bottom"/>
          </w:tcPr>
          <w:p>
            <w:pPr>
              <w:spacing w:after="0"/>
              <w:rPr>
                <w:sz w:val="11"/>
                <w:szCs w:val="11"/>
                <w:color w:val="auto"/>
              </w:rPr>
            </w:pPr>
          </w:p>
        </w:tc>
      </w:tr>
      <w:tr>
        <w:trPr>
          <w:trHeight w:val="135"/>
        </w:trPr>
        <w:tc>
          <w:tcPr>
            <w:tcW w:w="62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Deferred income tax benefit</w:t>
            </w:r>
          </w:p>
        </w:tc>
        <w:tc>
          <w:tcPr>
            <w:tcW w:w="10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(1,030)</w:t>
            </w:r>
          </w:p>
        </w:tc>
        <w:tc>
          <w:tcPr>
            <w:tcW w:w="15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(181)</w:t>
            </w: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20" w:type="dxa"/>
            <w:vAlign w:val="bottom"/>
          </w:tcPr>
          <w:p>
            <w:pPr>
              <w:spacing w:after="0"/>
              <w:rPr>
                <w:sz w:val="11"/>
                <w:szCs w:val="11"/>
                <w:color w:val="auto"/>
              </w:rPr>
            </w:pPr>
          </w:p>
        </w:tc>
      </w:tr>
      <w:tr>
        <w:trPr>
          <w:trHeight w:val="135"/>
        </w:trPr>
        <w:tc>
          <w:tcPr>
            <w:tcW w:w="6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2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Prepayments and other current assets</w:t>
            </w:r>
          </w:p>
        </w:tc>
        <w:tc>
          <w:tcPr>
            <w:tcW w:w="10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(1,128,588)</w:t>
            </w:r>
          </w:p>
        </w:tc>
        <w:tc>
          <w:tcPr>
            <w:tcW w:w="15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(200,378)</w:t>
            </w: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(27,972)</w:t>
            </w:r>
          </w:p>
        </w:tc>
        <w:tc>
          <w:tcPr>
            <w:tcW w:w="20" w:type="dxa"/>
            <w:vAlign w:val="bottom"/>
          </w:tcPr>
          <w:p>
            <w:pPr>
              <w:spacing w:after="0"/>
              <w:rPr>
                <w:sz w:val="11"/>
                <w:szCs w:val="11"/>
                <w:color w:val="auto"/>
              </w:rPr>
            </w:pPr>
          </w:p>
        </w:tc>
      </w:tr>
      <w:tr>
        <w:trPr>
          <w:trHeight w:val="135"/>
        </w:trPr>
        <w:tc>
          <w:tcPr>
            <w:tcW w:w="62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Inventory</w:t>
            </w: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305,812</w:t>
            </w:r>
          </w:p>
        </w:tc>
        <w:tc>
          <w:tcPr>
            <w:tcW w:w="20" w:type="dxa"/>
            <w:vAlign w:val="bottom"/>
          </w:tcPr>
          <w:p>
            <w:pPr>
              <w:spacing w:after="0"/>
              <w:rPr>
                <w:sz w:val="11"/>
                <w:szCs w:val="11"/>
                <w:color w:val="auto"/>
              </w:rPr>
            </w:pPr>
          </w:p>
        </w:tc>
        <w:tc>
          <w:tcPr>
            <w:tcW w:w="154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(1,947,234)</w:t>
            </w: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(271,823)</w:t>
            </w:r>
          </w:p>
        </w:tc>
        <w:tc>
          <w:tcPr>
            <w:tcW w:w="20" w:type="dxa"/>
            <w:vAlign w:val="bottom"/>
          </w:tcPr>
          <w:p>
            <w:pPr>
              <w:spacing w:after="0"/>
              <w:rPr>
                <w:sz w:val="11"/>
                <w:szCs w:val="11"/>
                <w:color w:val="auto"/>
              </w:rPr>
            </w:pPr>
          </w:p>
        </w:tc>
      </w:tr>
      <w:tr>
        <w:trPr>
          <w:trHeight w:val="135"/>
        </w:trPr>
        <w:tc>
          <w:tcPr>
            <w:tcW w:w="62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non-current assets</w:t>
            </w: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1,624,608</w:t>
            </w:r>
          </w:p>
        </w:tc>
        <w:tc>
          <w:tcPr>
            <w:tcW w:w="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524,080</w:t>
            </w: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73,159</w:t>
            </w:r>
          </w:p>
        </w:tc>
        <w:tc>
          <w:tcPr>
            <w:tcW w:w="20" w:type="dxa"/>
            <w:vAlign w:val="bottom"/>
          </w:tcPr>
          <w:p>
            <w:pPr>
              <w:spacing w:after="0"/>
              <w:rPr>
                <w:sz w:val="11"/>
                <w:szCs w:val="11"/>
                <w:color w:val="auto"/>
              </w:rPr>
            </w:pPr>
          </w:p>
        </w:tc>
      </w:tr>
      <w:tr>
        <w:trPr>
          <w:trHeight w:val="135"/>
        </w:trPr>
        <w:tc>
          <w:tcPr>
            <w:tcW w:w="62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Amount due from related parties</w:t>
            </w:r>
          </w:p>
        </w:tc>
        <w:tc>
          <w:tcPr>
            <w:tcW w:w="10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(1,967,435)</w:t>
            </w:r>
          </w:p>
        </w:tc>
        <w:tc>
          <w:tcPr>
            <w:tcW w:w="154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(3,695,065)</w:t>
            </w: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(515,811)</w:t>
            </w:r>
          </w:p>
        </w:tc>
        <w:tc>
          <w:tcPr>
            <w:tcW w:w="20" w:type="dxa"/>
            <w:vAlign w:val="bottom"/>
          </w:tcPr>
          <w:p>
            <w:pPr>
              <w:spacing w:after="0"/>
              <w:rPr>
                <w:sz w:val="11"/>
                <w:szCs w:val="11"/>
                <w:color w:val="auto"/>
              </w:rPr>
            </w:pPr>
          </w:p>
        </w:tc>
      </w:tr>
      <w:tr>
        <w:trPr>
          <w:trHeight w:val="135"/>
        </w:trPr>
        <w:tc>
          <w:tcPr>
            <w:tcW w:w="62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Operating lease liabilities</w:t>
            </w:r>
          </w:p>
        </w:tc>
        <w:tc>
          <w:tcPr>
            <w:tcW w:w="10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(810,011)</w:t>
            </w:r>
          </w:p>
        </w:tc>
        <w:tc>
          <w:tcPr>
            <w:tcW w:w="15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(612,123)</w:t>
            </w: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(85,449)</w:t>
            </w:r>
          </w:p>
        </w:tc>
        <w:tc>
          <w:tcPr>
            <w:tcW w:w="20" w:type="dxa"/>
            <w:vAlign w:val="bottom"/>
          </w:tcPr>
          <w:p>
            <w:pPr>
              <w:spacing w:after="0"/>
              <w:rPr>
                <w:sz w:val="11"/>
                <w:szCs w:val="11"/>
                <w:color w:val="auto"/>
              </w:rPr>
            </w:pPr>
          </w:p>
        </w:tc>
      </w:tr>
      <w:tr>
        <w:trPr>
          <w:trHeight w:val="135"/>
        </w:trPr>
        <w:tc>
          <w:tcPr>
            <w:tcW w:w="62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Taxes payable</w:t>
            </w: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342,564</w:t>
            </w:r>
          </w:p>
        </w:tc>
        <w:tc>
          <w:tcPr>
            <w:tcW w:w="20" w:type="dxa"/>
            <w:vAlign w:val="bottom"/>
          </w:tcPr>
          <w:p>
            <w:pPr>
              <w:spacing w:after="0"/>
              <w:rPr>
                <w:sz w:val="11"/>
                <w:szCs w:val="11"/>
                <w:color w:val="auto"/>
              </w:rPr>
            </w:pPr>
          </w:p>
        </w:tc>
        <w:tc>
          <w:tcPr>
            <w:tcW w:w="12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99,620</w:t>
            </w:r>
          </w:p>
        </w:tc>
        <w:tc>
          <w:tcPr>
            <w:tcW w:w="26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13,906</w:t>
            </w:r>
          </w:p>
        </w:tc>
        <w:tc>
          <w:tcPr>
            <w:tcW w:w="20" w:type="dxa"/>
            <w:vAlign w:val="bottom"/>
          </w:tcPr>
          <w:p>
            <w:pPr>
              <w:spacing w:after="0"/>
              <w:rPr>
                <w:sz w:val="11"/>
                <w:szCs w:val="11"/>
                <w:color w:val="auto"/>
              </w:rPr>
            </w:pPr>
          </w:p>
        </w:tc>
      </w:tr>
      <w:tr>
        <w:trPr>
          <w:trHeight w:val="135"/>
        </w:trPr>
        <w:tc>
          <w:tcPr>
            <w:tcW w:w="62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Trade and notes receivable</w:t>
            </w: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2,700,736</w:t>
            </w:r>
          </w:p>
        </w:tc>
        <w:tc>
          <w:tcPr>
            <w:tcW w:w="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324,317</w:t>
            </w: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45,273</w:t>
            </w:r>
          </w:p>
        </w:tc>
        <w:tc>
          <w:tcPr>
            <w:tcW w:w="20" w:type="dxa"/>
            <w:vAlign w:val="bottom"/>
          </w:tcPr>
          <w:p>
            <w:pPr>
              <w:spacing w:after="0"/>
              <w:rPr>
                <w:sz w:val="11"/>
                <w:szCs w:val="11"/>
                <w:color w:val="auto"/>
              </w:rPr>
            </w:pPr>
          </w:p>
        </w:tc>
      </w:tr>
      <w:tr>
        <w:trPr>
          <w:trHeight w:val="135"/>
        </w:trPr>
        <w:tc>
          <w:tcPr>
            <w:tcW w:w="62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Trade and notes payable</w:t>
            </w:r>
          </w:p>
        </w:tc>
        <w:tc>
          <w:tcPr>
            <w:tcW w:w="10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(5,282,602)</w:t>
            </w:r>
          </w:p>
        </w:tc>
        <w:tc>
          <w:tcPr>
            <w:tcW w:w="12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222,030</w:t>
            </w:r>
          </w:p>
        </w:tc>
        <w:tc>
          <w:tcPr>
            <w:tcW w:w="26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30,994</w:t>
            </w:r>
          </w:p>
        </w:tc>
        <w:tc>
          <w:tcPr>
            <w:tcW w:w="20" w:type="dxa"/>
            <w:vAlign w:val="bottom"/>
          </w:tcPr>
          <w:p>
            <w:pPr>
              <w:spacing w:after="0"/>
              <w:rPr>
                <w:sz w:val="11"/>
                <w:szCs w:val="11"/>
                <w:color w:val="auto"/>
              </w:rPr>
            </w:pPr>
          </w:p>
        </w:tc>
      </w:tr>
      <w:tr>
        <w:trPr>
          <w:trHeight w:val="135"/>
        </w:trPr>
        <w:tc>
          <w:tcPr>
            <w:tcW w:w="62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Accruals and other liabilities</w:t>
            </w:r>
          </w:p>
        </w:tc>
        <w:tc>
          <w:tcPr>
            <w:tcW w:w="10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(793,252)</w:t>
            </w:r>
          </w:p>
        </w:tc>
        <w:tc>
          <w:tcPr>
            <w:tcW w:w="15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(229,419)</w:t>
            </w: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(32,026)</w:t>
            </w:r>
          </w:p>
        </w:tc>
        <w:tc>
          <w:tcPr>
            <w:tcW w:w="20" w:type="dxa"/>
            <w:vAlign w:val="bottom"/>
          </w:tcPr>
          <w:p>
            <w:pPr>
              <w:spacing w:after="0"/>
              <w:rPr>
                <w:sz w:val="11"/>
                <w:szCs w:val="11"/>
                <w:color w:val="auto"/>
              </w:rPr>
            </w:pPr>
          </w:p>
        </w:tc>
      </w:tr>
      <w:tr>
        <w:trPr>
          <w:trHeight w:val="135"/>
        </w:trPr>
        <w:tc>
          <w:tcPr>
            <w:tcW w:w="62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Amount due to related parties, current</w:t>
            </w:r>
          </w:p>
        </w:tc>
        <w:tc>
          <w:tcPr>
            <w:tcW w:w="10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(241,479)</w:t>
            </w:r>
          </w:p>
        </w:tc>
        <w:tc>
          <w:tcPr>
            <w:tcW w:w="12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232,132</w:t>
            </w:r>
          </w:p>
        </w:tc>
        <w:tc>
          <w:tcPr>
            <w:tcW w:w="26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32,404</w:t>
            </w:r>
          </w:p>
        </w:tc>
        <w:tc>
          <w:tcPr>
            <w:tcW w:w="20" w:type="dxa"/>
            <w:vAlign w:val="bottom"/>
          </w:tcPr>
          <w:p>
            <w:pPr>
              <w:spacing w:after="0"/>
              <w:rPr>
                <w:sz w:val="11"/>
                <w:szCs w:val="11"/>
                <w:color w:val="auto"/>
              </w:rPr>
            </w:pPr>
          </w:p>
        </w:tc>
      </w:tr>
      <w:tr>
        <w:trPr>
          <w:trHeight w:val="135"/>
        </w:trPr>
        <w:tc>
          <w:tcPr>
            <w:tcW w:w="62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Amount due to related parties, non-current</w:t>
            </w: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282,733</w:t>
            </w:r>
          </w:p>
        </w:tc>
        <w:tc>
          <w:tcPr>
            <w:tcW w:w="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28,478</w:t>
            </w: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3,975</w:t>
            </w:r>
          </w:p>
        </w:tc>
        <w:tc>
          <w:tcPr>
            <w:tcW w:w="20" w:type="dxa"/>
            <w:vAlign w:val="bottom"/>
          </w:tcPr>
          <w:p>
            <w:pPr>
              <w:spacing w:after="0"/>
              <w:rPr>
                <w:sz w:val="11"/>
                <w:szCs w:val="11"/>
                <w:color w:val="auto"/>
              </w:rPr>
            </w:pPr>
          </w:p>
        </w:tc>
      </w:tr>
      <w:tr>
        <w:trPr>
          <w:trHeight w:val="135"/>
        </w:trPr>
        <w:tc>
          <w:tcPr>
            <w:tcW w:w="62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non-current liabilities</w:t>
            </w: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629,300</w:t>
            </w:r>
          </w:p>
        </w:tc>
        <w:tc>
          <w:tcPr>
            <w:tcW w:w="20" w:type="dxa"/>
            <w:vAlign w:val="bottom"/>
          </w:tcPr>
          <w:p>
            <w:pPr>
              <w:spacing w:after="0"/>
              <w:rPr>
                <w:sz w:val="11"/>
                <w:szCs w:val="11"/>
                <w:color w:val="auto"/>
              </w:rPr>
            </w:pPr>
          </w:p>
        </w:tc>
        <w:tc>
          <w:tcPr>
            <w:tcW w:w="12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109,173</w:t>
            </w:r>
          </w:p>
        </w:tc>
        <w:tc>
          <w:tcPr>
            <w:tcW w:w="26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15,241</w:t>
            </w:r>
          </w:p>
        </w:tc>
        <w:tc>
          <w:tcPr>
            <w:tcW w:w="20" w:type="dxa"/>
            <w:vAlign w:val="bottom"/>
          </w:tcPr>
          <w:p>
            <w:pPr>
              <w:spacing w:after="0"/>
              <w:rPr>
                <w:sz w:val="11"/>
                <w:szCs w:val="11"/>
                <w:color w:val="auto"/>
              </w:rPr>
            </w:pPr>
          </w:p>
        </w:tc>
      </w:tr>
      <w:tr>
        <w:trPr>
          <w:trHeight w:val="128"/>
        </w:trPr>
        <w:tc>
          <w:tcPr>
            <w:tcW w:w="62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Net cash used in operating activities</w:t>
            </w:r>
          </w:p>
        </w:tc>
        <w:tc>
          <w:tcPr>
            <w:tcW w:w="10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(10,027,770)</w:t>
            </w: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(10,926,443)</w:t>
            </w:r>
          </w:p>
        </w:tc>
        <w:tc>
          <w:tcPr>
            <w:tcW w:w="26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(1,525,273)</w:t>
            </w:r>
          </w:p>
        </w:tc>
        <w:tc>
          <w:tcPr>
            <w:tcW w:w="20" w:type="dxa"/>
            <w:vAlign w:val="bottom"/>
          </w:tcPr>
          <w:p>
            <w:pPr>
              <w:spacing w:after="0"/>
              <w:rPr>
                <w:sz w:val="11"/>
                <w:szCs w:val="11"/>
                <w:color w:val="auto"/>
              </w:rPr>
            </w:pPr>
          </w:p>
        </w:tc>
      </w:tr>
      <w:tr>
        <w:trPr>
          <w:trHeight w:val="128"/>
        </w:trPr>
        <w:tc>
          <w:tcPr>
            <w:tcW w:w="62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2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Purchase of property, plant and equipment and intangible assets</w:t>
            </w:r>
          </w:p>
        </w:tc>
        <w:tc>
          <w:tcPr>
            <w:tcW w:w="10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(4,356,303)</w:t>
            </w:r>
          </w:p>
        </w:tc>
        <w:tc>
          <w:tcPr>
            <w:tcW w:w="15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(2,965,426)</w:t>
            </w: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(413,958)</w:t>
            </w:r>
          </w:p>
        </w:tc>
        <w:tc>
          <w:tcPr>
            <w:tcW w:w="20" w:type="dxa"/>
            <w:vAlign w:val="bottom"/>
          </w:tcPr>
          <w:p>
            <w:pPr>
              <w:spacing w:after="0"/>
              <w:rPr>
                <w:sz w:val="11"/>
                <w:szCs w:val="11"/>
                <w:color w:val="auto"/>
              </w:rPr>
            </w:pPr>
          </w:p>
        </w:tc>
      </w:tr>
      <w:tr>
        <w:trPr>
          <w:trHeight w:val="135"/>
        </w:trPr>
        <w:tc>
          <w:tcPr>
            <w:tcW w:w="62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disposal of property, plant and equipment</w:t>
            </w: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137,805</w:t>
            </w:r>
          </w:p>
        </w:tc>
        <w:tc>
          <w:tcPr>
            <w:tcW w:w="20" w:type="dxa"/>
            <w:vAlign w:val="bottom"/>
          </w:tcPr>
          <w:p>
            <w:pPr>
              <w:spacing w:after="0"/>
              <w:rPr>
                <w:sz w:val="11"/>
                <w:szCs w:val="11"/>
                <w:color w:val="auto"/>
              </w:rPr>
            </w:pPr>
          </w:p>
        </w:tc>
        <w:tc>
          <w:tcPr>
            <w:tcW w:w="12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45,527</w:t>
            </w:r>
          </w:p>
        </w:tc>
        <w:tc>
          <w:tcPr>
            <w:tcW w:w="26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6,355</w:t>
            </w:r>
          </w:p>
        </w:tc>
        <w:tc>
          <w:tcPr>
            <w:tcW w:w="20" w:type="dxa"/>
            <w:vAlign w:val="bottom"/>
          </w:tcPr>
          <w:p>
            <w:pPr>
              <w:spacing w:after="0"/>
              <w:rPr>
                <w:sz w:val="11"/>
                <w:szCs w:val="11"/>
                <w:color w:val="auto"/>
              </w:rPr>
            </w:pPr>
          </w:p>
        </w:tc>
      </w:tr>
      <w:tr>
        <w:trPr>
          <w:trHeight w:val="135"/>
        </w:trPr>
        <w:tc>
          <w:tcPr>
            <w:tcW w:w="62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Purchases of short-term investments</w:t>
            </w:r>
          </w:p>
        </w:tc>
        <w:tc>
          <w:tcPr>
            <w:tcW w:w="10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(23,647,435)</w:t>
            </w:r>
          </w:p>
        </w:tc>
        <w:tc>
          <w:tcPr>
            <w:tcW w:w="15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(9,204,158)</w:t>
            </w: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(1,284,851)</w:t>
            </w:r>
          </w:p>
        </w:tc>
        <w:tc>
          <w:tcPr>
            <w:tcW w:w="20" w:type="dxa"/>
            <w:vAlign w:val="bottom"/>
          </w:tcPr>
          <w:p>
            <w:pPr>
              <w:spacing w:after="0"/>
              <w:rPr>
                <w:sz w:val="11"/>
                <w:szCs w:val="11"/>
                <w:color w:val="auto"/>
              </w:rPr>
            </w:pPr>
          </w:p>
        </w:tc>
      </w:tr>
      <w:tr>
        <w:trPr>
          <w:trHeight w:val="135"/>
        </w:trPr>
        <w:tc>
          <w:tcPr>
            <w:tcW w:w="62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sale of short-term investments</w:t>
            </w: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29,097,276</w:t>
            </w:r>
          </w:p>
        </w:tc>
        <w:tc>
          <w:tcPr>
            <w:tcW w:w="20" w:type="dxa"/>
            <w:vAlign w:val="bottom"/>
          </w:tcPr>
          <w:p>
            <w:pPr>
              <w:spacing w:after="0"/>
              <w:rPr>
                <w:sz w:val="11"/>
                <w:szCs w:val="11"/>
                <w:color w:val="auto"/>
              </w:rPr>
            </w:pPr>
          </w:p>
        </w:tc>
        <w:tc>
          <w:tcPr>
            <w:tcW w:w="12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12,620,154</w:t>
            </w:r>
          </w:p>
        </w:tc>
        <w:tc>
          <w:tcPr>
            <w:tcW w:w="26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1,761,706</w:t>
            </w:r>
          </w:p>
        </w:tc>
        <w:tc>
          <w:tcPr>
            <w:tcW w:w="20" w:type="dxa"/>
            <w:vAlign w:val="bottom"/>
          </w:tcPr>
          <w:p>
            <w:pPr>
              <w:spacing w:after="0"/>
              <w:rPr>
                <w:sz w:val="11"/>
                <w:szCs w:val="11"/>
                <w:color w:val="auto"/>
              </w:rPr>
            </w:pPr>
          </w:p>
        </w:tc>
      </w:tr>
      <w:tr>
        <w:trPr>
          <w:trHeight w:val="135"/>
        </w:trPr>
        <w:tc>
          <w:tcPr>
            <w:tcW w:w="62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Purchase of available-for-sale debt investment</w:t>
            </w:r>
          </w:p>
        </w:tc>
        <w:tc>
          <w:tcPr>
            <w:tcW w:w="10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(52,842)</w:t>
            </w:r>
          </w:p>
        </w:tc>
        <w:tc>
          <w:tcPr>
            <w:tcW w:w="15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(1,820)</w:t>
            </w: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(254)</w:t>
            </w:r>
          </w:p>
        </w:tc>
        <w:tc>
          <w:tcPr>
            <w:tcW w:w="20" w:type="dxa"/>
            <w:vAlign w:val="bottom"/>
          </w:tcPr>
          <w:p>
            <w:pPr>
              <w:spacing w:after="0"/>
              <w:rPr>
                <w:sz w:val="11"/>
                <w:szCs w:val="11"/>
                <w:color w:val="auto"/>
              </w:rPr>
            </w:pPr>
          </w:p>
        </w:tc>
      </w:tr>
      <w:tr>
        <w:trPr>
          <w:trHeight w:val="135"/>
        </w:trPr>
        <w:tc>
          <w:tcPr>
            <w:tcW w:w="62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Capital injection to equity investees</w:t>
            </w:r>
          </w:p>
        </w:tc>
        <w:tc>
          <w:tcPr>
            <w:tcW w:w="10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(267,363)</w:t>
            </w:r>
          </w:p>
        </w:tc>
        <w:tc>
          <w:tcPr>
            <w:tcW w:w="154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(5,760)</w:t>
            </w: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(804)</w:t>
            </w:r>
          </w:p>
        </w:tc>
        <w:tc>
          <w:tcPr>
            <w:tcW w:w="20" w:type="dxa"/>
            <w:vAlign w:val="bottom"/>
          </w:tcPr>
          <w:p>
            <w:pPr>
              <w:spacing w:after="0"/>
              <w:rPr>
                <w:sz w:val="11"/>
                <w:szCs w:val="11"/>
                <w:color w:val="auto"/>
              </w:rPr>
            </w:pPr>
          </w:p>
        </w:tc>
      </w:tr>
      <w:tr>
        <w:trPr>
          <w:trHeight w:val="135"/>
        </w:trPr>
        <w:tc>
          <w:tcPr>
            <w:tcW w:w="62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Withdrawal of long-term investments</w:t>
            </w:r>
          </w:p>
        </w:tc>
        <w:tc>
          <w:tcPr>
            <w:tcW w:w="10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7,870</w:t>
            </w: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1,099</w:t>
            </w:r>
          </w:p>
        </w:tc>
        <w:tc>
          <w:tcPr>
            <w:tcW w:w="20" w:type="dxa"/>
            <w:vAlign w:val="bottom"/>
          </w:tcPr>
          <w:p>
            <w:pPr>
              <w:spacing w:after="0"/>
              <w:rPr>
                <w:sz w:val="11"/>
                <w:szCs w:val="11"/>
                <w:color w:val="auto"/>
              </w:rPr>
            </w:pPr>
          </w:p>
        </w:tc>
      </w:tr>
      <w:tr>
        <w:trPr>
          <w:trHeight w:val="135"/>
        </w:trPr>
        <w:tc>
          <w:tcPr>
            <w:tcW w:w="62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Purchase of held to maturity debt investments</w:t>
            </w:r>
          </w:p>
        </w:tc>
        <w:tc>
          <w:tcPr>
            <w:tcW w:w="10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(10,870)</w:t>
            </w:r>
          </w:p>
        </w:tc>
        <w:tc>
          <w:tcPr>
            <w:tcW w:w="154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(5,917)</w:t>
            </w: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(826)</w:t>
            </w:r>
          </w:p>
        </w:tc>
        <w:tc>
          <w:tcPr>
            <w:tcW w:w="20" w:type="dxa"/>
            <w:vAlign w:val="bottom"/>
          </w:tcPr>
          <w:p>
            <w:pPr>
              <w:spacing w:after="0"/>
              <w:rPr>
                <w:sz w:val="11"/>
                <w:szCs w:val="11"/>
                <w:color w:val="auto"/>
              </w:rPr>
            </w:pPr>
          </w:p>
        </w:tc>
      </w:tr>
      <w:tr>
        <w:trPr>
          <w:trHeight w:val="135"/>
        </w:trPr>
        <w:tc>
          <w:tcPr>
            <w:tcW w:w="62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Purchase of retained asset-backed securities</w:t>
            </w:r>
          </w:p>
        </w:tc>
        <w:tc>
          <w:tcPr>
            <w:tcW w:w="10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(124,000)</w:t>
            </w:r>
          </w:p>
        </w:tc>
        <w:tc>
          <w:tcPr>
            <w:tcW w:w="2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62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maturities of retained asset-backed securities</w:t>
            </w: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50,920</w:t>
            </w:r>
          </w:p>
        </w:tc>
        <w:tc>
          <w:tcPr>
            <w:tcW w:w="20" w:type="dxa"/>
            <w:vAlign w:val="bottom"/>
          </w:tcPr>
          <w:p>
            <w:pPr>
              <w:spacing w:after="0"/>
              <w:rPr>
                <w:sz w:val="11"/>
                <w:szCs w:val="11"/>
                <w:color w:val="auto"/>
              </w:rPr>
            </w:pPr>
          </w:p>
        </w:tc>
        <w:tc>
          <w:tcPr>
            <w:tcW w:w="12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26,327</w:t>
            </w:r>
          </w:p>
        </w:tc>
        <w:tc>
          <w:tcPr>
            <w:tcW w:w="26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3,675</w:t>
            </w:r>
          </w:p>
        </w:tc>
        <w:tc>
          <w:tcPr>
            <w:tcW w:w="20" w:type="dxa"/>
            <w:vAlign w:val="bottom"/>
          </w:tcPr>
          <w:p>
            <w:pPr>
              <w:spacing w:after="0"/>
              <w:rPr>
                <w:sz w:val="11"/>
                <w:szCs w:val="11"/>
                <w:color w:val="auto"/>
              </w:rPr>
            </w:pPr>
          </w:p>
        </w:tc>
      </w:tr>
      <w:tr>
        <w:trPr>
          <w:trHeight w:val="128"/>
        </w:trPr>
        <w:tc>
          <w:tcPr>
            <w:tcW w:w="62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Net cash provided by investing activities</w:t>
            </w:r>
          </w:p>
        </w:tc>
        <w:tc>
          <w:tcPr>
            <w:tcW w:w="10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827,188</w:t>
            </w: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516,797</w:t>
            </w:r>
          </w:p>
        </w:tc>
        <w:tc>
          <w:tcPr>
            <w:tcW w:w="26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72,142</w:t>
            </w:r>
          </w:p>
        </w:tc>
        <w:tc>
          <w:tcPr>
            <w:tcW w:w="20" w:type="dxa"/>
            <w:vAlign w:val="bottom"/>
          </w:tcPr>
          <w:p>
            <w:pPr>
              <w:spacing w:after="0"/>
              <w:rPr>
                <w:sz w:val="11"/>
                <w:szCs w:val="11"/>
                <w:color w:val="auto"/>
              </w:rPr>
            </w:pPr>
          </w:p>
        </w:tc>
      </w:tr>
      <w:tr>
        <w:trPr>
          <w:trHeight w:val="129"/>
        </w:trPr>
        <w:tc>
          <w:tcPr>
            <w:tcW w:w="62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2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exercise of stock options</w:t>
            </w: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40,649</w:t>
            </w:r>
          </w:p>
        </w:tc>
        <w:tc>
          <w:tcPr>
            <w:tcW w:w="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7,608</w:t>
            </w: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1,062</w:t>
            </w:r>
          </w:p>
        </w:tc>
        <w:tc>
          <w:tcPr>
            <w:tcW w:w="20" w:type="dxa"/>
            <w:vAlign w:val="bottom"/>
          </w:tcPr>
          <w:p>
            <w:pPr>
              <w:spacing w:after="0"/>
              <w:rPr>
                <w:sz w:val="11"/>
                <w:szCs w:val="11"/>
                <w:color w:val="auto"/>
              </w:rPr>
            </w:pPr>
          </w:p>
        </w:tc>
      </w:tr>
      <w:tr>
        <w:trPr>
          <w:trHeight w:val="135"/>
        </w:trPr>
        <w:tc>
          <w:tcPr>
            <w:tcW w:w="62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Capital withdrawal by non-controlling interests</w:t>
            </w:r>
          </w:p>
        </w:tc>
        <w:tc>
          <w:tcPr>
            <w:tcW w:w="10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(343)</w:t>
            </w:r>
          </w:p>
        </w:tc>
        <w:tc>
          <w:tcPr>
            <w:tcW w:w="240" w:type="dxa"/>
            <w:vAlign w:val="bottom"/>
          </w:tcPr>
          <w:p>
            <w:pPr>
              <w:spacing w:after="0"/>
              <w:rPr>
                <w:sz w:val="11"/>
                <w:szCs w:val="11"/>
                <w:color w:val="auto"/>
              </w:rPr>
            </w:pPr>
          </w:p>
        </w:tc>
        <w:tc>
          <w:tcPr>
            <w:tcW w:w="130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62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Distributions to non-controlling interests</w:t>
            </w:r>
          </w:p>
        </w:tc>
        <w:tc>
          <w:tcPr>
            <w:tcW w:w="10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(1,616)</w:t>
            </w: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(226)</w:t>
            </w:r>
          </w:p>
        </w:tc>
        <w:tc>
          <w:tcPr>
            <w:tcW w:w="20" w:type="dxa"/>
            <w:vAlign w:val="bottom"/>
          </w:tcPr>
          <w:p>
            <w:pPr>
              <w:spacing w:after="0"/>
              <w:rPr>
                <w:sz w:val="11"/>
                <w:szCs w:val="11"/>
                <w:color w:val="auto"/>
              </w:rPr>
            </w:pPr>
          </w:p>
        </w:tc>
      </w:tr>
      <w:tr>
        <w:trPr>
          <w:trHeight w:val="135"/>
        </w:trPr>
        <w:tc>
          <w:tcPr>
            <w:tcW w:w="62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Capital injection from redeemable non-controlling interests</w:t>
            </w: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500,000</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62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borrowings</w:t>
            </w: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6,893,061</w:t>
            </w:r>
          </w:p>
        </w:tc>
        <w:tc>
          <w:tcPr>
            <w:tcW w:w="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4,124,888</w:t>
            </w: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575,812</w:t>
            </w:r>
          </w:p>
        </w:tc>
        <w:tc>
          <w:tcPr>
            <w:tcW w:w="20" w:type="dxa"/>
            <w:vAlign w:val="bottom"/>
          </w:tcPr>
          <w:p>
            <w:pPr>
              <w:spacing w:after="0"/>
              <w:rPr>
                <w:sz w:val="11"/>
                <w:szCs w:val="11"/>
                <w:color w:val="auto"/>
              </w:rPr>
            </w:pPr>
          </w:p>
        </w:tc>
      </w:tr>
      <w:tr>
        <w:trPr>
          <w:trHeight w:val="135"/>
        </w:trPr>
        <w:tc>
          <w:tcPr>
            <w:tcW w:w="62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Repayments of borrowings</w:t>
            </w:r>
          </w:p>
        </w:tc>
        <w:tc>
          <w:tcPr>
            <w:tcW w:w="10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(5,366,270)</w:t>
            </w:r>
          </w:p>
        </w:tc>
        <w:tc>
          <w:tcPr>
            <w:tcW w:w="154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(6,007,520)</w:t>
            </w: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(838,617)</w:t>
            </w:r>
          </w:p>
        </w:tc>
        <w:tc>
          <w:tcPr>
            <w:tcW w:w="20" w:type="dxa"/>
            <w:vAlign w:val="bottom"/>
          </w:tcPr>
          <w:p>
            <w:pPr>
              <w:spacing w:after="0"/>
              <w:rPr>
                <w:sz w:val="11"/>
                <w:szCs w:val="11"/>
                <w:color w:val="auto"/>
              </w:rPr>
            </w:pPr>
          </w:p>
        </w:tc>
      </w:tr>
      <w:tr>
        <w:trPr>
          <w:trHeight w:val="135"/>
        </w:trPr>
        <w:tc>
          <w:tcPr>
            <w:tcW w:w="62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Repurchase and repayments of convertible senior notes</w:t>
            </w:r>
          </w:p>
        </w:tc>
        <w:tc>
          <w:tcPr>
            <w:tcW w:w="10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(3,302,213)</w:t>
            </w:r>
          </w:p>
        </w:tc>
        <w:tc>
          <w:tcPr>
            <w:tcW w:w="15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(2,712,421)</w:t>
            </w: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(378,639)</w:t>
            </w:r>
          </w:p>
        </w:tc>
        <w:tc>
          <w:tcPr>
            <w:tcW w:w="20" w:type="dxa"/>
            <w:vAlign w:val="bottom"/>
          </w:tcPr>
          <w:p>
            <w:pPr>
              <w:spacing w:after="0"/>
              <w:rPr>
                <w:sz w:val="11"/>
                <w:szCs w:val="11"/>
                <w:color w:val="auto"/>
              </w:rPr>
            </w:pPr>
          </w:p>
        </w:tc>
      </w:tr>
      <w:tr>
        <w:trPr>
          <w:trHeight w:val="135"/>
        </w:trPr>
        <w:tc>
          <w:tcPr>
            <w:tcW w:w="62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Principal payments on finance leases</w:t>
            </w:r>
          </w:p>
        </w:tc>
        <w:tc>
          <w:tcPr>
            <w:tcW w:w="10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(11,586)</w:t>
            </w:r>
          </w:p>
        </w:tc>
        <w:tc>
          <w:tcPr>
            <w:tcW w:w="154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(13,653)</w:t>
            </w: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(1,906)</w:t>
            </w:r>
          </w:p>
        </w:tc>
        <w:tc>
          <w:tcPr>
            <w:tcW w:w="20" w:type="dxa"/>
            <w:vAlign w:val="bottom"/>
          </w:tcPr>
          <w:p>
            <w:pPr>
              <w:spacing w:after="0"/>
              <w:rPr>
                <w:sz w:val="11"/>
                <w:szCs w:val="11"/>
                <w:color w:val="auto"/>
              </w:rPr>
            </w:pPr>
          </w:p>
        </w:tc>
      </w:tr>
      <w:tr>
        <w:trPr>
          <w:trHeight w:val="135"/>
        </w:trPr>
        <w:tc>
          <w:tcPr>
            <w:tcW w:w="62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issuance of ordinary shares, net of issuance costs</w:t>
            </w:r>
          </w:p>
        </w:tc>
        <w:tc>
          <w:tcPr>
            <w:tcW w:w="10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3,684,893</w:t>
            </w: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514,391</w:t>
            </w:r>
          </w:p>
        </w:tc>
        <w:tc>
          <w:tcPr>
            <w:tcW w:w="20" w:type="dxa"/>
            <w:vAlign w:val="bottom"/>
          </w:tcPr>
          <w:p>
            <w:pPr>
              <w:spacing w:after="0"/>
              <w:rPr>
                <w:sz w:val="11"/>
                <w:szCs w:val="11"/>
                <w:color w:val="auto"/>
              </w:rPr>
            </w:pPr>
          </w:p>
        </w:tc>
      </w:tr>
      <w:tr>
        <w:trPr>
          <w:trHeight w:val="128"/>
        </w:trPr>
        <w:tc>
          <w:tcPr>
            <w:tcW w:w="624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color w:val="auto"/>
              </w:rPr>
              <w:t>Net cash used in financing activities</w:t>
            </w:r>
          </w:p>
        </w:tc>
        <w:tc>
          <w:tcPr>
            <w:tcW w:w="10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(1,246,702)</w:t>
            </w:r>
          </w:p>
        </w:tc>
        <w:tc>
          <w:tcPr>
            <w:tcW w:w="2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0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(917,821)</w:t>
            </w:r>
          </w:p>
        </w:tc>
        <w:tc>
          <w:tcPr>
            <w:tcW w:w="260" w:type="dxa"/>
            <w:vAlign w:val="bottom"/>
            <w:tcBorders>
              <w:bottom w:val="single" w:sz="8" w:color="CCEEFF"/>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(128,123)</w:t>
            </w:r>
          </w:p>
        </w:tc>
        <w:tc>
          <w:tcPr>
            <w:tcW w:w="20" w:type="dxa"/>
            <w:vAlign w:val="bottom"/>
          </w:tcPr>
          <w:p>
            <w:pPr>
              <w:spacing w:after="0"/>
              <w:rPr>
                <w:sz w:val="11"/>
                <w:szCs w:val="11"/>
                <w:color w:val="auto"/>
              </w:rPr>
            </w:pPr>
          </w:p>
        </w:tc>
      </w:tr>
      <w:tr>
        <w:trPr>
          <w:trHeight w:val="128"/>
        </w:trPr>
        <w:tc>
          <w:tcPr>
            <w:tcW w:w="62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Effects of exchange rate changes on cash, cash equivalents and restricted cash</w:t>
            </w:r>
          </w:p>
        </w:tc>
        <w:tc>
          <w:tcPr>
            <w:tcW w:w="10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267,670</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29,899</w:t>
            </w:r>
          </w:p>
        </w:tc>
        <w:tc>
          <w:tcPr>
            <w:tcW w:w="260" w:type="dxa"/>
            <w:vAlign w:val="bottom"/>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4,175</w:t>
            </w:r>
          </w:p>
        </w:tc>
        <w:tc>
          <w:tcPr>
            <w:tcW w:w="20" w:type="dxa"/>
            <w:vAlign w:val="bottom"/>
          </w:tcPr>
          <w:p>
            <w:pPr>
              <w:spacing w:after="0"/>
              <w:rPr>
                <w:sz w:val="11"/>
                <w:szCs w:val="11"/>
                <w:color w:val="auto"/>
              </w:rPr>
            </w:pPr>
          </w:p>
        </w:tc>
      </w:tr>
      <w:tr>
        <w:trPr>
          <w:trHeight w:val="129"/>
        </w:trPr>
        <w:tc>
          <w:tcPr>
            <w:tcW w:w="62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DECREASE IN CASH, CASH EQUIVALENTS AND RESTRICTED CASH</w:t>
            </w:r>
          </w:p>
        </w:tc>
        <w:tc>
          <w:tcPr>
            <w:tcW w:w="10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(10,179,614)</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(11,297,568)</w:t>
            </w:r>
          </w:p>
        </w:tc>
        <w:tc>
          <w:tcPr>
            <w:tcW w:w="260" w:type="dxa"/>
            <w:vAlign w:val="bottom"/>
          </w:tcPr>
          <w:p>
            <w:pPr>
              <w:spacing w:after="0"/>
              <w:rPr>
                <w:sz w:val="11"/>
                <w:szCs w:val="11"/>
                <w:color w:val="auto"/>
              </w:rPr>
            </w:pPr>
          </w:p>
        </w:tc>
        <w:tc>
          <w:tcPr>
            <w:tcW w:w="10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(1,577,079)</w:t>
            </w:r>
          </w:p>
        </w:tc>
        <w:tc>
          <w:tcPr>
            <w:tcW w:w="20" w:type="dxa"/>
            <w:vAlign w:val="bottom"/>
          </w:tcPr>
          <w:p>
            <w:pPr>
              <w:spacing w:after="0"/>
              <w:rPr>
                <w:sz w:val="11"/>
                <w:szCs w:val="11"/>
                <w:color w:val="auto"/>
              </w:rPr>
            </w:pPr>
          </w:p>
        </w:tc>
      </w:tr>
      <w:tr>
        <w:trPr>
          <w:trHeight w:val="135"/>
        </w:trPr>
        <w:tc>
          <w:tcPr>
            <w:tcW w:w="6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Cash, cash equivalents and restricted cash at beginning of the period</w:t>
            </w: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38,621,507</w:t>
            </w:r>
          </w:p>
        </w:tc>
        <w:tc>
          <w:tcPr>
            <w:tcW w:w="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27,747,368</w:t>
            </w: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3,873,383</w:t>
            </w:r>
          </w:p>
        </w:tc>
        <w:tc>
          <w:tcPr>
            <w:tcW w:w="20" w:type="dxa"/>
            <w:vAlign w:val="bottom"/>
          </w:tcPr>
          <w:p>
            <w:pPr>
              <w:spacing w:after="0"/>
              <w:rPr>
                <w:sz w:val="11"/>
                <w:szCs w:val="11"/>
                <w:color w:val="auto"/>
              </w:rPr>
            </w:pPr>
          </w:p>
        </w:tc>
      </w:tr>
      <w:tr>
        <w:trPr>
          <w:trHeight w:val="168"/>
        </w:trPr>
        <w:tc>
          <w:tcPr>
            <w:tcW w:w="624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color w:val="auto"/>
              </w:rPr>
              <w:t>Cash, cash equivalents and restricted cash at end of the period</w:t>
            </w:r>
          </w:p>
        </w:tc>
        <w:tc>
          <w:tcPr>
            <w:tcW w:w="10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28,441,893</w:t>
            </w: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16,449,800</w:t>
            </w:r>
          </w:p>
        </w:tc>
        <w:tc>
          <w:tcPr>
            <w:tcW w:w="260" w:type="dxa"/>
            <w:vAlign w:val="bottom"/>
            <w:tcBorders>
              <w:bottom w:val="single" w:sz="8" w:color="CCEEFF"/>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2,296,304</w:t>
            </w:r>
          </w:p>
        </w:tc>
        <w:tc>
          <w:tcPr>
            <w:tcW w:w="20" w:type="dxa"/>
            <w:vAlign w:val="bottom"/>
          </w:tcPr>
          <w:p>
            <w:pPr>
              <w:spacing w:after="0"/>
              <w:rPr>
                <w:sz w:val="14"/>
                <w:szCs w:val="14"/>
                <w:color w:val="auto"/>
              </w:rPr>
            </w:pPr>
          </w:p>
        </w:tc>
      </w:tr>
      <w:tr>
        <w:trPr>
          <w:trHeight w:val="115"/>
        </w:trPr>
        <w:tc>
          <w:tcPr>
            <w:tcW w:w="624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10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62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Accruals related to purchase of property, plant and equipment</w:t>
            </w: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2,925,579</w:t>
            </w:r>
          </w:p>
        </w:tc>
        <w:tc>
          <w:tcPr>
            <w:tcW w:w="20" w:type="dxa"/>
            <w:vAlign w:val="bottom"/>
          </w:tcPr>
          <w:p>
            <w:pPr>
              <w:spacing w:after="0"/>
              <w:rPr>
                <w:sz w:val="11"/>
                <w:szCs w:val="11"/>
                <w:color w:val="auto"/>
              </w:rPr>
            </w:pPr>
          </w:p>
        </w:tc>
        <w:tc>
          <w:tcPr>
            <w:tcW w:w="12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5,033,650</w:t>
            </w:r>
          </w:p>
        </w:tc>
        <w:tc>
          <w:tcPr>
            <w:tcW w:w="26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702,670</w:t>
            </w:r>
          </w:p>
        </w:tc>
        <w:tc>
          <w:tcPr>
            <w:tcW w:w="20" w:type="dxa"/>
            <w:vAlign w:val="bottom"/>
          </w:tcPr>
          <w:p>
            <w:pPr>
              <w:spacing w:after="0"/>
              <w:rPr>
                <w:sz w:val="11"/>
                <w:szCs w:val="11"/>
                <w:color w:val="auto"/>
              </w:rPr>
            </w:pPr>
          </w:p>
        </w:tc>
      </w:tr>
      <w:tr>
        <w:trPr>
          <w:trHeight w:val="135"/>
        </w:trPr>
        <w:tc>
          <w:tcPr>
            <w:tcW w:w="62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Accretion on redeemable non-controlling interests to redemption value</w:t>
            </w: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162,546</w:t>
            </w:r>
          </w:p>
        </w:tc>
        <w:tc>
          <w:tcPr>
            <w:tcW w:w="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292,864</w:t>
            </w: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40,882</w:t>
            </w:r>
          </w:p>
        </w:tc>
        <w:tc>
          <w:tcPr>
            <w:tcW w:w="20" w:type="dxa"/>
            <w:vAlign w:val="bottom"/>
          </w:tcPr>
          <w:p>
            <w:pPr>
              <w:spacing w:after="0"/>
              <w:rPr>
                <w:sz w:val="11"/>
                <w:szCs w:val="11"/>
                <w:color w:val="auto"/>
              </w:rPr>
            </w:pPr>
          </w:p>
        </w:tc>
      </w:tr>
      <w:tr>
        <w:trPr>
          <w:trHeight w:val="135"/>
        </w:trPr>
        <w:tc>
          <w:tcPr>
            <w:tcW w:w="62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Supplemental Disclosure</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2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paid</w:t>
            </w: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387,420</w:t>
            </w:r>
          </w:p>
        </w:tc>
        <w:tc>
          <w:tcPr>
            <w:tcW w:w="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411,221</w:t>
            </w: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57,404</w:t>
            </w:r>
          </w:p>
        </w:tc>
        <w:tc>
          <w:tcPr>
            <w:tcW w:w="20" w:type="dxa"/>
            <w:vAlign w:val="bottom"/>
          </w:tcPr>
          <w:p>
            <w:pPr>
              <w:spacing w:after="0"/>
              <w:rPr>
                <w:sz w:val="11"/>
                <w:szCs w:val="11"/>
                <w:color w:val="auto"/>
              </w:rPr>
            </w:pPr>
          </w:p>
        </w:tc>
      </w:tr>
      <w:tr>
        <w:trPr>
          <w:trHeight w:val="164"/>
        </w:trPr>
        <w:tc>
          <w:tcPr>
            <w:tcW w:w="62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Income taxes paid</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23,767</w:t>
            </w:r>
          </w:p>
        </w:tc>
        <w:tc>
          <w:tcPr>
            <w:tcW w:w="2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64,465</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8,999</w:t>
            </w:r>
          </w:p>
        </w:tc>
        <w:tc>
          <w:tcPr>
            <w:tcW w:w="20" w:type="dxa"/>
            <w:vAlign w:val="bottom"/>
          </w:tcPr>
          <w:p>
            <w:pPr>
              <w:spacing w:after="0"/>
              <w:rPr>
                <w:sz w:val="14"/>
                <w:szCs w:val="14"/>
                <w:color w:val="auto"/>
              </w:rPr>
            </w:pPr>
          </w:p>
        </w:tc>
      </w:tr>
    </w:tbl>
    <w:p>
      <w:pPr>
        <w:spacing w:after="0" w:line="7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3" w:lineRule="exact"/>
        <w:rPr>
          <w:sz w:val="20"/>
          <w:szCs w:val="20"/>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NIO Inc. (“NIO”, or the “Company”) was incorporated under the laws of the Cayman Islands in November 2014, as an exempted company with limited liability. The Company was formerly known as NextCar Inc. It changed its name to NextEV Inc. in December 2014, and then changed to NIO Inc. in July 2017. The Company, its subsidiaries and consolidated variable interest entities (the “VIEs”) are collectively referred to as the “Group”.</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Group is primarily engaged in the design, development, manufacturing, and sales of smart electric vehicles during the reporting periods. The Group also offers power solutions and comprehensive value-added services to its users. As of June 30, 2025, the Group’s primary operations are conducted in the People’s Republic of China (the “PRC”) and the Company’s principal subsidiaries and VIEs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2"/>
                <w:szCs w:val="12"/>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Place and Date of incorporation</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2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interest held</w:t>
            </w:r>
          </w:p>
        </w:tc>
        <w:tc>
          <w:tcPr>
            <w:tcW w:w="120" w:type="dxa"/>
            <w:vAlign w:val="bottom"/>
          </w:tcPr>
          <w:p>
            <w:pPr>
              <w:spacing w:after="0"/>
              <w:rPr>
                <w:sz w:val="13"/>
                <w:szCs w:val="13"/>
                <w:color w:val="auto"/>
              </w:rPr>
            </w:pPr>
          </w:p>
        </w:tc>
        <w:tc>
          <w:tcPr>
            <w:tcW w:w="188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or date of acquisition</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Principal activities</w:t>
            </w:r>
          </w:p>
        </w:tc>
        <w:tc>
          <w:tcPr>
            <w:tcW w:w="0" w:type="dxa"/>
            <w:vAlign w:val="bottom"/>
          </w:tcPr>
          <w:p>
            <w:pPr>
              <w:spacing w:after="0"/>
              <w:rPr>
                <w:sz w:val="1"/>
                <w:szCs w:val="1"/>
                <w:color w:val="auto"/>
              </w:rPr>
            </w:pPr>
          </w:p>
        </w:tc>
      </w:tr>
      <w:tr>
        <w:trPr>
          <w:trHeight w:val="128"/>
        </w:trPr>
        <w:tc>
          <w:tcPr>
            <w:tcW w:w="41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NIO Nextev Limited (“NIO HK”) (formerly known as Nextev Limited)</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Borders>
              <w:top w:val="single" w:sz="8" w:color="CCEEFF"/>
            </w:tcBorders>
            <w:shd w:val="clear" w:color="auto" w:fill="CCEEFF"/>
          </w:tcPr>
          <w:p>
            <w:pPr>
              <w:spacing w:after="0"/>
              <w:rPr>
                <w:sz w:val="11"/>
                <w:szCs w:val="11"/>
                <w:color w:val="auto"/>
              </w:rPr>
            </w:pPr>
          </w:p>
        </w:tc>
        <w:tc>
          <w:tcPr>
            <w:tcW w:w="17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Hong Kong, February 2015</w:t>
            </w:r>
          </w:p>
        </w:tc>
        <w:tc>
          <w:tcPr>
            <w:tcW w:w="140" w:type="dxa"/>
            <w:vAlign w:val="bottom"/>
            <w:tcBorders>
              <w:top w:val="single" w:sz="8" w:color="CCEEFF"/>
            </w:tcBorders>
            <w:shd w:val="clear" w:color="auto" w:fill="CCEEFF"/>
          </w:tcPr>
          <w:p>
            <w:pPr>
              <w:spacing w:after="0"/>
              <w:rPr>
                <w:sz w:val="11"/>
                <w:szCs w:val="11"/>
                <w:color w:val="auto"/>
              </w:rPr>
            </w:pPr>
          </w:p>
        </w:tc>
        <w:tc>
          <w:tcPr>
            <w:tcW w:w="2960" w:type="dxa"/>
            <w:vAlign w:val="bottom"/>
            <w:tcBorders>
              <w:top w:val="single" w:sz="8" w:color="auto"/>
            </w:tcBorders>
            <w:gridSpan w:val="3"/>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Investment holding</w:t>
            </w:r>
          </w:p>
        </w:tc>
        <w:tc>
          <w:tcPr>
            <w:tcW w:w="0" w:type="dxa"/>
            <w:vAlign w:val="bottom"/>
          </w:tcPr>
          <w:p>
            <w:pPr>
              <w:spacing w:after="0"/>
              <w:rPr>
                <w:sz w:val="1"/>
                <w:szCs w:val="1"/>
                <w:color w:val="auto"/>
              </w:rPr>
            </w:pPr>
          </w:p>
        </w:tc>
      </w:tr>
      <w:tr>
        <w:trPr>
          <w:trHeight w:val="135"/>
        </w:trPr>
        <w:tc>
          <w:tcPr>
            <w:tcW w:w="42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NIO GmbH (formerly known as NextEV GmbH)</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100%</w:t>
            </w:r>
          </w:p>
        </w:tc>
        <w:tc>
          <w:tcPr>
            <w:tcW w:w="200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Germany, May 2015</w:t>
            </w:r>
          </w:p>
        </w:tc>
        <w:tc>
          <w:tcPr>
            <w:tcW w:w="29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Design and technology development</w:t>
            </w:r>
          </w:p>
        </w:tc>
        <w:tc>
          <w:tcPr>
            <w:tcW w:w="0" w:type="dxa"/>
            <w:vAlign w:val="bottom"/>
          </w:tcPr>
          <w:p>
            <w:pPr>
              <w:spacing w:after="0"/>
              <w:rPr>
                <w:sz w:val="1"/>
                <w:szCs w:val="1"/>
                <w:color w:val="auto"/>
              </w:rPr>
            </w:pPr>
          </w:p>
        </w:tc>
      </w:tr>
      <w:tr>
        <w:trPr>
          <w:trHeight w:val="135"/>
        </w:trPr>
        <w:tc>
          <w:tcPr>
            <w:tcW w:w="42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NIO Co., Ltd. (“NIO SH”) (formerly known as NextEV Co., Ltd.)</w:t>
            </w:r>
          </w:p>
        </w:tc>
        <w:tc>
          <w:tcPr>
            <w:tcW w:w="6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100%</w:t>
            </w:r>
          </w:p>
        </w:tc>
        <w:tc>
          <w:tcPr>
            <w:tcW w:w="200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Shanghai, PRC, May 2015</w:t>
            </w:r>
          </w:p>
        </w:tc>
        <w:tc>
          <w:tcPr>
            <w:tcW w:w="296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Headquarter and technology development</w:t>
            </w:r>
          </w:p>
        </w:tc>
        <w:tc>
          <w:tcPr>
            <w:tcW w:w="0" w:type="dxa"/>
            <w:vAlign w:val="bottom"/>
          </w:tcPr>
          <w:p>
            <w:pPr>
              <w:spacing w:after="0"/>
              <w:rPr>
                <w:sz w:val="1"/>
                <w:szCs w:val="1"/>
                <w:color w:val="auto"/>
              </w:rPr>
            </w:pPr>
          </w:p>
        </w:tc>
      </w:tr>
      <w:tr>
        <w:trPr>
          <w:trHeight w:val="135"/>
        </w:trPr>
        <w:tc>
          <w:tcPr>
            <w:tcW w:w="42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NIO USA, Inc. (“NIO US”) (formerly known as NextEV USA, Inc.)</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100%</w:t>
            </w:r>
          </w:p>
        </w:tc>
        <w:tc>
          <w:tcPr>
            <w:tcW w:w="200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United States, November 2015</w:t>
            </w:r>
          </w:p>
        </w:tc>
        <w:tc>
          <w:tcPr>
            <w:tcW w:w="29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Technology development</w:t>
            </w:r>
          </w:p>
        </w:tc>
        <w:tc>
          <w:tcPr>
            <w:tcW w:w="0" w:type="dxa"/>
            <w:vAlign w:val="bottom"/>
          </w:tcPr>
          <w:p>
            <w:pPr>
              <w:spacing w:after="0"/>
              <w:rPr>
                <w:sz w:val="1"/>
                <w:szCs w:val="1"/>
                <w:color w:val="auto"/>
              </w:rPr>
            </w:pPr>
          </w:p>
        </w:tc>
      </w:tr>
      <w:tr>
        <w:trPr>
          <w:trHeight w:val="135"/>
        </w:trPr>
        <w:tc>
          <w:tcPr>
            <w:tcW w:w="42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XPT Limited (“XPT”)</w:t>
            </w:r>
          </w:p>
        </w:tc>
        <w:tc>
          <w:tcPr>
            <w:tcW w:w="6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100%</w:t>
            </w:r>
          </w:p>
        </w:tc>
        <w:tc>
          <w:tcPr>
            <w:tcW w:w="200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Hong Kong, December 2015</w:t>
            </w:r>
          </w:p>
        </w:tc>
        <w:tc>
          <w:tcPr>
            <w:tcW w:w="296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Investment holding</w:t>
            </w:r>
          </w:p>
        </w:tc>
        <w:tc>
          <w:tcPr>
            <w:tcW w:w="0" w:type="dxa"/>
            <w:vAlign w:val="bottom"/>
          </w:tcPr>
          <w:p>
            <w:pPr>
              <w:spacing w:after="0"/>
              <w:rPr>
                <w:sz w:val="1"/>
                <w:szCs w:val="1"/>
                <w:color w:val="auto"/>
              </w:rPr>
            </w:pPr>
          </w:p>
        </w:tc>
      </w:tr>
      <w:tr>
        <w:trPr>
          <w:trHeight w:val="135"/>
        </w:trPr>
        <w:tc>
          <w:tcPr>
            <w:tcW w:w="42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XPT (Jiangsu) Investment Co., Ltd. (“XPT Jiangsu”)</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100%</w:t>
            </w:r>
          </w:p>
        </w:tc>
        <w:tc>
          <w:tcPr>
            <w:tcW w:w="200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Jiangsu, PRC, May 2016</w:t>
            </w:r>
          </w:p>
        </w:tc>
        <w:tc>
          <w:tcPr>
            <w:tcW w:w="29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Investment holding</w:t>
            </w:r>
          </w:p>
        </w:tc>
        <w:tc>
          <w:tcPr>
            <w:tcW w:w="0" w:type="dxa"/>
            <w:vAlign w:val="bottom"/>
          </w:tcPr>
          <w:p>
            <w:pPr>
              <w:spacing w:after="0"/>
              <w:rPr>
                <w:sz w:val="1"/>
                <w:szCs w:val="1"/>
                <w:color w:val="auto"/>
              </w:rPr>
            </w:pPr>
          </w:p>
        </w:tc>
      </w:tr>
      <w:tr>
        <w:trPr>
          <w:trHeight w:val="135"/>
        </w:trPr>
        <w:tc>
          <w:tcPr>
            <w:tcW w:w="42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Shanghai XPT Technology Limited</w:t>
            </w:r>
          </w:p>
        </w:tc>
        <w:tc>
          <w:tcPr>
            <w:tcW w:w="6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100%</w:t>
            </w:r>
          </w:p>
        </w:tc>
        <w:tc>
          <w:tcPr>
            <w:tcW w:w="200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Shanghai, PRC, May 2016</w:t>
            </w:r>
          </w:p>
        </w:tc>
        <w:tc>
          <w:tcPr>
            <w:tcW w:w="296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Technology development</w:t>
            </w:r>
          </w:p>
        </w:tc>
        <w:tc>
          <w:tcPr>
            <w:tcW w:w="0" w:type="dxa"/>
            <w:vAlign w:val="bottom"/>
          </w:tcPr>
          <w:p>
            <w:pPr>
              <w:spacing w:after="0"/>
              <w:rPr>
                <w:sz w:val="1"/>
                <w:szCs w:val="1"/>
                <w:color w:val="auto"/>
              </w:rPr>
            </w:pPr>
          </w:p>
        </w:tc>
      </w:tr>
      <w:tr>
        <w:trPr>
          <w:trHeight w:val="135"/>
        </w:trPr>
        <w:tc>
          <w:tcPr>
            <w:tcW w:w="42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XPT (Nanjing) E-Powertrain Technology Co., Ltd. (“XPT NJEP”)</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100%</w:t>
            </w:r>
          </w:p>
        </w:tc>
        <w:tc>
          <w:tcPr>
            <w:tcW w:w="200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Nanjing, PRC, July 2016</w:t>
            </w:r>
          </w:p>
        </w:tc>
        <w:tc>
          <w:tcPr>
            <w:tcW w:w="29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Manufacturing of E-Powertrain</w:t>
            </w:r>
          </w:p>
        </w:tc>
        <w:tc>
          <w:tcPr>
            <w:tcW w:w="0" w:type="dxa"/>
            <w:vAlign w:val="bottom"/>
          </w:tcPr>
          <w:p>
            <w:pPr>
              <w:spacing w:after="0"/>
              <w:rPr>
                <w:sz w:val="1"/>
                <w:szCs w:val="1"/>
                <w:color w:val="auto"/>
              </w:rPr>
            </w:pPr>
          </w:p>
        </w:tc>
      </w:tr>
      <w:tr>
        <w:trPr>
          <w:trHeight w:val="135"/>
        </w:trPr>
        <w:tc>
          <w:tcPr>
            <w:tcW w:w="42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XPT (Nanjing) Energy Storage System Co., Ltd. (“XPT NJES”)</w:t>
            </w:r>
          </w:p>
        </w:tc>
        <w:tc>
          <w:tcPr>
            <w:tcW w:w="6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100%</w:t>
            </w:r>
          </w:p>
        </w:tc>
        <w:tc>
          <w:tcPr>
            <w:tcW w:w="200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Nanjing, PRC, October 2016</w:t>
            </w:r>
          </w:p>
        </w:tc>
        <w:tc>
          <w:tcPr>
            <w:tcW w:w="296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Manufacturing of battery</w:t>
            </w:r>
          </w:p>
        </w:tc>
        <w:tc>
          <w:tcPr>
            <w:tcW w:w="0" w:type="dxa"/>
            <w:vAlign w:val="bottom"/>
          </w:tcPr>
          <w:p>
            <w:pPr>
              <w:spacing w:after="0"/>
              <w:rPr>
                <w:sz w:val="1"/>
                <w:szCs w:val="1"/>
                <w:color w:val="auto"/>
              </w:rPr>
            </w:pPr>
          </w:p>
        </w:tc>
      </w:tr>
      <w:tr>
        <w:trPr>
          <w:trHeight w:val="135"/>
        </w:trPr>
        <w:tc>
          <w:tcPr>
            <w:tcW w:w="42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NIO Power Express Limited (“PE HK)</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100%</w:t>
            </w:r>
          </w:p>
        </w:tc>
        <w:tc>
          <w:tcPr>
            <w:tcW w:w="200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Hong Kong, January 2017</w:t>
            </w:r>
          </w:p>
        </w:tc>
        <w:tc>
          <w:tcPr>
            <w:tcW w:w="29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Investment holding</w:t>
            </w:r>
          </w:p>
        </w:tc>
        <w:tc>
          <w:tcPr>
            <w:tcW w:w="0" w:type="dxa"/>
            <w:vAlign w:val="bottom"/>
          </w:tcPr>
          <w:p>
            <w:pPr>
              <w:spacing w:after="0"/>
              <w:rPr>
                <w:sz w:val="1"/>
                <w:szCs w:val="1"/>
                <w:color w:val="auto"/>
              </w:rPr>
            </w:pPr>
          </w:p>
        </w:tc>
      </w:tr>
      <w:tr>
        <w:trPr>
          <w:trHeight w:val="135"/>
        </w:trPr>
        <w:tc>
          <w:tcPr>
            <w:tcW w:w="42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NIO User Enterprise Limited (“UE HK”)</w:t>
            </w:r>
          </w:p>
        </w:tc>
        <w:tc>
          <w:tcPr>
            <w:tcW w:w="6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100%</w:t>
            </w:r>
          </w:p>
        </w:tc>
        <w:tc>
          <w:tcPr>
            <w:tcW w:w="200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Hong Kong, February 2017</w:t>
            </w:r>
          </w:p>
        </w:tc>
        <w:tc>
          <w:tcPr>
            <w:tcW w:w="296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Investment holding</w:t>
            </w:r>
          </w:p>
        </w:tc>
        <w:tc>
          <w:tcPr>
            <w:tcW w:w="0" w:type="dxa"/>
            <w:vAlign w:val="bottom"/>
          </w:tcPr>
          <w:p>
            <w:pPr>
              <w:spacing w:after="0"/>
              <w:rPr>
                <w:sz w:val="1"/>
                <w:szCs w:val="1"/>
                <w:color w:val="auto"/>
              </w:rPr>
            </w:pPr>
          </w:p>
        </w:tc>
      </w:tr>
      <w:tr>
        <w:trPr>
          <w:trHeight w:val="117"/>
        </w:trPr>
        <w:tc>
          <w:tcPr>
            <w:tcW w:w="428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NIO Sales and Services Co., Ltd. (“UE CNHC”) (formerly known as Shanghai</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NIO Sales and Service Co., Ltd. )</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20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Shanghai, PRC, March 2017</w:t>
            </w:r>
          </w:p>
        </w:tc>
        <w:tc>
          <w:tcPr>
            <w:tcW w:w="296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98"/>
              </w:rPr>
              <w:t>Investment holding and sales and after sales management</w:t>
            </w:r>
          </w:p>
        </w:tc>
        <w:tc>
          <w:tcPr>
            <w:tcW w:w="0" w:type="dxa"/>
            <w:vAlign w:val="bottom"/>
          </w:tcPr>
          <w:p>
            <w:pPr>
              <w:spacing w:after="0"/>
              <w:rPr>
                <w:sz w:val="1"/>
                <w:szCs w:val="1"/>
                <w:color w:val="auto"/>
              </w:rPr>
            </w:pPr>
          </w:p>
        </w:tc>
      </w:tr>
      <w:tr>
        <w:trPr>
          <w:trHeight w:val="135"/>
        </w:trPr>
        <w:tc>
          <w:tcPr>
            <w:tcW w:w="42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NIO Energy Investment (Hubei) Co., Ltd. (“PE CNHC”) (Note (b))</w:t>
            </w:r>
          </w:p>
        </w:tc>
        <w:tc>
          <w:tcPr>
            <w:tcW w:w="6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100%</w:t>
            </w:r>
          </w:p>
        </w:tc>
        <w:tc>
          <w:tcPr>
            <w:tcW w:w="200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Wuhan PRC, April 2017</w:t>
            </w:r>
          </w:p>
        </w:tc>
        <w:tc>
          <w:tcPr>
            <w:tcW w:w="296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Investment holding</w:t>
            </w:r>
          </w:p>
        </w:tc>
        <w:tc>
          <w:tcPr>
            <w:tcW w:w="0" w:type="dxa"/>
            <w:vAlign w:val="bottom"/>
          </w:tcPr>
          <w:p>
            <w:pPr>
              <w:spacing w:after="0"/>
              <w:rPr>
                <w:sz w:val="1"/>
                <w:szCs w:val="1"/>
                <w:color w:val="auto"/>
              </w:rPr>
            </w:pPr>
          </w:p>
        </w:tc>
      </w:tr>
      <w:tr>
        <w:trPr>
          <w:trHeight w:val="135"/>
        </w:trPr>
        <w:tc>
          <w:tcPr>
            <w:tcW w:w="42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Wuhan NIO Energy Co., Ltd. (“PE WHJV”)</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100%</w:t>
            </w:r>
          </w:p>
        </w:tc>
        <w:tc>
          <w:tcPr>
            <w:tcW w:w="200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Wuhan, PRC, May 2017</w:t>
            </w:r>
          </w:p>
        </w:tc>
        <w:tc>
          <w:tcPr>
            <w:tcW w:w="29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Investment holding</w:t>
            </w:r>
          </w:p>
        </w:tc>
        <w:tc>
          <w:tcPr>
            <w:tcW w:w="0" w:type="dxa"/>
            <w:vAlign w:val="bottom"/>
          </w:tcPr>
          <w:p>
            <w:pPr>
              <w:spacing w:after="0"/>
              <w:rPr>
                <w:sz w:val="1"/>
                <w:szCs w:val="1"/>
                <w:color w:val="auto"/>
              </w:rPr>
            </w:pPr>
          </w:p>
        </w:tc>
      </w:tr>
      <w:tr>
        <w:trPr>
          <w:trHeight w:val="117"/>
        </w:trPr>
        <w:tc>
          <w:tcPr>
            <w:tcW w:w="428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NIO Holding Co., Ltd. (“NIO China”) (formerly known as NIO (Anhui) Holding</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 Ltd.) (Note (a))</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20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Anhui, PRC, November 2017</w:t>
            </w:r>
          </w:p>
        </w:tc>
        <w:tc>
          <w:tcPr>
            <w:tcW w:w="2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Headquarter and technology development</w:t>
            </w:r>
          </w:p>
        </w:tc>
        <w:tc>
          <w:tcPr>
            <w:tcW w:w="0" w:type="dxa"/>
            <w:vAlign w:val="bottom"/>
          </w:tcPr>
          <w:p>
            <w:pPr>
              <w:spacing w:after="0"/>
              <w:rPr>
                <w:sz w:val="1"/>
                <w:szCs w:val="1"/>
                <w:color w:val="auto"/>
              </w:rPr>
            </w:pPr>
          </w:p>
        </w:tc>
      </w:tr>
      <w:tr>
        <w:trPr>
          <w:trHeight w:val="135"/>
        </w:trPr>
        <w:tc>
          <w:tcPr>
            <w:tcW w:w="42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XPT (Jiangsu) Automotive Technology Co., Ltd. (“XPT AUTO”)</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100%</w:t>
            </w:r>
          </w:p>
        </w:tc>
        <w:tc>
          <w:tcPr>
            <w:tcW w:w="200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Nanjing, PRC, May 2018</w:t>
            </w:r>
          </w:p>
        </w:tc>
        <w:tc>
          <w:tcPr>
            <w:tcW w:w="29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Investment holding</w:t>
            </w:r>
          </w:p>
        </w:tc>
        <w:tc>
          <w:tcPr>
            <w:tcW w:w="0" w:type="dxa"/>
            <w:vAlign w:val="bottom"/>
          </w:tcPr>
          <w:p>
            <w:pPr>
              <w:spacing w:after="0"/>
              <w:rPr>
                <w:sz w:val="1"/>
                <w:szCs w:val="1"/>
                <w:color w:val="auto"/>
              </w:rPr>
            </w:pPr>
          </w:p>
        </w:tc>
      </w:tr>
      <w:tr>
        <w:trPr>
          <w:trHeight w:val="135"/>
        </w:trPr>
        <w:tc>
          <w:tcPr>
            <w:tcW w:w="42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NIO Financial Leasing Co., Ltd. (“NIO Leasing”)</w:t>
            </w:r>
          </w:p>
        </w:tc>
        <w:tc>
          <w:tcPr>
            <w:tcW w:w="6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100%</w:t>
            </w:r>
          </w:p>
        </w:tc>
        <w:tc>
          <w:tcPr>
            <w:tcW w:w="200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Shanghai, PRC, August 2018</w:t>
            </w:r>
          </w:p>
        </w:tc>
        <w:tc>
          <w:tcPr>
            <w:tcW w:w="296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Financial Leasing</w:t>
            </w:r>
          </w:p>
        </w:tc>
        <w:tc>
          <w:tcPr>
            <w:tcW w:w="0" w:type="dxa"/>
            <w:vAlign w:val="bottom"/>
          </w:tcPr>
          <w:p>
            <w:pPr>
              <w:spacing w:after="0"/>
              <w:rPr>
                <w:sz w:val="1"/>
                <w:szCs w:val="1"/>
                <w:color w:val="auto"/>
              </w:rPr>
            </w:pPr>
          </w:p>
        </w:tc>
      </w:tr>
      <w:tr>
        <w:trPr>
          <w:trHeight w:val="135"/>
        </w:trPr>
        <w:tc>
          <w:tcPr>
            <w:tcW w:w="42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NIO (Anhui) Co., Ltd. (“NIO AH”)</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100%</w:t>
            </w:r>
          </w:p>
        </w:tc>
        <w:tc>
          <w:tcPr>
            <w:tcW w:w="200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Anhui, PRC, August 2020</w:t>
            </w:r>
          </w:p>
        </w:tc>
        <w:tc>
          <w:tcPr>
            <w:tcW w:w="29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Industrialization and technology development</w:t>
            </w:r>
          </w:p>
        </w:tc>
        <w:tc>
          <w:tcPr>
            <w:tcW w:w="0" w:type="dxa"/>
            <w:vAlign w:val="bottom"/>
          </w:tcPr>
          <w:p>
            <w:pPr>
              <w:spacing w:after="0"/>
              <w:rPr>
                <w:sz w:val="1"/>
                <w:szCs w:val="1"/>
                <w:color w:val="auto"/>
              </w:rPr>
            </w:pPr>
          </w:p>
        </w:tc>
      </w:tr>
      <w:tr>
        <w:trPr>
          <w:trHeight w:val="135"/>
        </w:trPr>
        <w:tc>
          <w:tcPr>
            <w:tcW w:w="42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NIO Technology (Anhui) Co., Ltd. (“NIO R&amp;D”)</w:t>
            </w:r>
          </w:p>
        </w:tc>
        <w:tc>
          <w:tcPr>
            <w:tcW w:w="6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100%</w:t>
            </w:r>
          </w:p>
        </w:tc>
        <w:tc>
          <w:tcPr>
            <w:tcW w:w="200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Anhui, PRC, August 2020</w:t>
            </w:r>
          </w:p>
        </w:tc>
        <w:tc>
          <w:tcPr>
            <w:tcW w:w="296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Design and technology development</w:t>
            </w:r>
          </w:p>
        </w:tc>
        <w:tc>
          <w:tcPr>
            <w:tcW w:w="0" w:type="dxa"/>
            <w:vAlign w:val="bottom"/>
          </w:tcPr>
          <w:p>
            <w:pPr>
              <w:spacing w:after="0"/>
              <w:rPr>
                <w:sz w:val="1"/>
                <w:szCs w:val="1"/>
                <w:color w:val="auto"/>
              </w:rPr>
            </w:pPr>
          </w:p>
        </w:tc>
      </w:tr>
      <w:tr>
        <w:trPr>
          <w:trHeight w:val="135"/>
        </w:trPr>
        <w:tc>
          <w:tcPr>
            <w:tcW w:w="42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New Horizon B.V.</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100%</w:t>
            </w:r>
          </w:p>
        </w:tc>
        <w:tc>
          <w:tcPr>
            <w:tcW w:w="200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Netherlands, November 2022</w:t>
            </w:r>
          </w:p>
        </w:tc>
        <w:tc>
          <w:tcPr>
            <w:tcW w:w="29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Investment holding</w:t>
            </w:r>
          </w:p>
        </w:tc>
        <w:tc>
          <w:tcPr>
            <w:tcW w:w="0" w:type="dxa"/>
            <w:vAlign w:val="bottom"/>
          </w:tcPr>
          <w:p>
            <w:pPr>
              <w:spacing w:after="0"/>
              <w:rPr>
                <w:sz w:val="1"/>
                <w:szCs w:val="1"/>
                <w:color w:val="auto"/>
              </w:rPr>
            </w:pPr>
          </w:p>
        </w:tc>
      </w:tr>
      <w:tr>
        <w:trPr>
          <w:trHeight w:val="135"/>
        </w:trPr>
        <w:tc>
          <w:tcPr>
            <w:tcW w:w="42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NIO Nextev Europe Holding B.V.(“NIO NL”)</w:t>
            </w:r>
          </w:p>
        </w:tc>
        <w:tc>
          <w:tcPr>
            <w:tcW w:w="6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100%</w:t>
            </w:r>
          </w:p>
        </w:tc>
        <w:tc>
          <w:tcPr>
            <w:tcW w:w="200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Netherlands, December 2020</w:t>
            </w:r>
          </w:p>
        </w:tc>
        <w:tc>
          <w:tcPr>
            <w:tcW w:w="296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Investment holding</w:t>
            </w:r>
          </w:p>
        </w:tc>
        <w:tc>
          <w:tcPr>
            <w:tcW w:w="0" w:type="dxa"/>
            <w:vAlign w:val="bottom"/>
          </w:tcPr>
          <w:p>
            <w:pPr>
              <w:spacing w:after="0"/>
              <w:rPr>
                <w:sz w:val="1"/>
                <w:szCs w:val="1"/>
                <w:color w:val="auto"/>
              </w:rPr>
            </w:pPr>
          </w:p>
        </w:tc>
      </w:tr>
      <w:tr>
        <w:trPr>
          <w:trHeight w:val="135"/>
        </w:trPr>
        <w:tc>
          <w:tcPr>
            <w:tcW w:w="42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NEU Battery Asset Co., Ltd. (“BAC Cayman”)</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100%</w:t>
            </w:r>
          </w:p>
        </w:tc>
        <w:tc>
          <w:tcPr>
            <w:tcW w:w="200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Cayman Islands, May 2021</w:t>
            </w:r>
          </w:p>
        </w:tc>
        <w:tc>
          <w:tcPr>
            <w:tcW w:w="29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Investment holding</w:t>
            </w:r>
          </w:p>
        </w:tc>
        <w:tc>
          <w:tcPr>
            <w:tcW w:w="0" w:type="dxa"/>
            <w:vAlign w:val="bottom"/>
          </w:tcPr>
          <w:p>
            <w:pPr>
              <w:spacing w:after="0"/>
              <w:rPr>
                <w:sz w:val="1"/>
                <w:szCs w:val="1"/>
                <w:color w:val="auto"/>
              </w:rPr>
            </w:pPr>
          </w:p>
        </w:tc>
      </w:tr>
      <w:tr>
        <w:trPr>
          <w:trHeight w:val="135"/>
        </w:trPr>
        <w:tc>
          <w:tcPr>
            <w:tcW w:w="42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Instant Power Europe B.V. Co., Ltd. (“BAC NL”)</w:t>
            </w:r>
          </w:p>
        </w:tc>
        <w:tc>
          <w:tcPr>
            <w:tcW w:w="6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100%</w:t>
            </w:r>
          </w:p>
        </w:tc>
        <w:tc>
          <w:tcPr>
            <w:tcW w:w="200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Netherlands, June 2021</w:t>
            </w:r>
          </w:p>
        </w:tc>
        <w:tc>
          <w:tcPr>
            <w:tcW w:w="296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Battery Subscription Service</w:t>
            </w:r>
          </w:p>
        </w:tc>
        <w:tc>
          <w:tcPr>
            <w:tcW w:w="0" w:type="dxa"/>
            <w:vAlign w:val="bottom"/>
          </w:tcPr>
          <w:p>
            <w:pPr>
              <w:spacing w:after="0"/>
              <w:rPr>
                <w:sz w:val="1"/>
                <w:szCs w:val="1"/>
                <w:color w:val="auto"/>
              </w:rPr>
            </w:pPr>
          </w:p>
        </w:tc>
      </w:tr>
      <w:tr>
        <w:trPr>
          <w:trHeight w:val="135"/>
        </w:trPr>
        <w:tc>
          <w:tcPr>
            <w:tcW w:w="42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NEU Battery Asset (Hong Kong) Co., Ltd. (“BAC HK”)</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100%</w:t>
            </w:r>
          </w:p>
        </w:tc>
        <w:tc>
          <w:tcPr>
            <w:tcW w:w="200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Hong Kong, July 2021</w:t>
            </w:r>
          </w:p>
        </w:tc>
        <w:tc>
          <w:tcPr>
            <w:tcW w:w="29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Investment holding</w:t>
            </w:r>
          </w:p>
        </w:tc>
        <w:tc>
          <w:tcPr>
            <w:tcW w:w="0" w:type="dxa"/>
            <w:vAlign w:val="bottom"/>
          </w:tcPr>
          <w:p>
            <w:pPr>
              <w:spacing w:after="0"/>
              <w:rPr>
                <w:sz w:val="1"/>
                <w:szCs w:val="1"/>
                <w:color w:val="auto"/>
              </w:rPr>
            </w:pPr>
          </w:p>
        </w:tc>
      </w:tr>
      <w:tr>
        <w:trPr>
          <w:trHeight w:val="135"/>
        </w:trPr>
        <w:tc>
          <w:tcPr>
            <w:tcW w:w="42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NIO Software Technology (Shanghai) Co., Ltd (“SHST”)</w:t>
            </w:r>
          </w:p>
        </w:tc>
        <w:tc>
          <w:tcPr>
            <w:tcW w:w="6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100%</w:t>
            </w:r>
          </w:p>
        </w:tc>
        <w:tc>
          <w:tcPr>
            <w:tcW w:w="200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Shanghai, PRC, July 2022</w:t>
            </w:r>
          </w:p>
        </w:tc>
        <w:tc>
          <w:tcPr>
            <w:tcW w:w="296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Technology development</w:t>
            </w:r>
          </w:p>
        </w:tc>
        <w:tc>
          <w:tcPr>
            <w:tcW w:w="0" w:type="dxa"/>
            <w:vAlign w:val="bottom"/>
          </w:tcPr>
          <w:p>
            <w:pPr>
              <w:spacing w:after="0"/>
              <w:rPr>
                <w:sz w:val="1"/>
                <w:szCs w:val="1"/>
                <w:color w:val="auto"/>
              </w:rPr>
            </w:pPr>
          </w:p>
        </w:tc>
      </w:tr>
      <w:tr>
        <w:trPr>
          <w:trHeight w:val="135"/>
        </w:trPr>
        <w:tc>
          <w:tcPr>
            <w:tcW w:w="42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NIO AI Technology Limited (“NIO AI Technology”)</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96.970%</w:t>
            </w:r>
          </w:p>
        </w:tc>
        <w:tc>
          <w:tcPr>
            <w:tcW w:w="200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Cayman Islands, March 2021</w:t>
            </w:r>
          </w:p>
        </w:tc>
        <w:tc>
          <w:tcPr>
            <w:tcW w:w="29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Investment holding</w:t>
            </w:r>
          </w:p>
        </w:tc>
        <w:tc>
          <w:tcPr>
            <w:tcW w:w="0" w:type="dxa"/>
            <w:vAlign w:val="bottom"/>
          </w:tcPr>
          <w:p>
            <w:pPr>
              <w:spacing w:after="0"/>
              <w:rPr>
                <w:sz w:val="1"/>
                <w:szCs w:val="1"/>
                <w:color w:val="auto"/>
              </w:rPr>
            </w:pPr>
          </w:p>
        </w:tc>
      </w:tr>
      <w:tr>
        <w:trPr>
          <w:trHeight w:val="135"/>
        </w:trPr>
        <w:tc>
          <w:tcPr>
            <w:tcW w:w="42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NIO AI Technology Limited</w:t>
            </w:r>
          </w:p>
        </w:tc>
        <w:tc>
          <w:tcPr>
            <w:tcW w:w="6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96.970%</w:t>
            </w:r>
          </w:p>
        </w:tc>
        <w:tc>
          <w:tcPr>
            <w:tcW w:w="200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Hong Kong, May 2021</w:t>
            </w:r>
          </w:p>
        </w:tc>
        <w:tc>
          <w:tcPr>
            <w:tcW w:w="296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Investment holding</w:t>
            </w:r>
          </w:p>
        </w:tc>
        <w:tc>
          <w:tcPr>
            <w:tcW w:w="0" w:type="dxa"/>
            <w:vAlign w:val="bottom"/>
          </w:tcPr>
          <w:p>
            <w:pPr>
              <w:spacing w:after="0"/>
              <w:rPr>
                <w:sz w:val="1"/>
                <w:szCs w:val="1"/>
                <w:color w:val="auto"/>
              </w:rPr>
            </w:pPr>
          </w:p>
        </w:tc>
      </w:tr>
      <w:tr>
        <w:trPr>
          <w:trHeight w:val="164"/>
        </w:trPr>
        <w:tc>
          <w:tcPr>
            <w:tcW w:w="4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Anhui NIO Autonomous Driving Technology Co., Ltd. (“Anhui NIO AD”)</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96.970%</w:t>
            </w:r>
          </w:p>
        </w:tc>
        <w:tc>
          <w:tcPr>
            <w:tcW w:w="20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Anhui, PRC, June 2021</w:t>
            </w:r>
          </w:p>
        </w:tc>
        <w:tc>
          <w:tcPr>
            <w:tcW w:w="29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Technology development</w:t>
            </w:r>
          </w:p>
        </w:tc>
        <w:tc>
          <w:tcPr>
            <w:tcW w:w="0" w:type="dxa"/>
            <w:vAlign w:val="bottom"/>
          </w:tcPr>
          <w:p>
            <w:pPr>
              <w:spacing w:after="0"/>
              <w:rPr>
                <w:sz w:val="1"/>
                <w:szCs w:val="1"/>
                <w:color w:val="auto"/>
              </w:rPr>
            </w:pPr>
          </w:p>
        </w:tc>
      </w:tr>
      <w:tr>
        <w:trPr>
          <w:trHeight w:val="324"/>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VIEs and VIEs’ subsidiaries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Place and Date of incorporation</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gridSpan w:val="2"/>
            <w:vMerge w:val="continue"/>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date of acquisition</w:t>
            </w:r>
          </w:p>
        </w:tc>
        <w:tc>
          <w:tcPr>
            <w:tcW w:w="0" w:type="dxa"/>
            <w:vAlign w:val="bottom"/>
          </w:tcPr>
          <w:p>
            <w:pPr>
              <w:spacing w:after="0"/>
              <w:rPr>
                <w:sz w:val="1"/>
                <w:szCs w:val="1"/>
                <w:color w:val="auto"/>
              </w:rPr>
            </w:pPr>
          </w:p>
        </w:tc>
      </w:tr>
      <w:tr>
        <w:trPr>
          <w:trHeight w:val="210"/>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Prime Hubs Limited (“Prime Hubs”)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BVI, October 2014</w:t>
            </w:r>
          </w:p>
        </w:tc>
        <w:tc>
          <w:tcPr>
            <w:tcW w:w="0" w:type="dxa"/>
            <w:vAlign w:val="bottom"/>
          </w:tcPr>
          <w:p>
            <w:pPr>
              <w:spacing w:after="0"/>
              <w:rPr>
                <w:sz w:val="1"/>
                <w:szCs w:val="1"/>
                <w:color w:val="auto"/>
              </w:rPr>
            </w:pPr>
          </w:p>
        </w:tc>
      </w:tr>
      <w:tr>
        <w:trPr>
          <w:trHeight w:val="216"/>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Beijing NIO Network Technology Co., Ltd. (“Beijing NIO”)</w:t>
            </w: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Beijing, PRC, July 2017</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Anhui NIO AI Technology Co., Ltd. (“Anhui NIO AT”)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Anhui, PRC, April 2021</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Anhui NIO Data Technology Co., Ltd. (“Anhui NIO DT”)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Anhui, PRC, October 2022</w:t>
            </w:r>
          </w:p>
        </w:tc>
        <w:tc>
          <w:tcPr>
            <w:tcW w:w="0" w:type="dxa"/>
            <w:vAlign w:val="bottom"/>
          </w:tcPr>
          <w:p>
            <w:pPr>
              <w:spacing w:after="0"/>
              <w:rPr>
                <w:sz w:val="1"/>
                <w:szCs w:val="1"/>
                <w:color w:val="auto"/>
              </w:rPr>
            </w:pPr>
          </w:p>
        </w:tc>
      </w:tr>
      <w:tr>
        <w:trPr>
          <w:trHeight w:val="216"/>
        </w:trPr>
        <w:tc>
          <w:tcPr>
            <w:tcW w:w="74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NIO Insurance Broker Co., Ltd(“NIO IB”) (formerly known as Huiding Insurance Broker Co., Ltd)</w:t>
            </w:r>
          </w:p>
        </w:tc>
        <w:tc>
          <w:tcPr>
            <w:tcW w:w="2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Anhui, PRC, January 2023</w:t>
            </w:r>
          </w:p>
        </w:tc>
        <w:tc>
          <w:tcPr>
            <w:tcW w:w="0" w:type="dxa"/>
            <w:vAlign w:val="bottom"/>
          </w:tcPr>
          <w:p>
            <w:pPr>
              <w:spacing w:after="0"/>
              <w:rPr>
                <w:sz w:val="1"/>
                <w:szCs w:val="1"/>
                <w:color w:val="auto"/>
              </w:rPr>
            </w:pPr>
          </w:p>
        </w:tc>
      </w:tr>
      <w:tr>
        <w:trPr>
          <w:trHeight w:val="864"/>
        </w:trPr>
        <w:tc>
          <w:tcPr>
            <w:tcW w:w="4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F-8</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NIO China</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2024 and June 30, 2025, the Company held 89.02% of total paid-in capital of NIO China. In accordance with NIO China’s share purchase agreements, the redemption of the non-controlling interests is at the holders of non-controlling interests’ option and is upon the occurrence of the events that are not solely within the control of the Company. Therefore, these redeemable non-controlling interests in NIO China were classified as mezzanine equity and are subsequently accreted to the redemption price using the agreed interest rate as a reduction of additional paid in capital (Note 19). With the redemption feature of the non-controlling interests, the Company is considered to effectively have 100% equity interest of NIO China as of December 31, 2024 and June 30, 2025.</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July 2025, The Group entered into a definitive agreement to exercise its right to make an additional investment of RMB20 billion in NIO China. Upon completion of this additional investment, the Group will hold a controlling equity interest of 91.8% in NIO China.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PE CNHC</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2024 and June 30, 2025, the Company held 90.91% of total paid-in capital of PE CNHC. In May 2024, the Group entered into several agreements with the holders of non-controlling interests, including a share purchase agreement of PE CNHC. In accordance with the share purchase agreement, the redemption of the non-controlling interests is at the holders of non-controlling interests’ option and is upon the occurrence of the events that are not solely within the control of the Company. Therefore, these redeemable non-controlling interests in PE CNHC were classified as mezzanine equity and are subsequently accreted to the redemption price using the agreed interest rate as a reduction of additional paid in capital (Note 19). With the redemption feature of the non-controlling interests, the Company is considered to effectively have 100% equity interest of PE CNHC as of June 30, 2025.</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Prime Hubs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October 2014, Prime Hubs, a British Virgin Islands (“BVI”) incorporated company, was established by Li Bin, a shareholder of the Group, to facilitate the adoption of the Company’s employee stock incentive plans on behalf of the Company. The Company entered into a management agreement with Prime Hubs and Li Bin. The agreement enables the Company to direct the activities that most significantly impact Prime Hubs’s economic performance and enable the Company to obtain substantially all of the economic benefits arising from Prime Hubs. As of December 31, 2024 and June 30, 2025, Prime Hubs held 3,250,002 Class A Ordinary Shares of the Company, respectively, other than which, Prime Hubs did not have any operations, nor any material assets or liabilities. All restricted shares granted under the Company’s Prime Hubs Restricted Shares Plan have been fully vested.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Beijing NIO</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April 2018, the Group entered into a series of contractual arrangements with Beijing NIO and its individual shareholders (the “Nominee Shareholders”), including, among others, an exclusive business cooperation agreement, a loan agreement, an equity pledge agreement, an exclusive call option agreement and a power of attorney, which enable the Company to direct the activities that most significantly impact Beijing NIO’s economic performance and obtain substantially all of the economic benefits arising from Beijing NIO. Management concluded that Beijing NIO is a variable interest entity and the Company is the ultimate primary beneficiary of Beijing NIO and hence consolidates the financial results of Beijing NIO. The Group operates value-added telecommunication services, including without limitation, performing internet information services, as well as holding certain related licenses, through Beijing NIO. For the six months ended June 30, 2024 and 2025, the financial position, result of operations and cash flow activities of Beijing NIO were immaterial to the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Anhui NIO AT</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April 2021, Anhui NIO AT, was established by individual shareholders (the “Nominee Shareholders”). Anhui NIO AD entered into a management agreement with Nominee Shareholders. The agreement enables the Company to direct the activities that most significantly impact Anhui NIO AT’s economic performance, and enabled the Company to obtain substantially all of the economic benefits arising from them. Management concluded that Anhui NIO AT is a variable interest entity and the Company is the ultimate primary beneficiary of Anhui NIO AT and hence consolidates the financial results of Anhui NIO AT. In November 2022, concurrent with the termination of the said management agreement, the Group entered into a series of contractual arrangements with the Nominee Shareholders as well as Anhui NIO AT, including, among others, an exclusive business cooperation agreement, a loan agreement, an equity pledge agreement, an exclusive call option agreement and a power of attorney. These agreements enable the Company to direct the activities that most significantly impact Anhui NIO AT’s economic performance and enable the Company to obtain substantially all of the economic benefits arising from Anhui NIO AT. Management concluded that Anhui NIO AT continues to be a variable interest entity and the Company remains as the ultimate primary beneficiary of Anhui NIO AT. Therefore, the Group continues to consolidate the financial results of Anhui NIO AT’s financial statements. The Group intends to obtain requisite licenses for certain supporting functions during the development of autonomous driving technology through Anhui NIO AT. For the six months ended June 30, 2024 and 2025, the financial position, result of operations and cash flow activities of Anhui NIO AT were immaterial to the consolidated financial statements.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Anhui NIO DT and NIO IB</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October 2022, the Group entered into a series of contractual arrangements with Anhui NIO DT and its individual shareholders (the “Nominee Shareholders”), including, among others, an exclusive business cooperation agreement, a loan agreement, an equity pledge agreement, an exclusive call option agreement and a power of attorney, which enable the Group to direct the activities that most significantly impact Anhui NIO DT’s economic performance and obtain substantially all of the economic benefits arising from Anhui NIO DT. Management concluded that Anhui NIO DT is a variable interest entity and the Company is the ultimate primary beneficiary of Anhui NIO DT and hence consolidates the financial results of Anhui NIO DT in the Group’s consolidated financial statements. In January 2023, Anhui NIO DT acquired NIO IB. NIO IB was a company holding the insurance brokerage license and does not meet the criteria necessary to be defined as a business under US GAAP. Accordingly, the Group accounted for this transaction as an asset acquisition. The Group provides insurance brokerage services which are mainly vehicle-related and property-related and holds requisite licenses through Anhui NIO DT and NIO IB. For the six months ended June 30, 2024 and 2025, the financial position, result of operations and cash flow activities of Anhui NIO DT and NIO IB were immaterial to the consolidated financial statements.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Group’s unaudited interim condensed consolidated financial statements have been prepared on a going concern basis.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Group has been incurring losses from operations since inception. The Group incurred net losses of RMB10.2 billion and RMB11.7 billion, and operating cash outflow of RMB10.0 billion and RMB10.9 billion, for the six months ended June 30, 2024 and 2025. The Group’s accumulated deficit amounted to RMB113.1 billion and RMB124.8 billion as of December 31, 2024 and June 30, 2025, respectively. As of June 30, 2025, the Group’s current liabilities exceeded current assets in the amount of RMB9.8 billion and the Group’s total shareholders’ deficit was RMB1.1 billion. As of June 30, 2025, the Group’s balances of cash and cash equivalents, restricted cash and short-term investment totaled RMB27.1 billion, and the Group had trade and notes payable of RMB35.0 billion, accruals and other liabilities of RMB17.3 billion, and outstanding borrowing of RMB6.2 billion due in the next 12 months.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Therefore, the Group’s ability to continue as a going concern is largely dependent on the successful implementation of management’s business plan to mitigate these adverse conditions, which includes growing the Group’s revenue by increasing sales volume of electric vehicles from existing and new vehicle models, continuing to optimize operation efficiency to improve operating cash flows, maintaining a reasonable working capital turnover rate by managing collection of receivables and settlement of payables, and raising funds from banks under available credit quotas and other sources when needed. Management has prepared a cash flows forecast covering the twelve months from the date of issuance of the unaudited interim condensed consolidated financial statements after giving consideration to its business plan as noted above and the evaluation of the probability of the successful implementation of such business plan. Management has assessed the uncertainties as to the successful execution of such business plan and concluded it is probable that the business plan will be effectively implemented, and the Group’s available cash and cash equivalents, restricted cash and short-term investments, cash generated from operating activities and funds from available credit quotas and other sources will be sufficient to support its continuous operations and necessary capital expenditures, and to meet its payment obligations when liabilities fall due within the twelve months from the date of issuance of the unaudited interim condensed consolidated financial statements.</w:t>
      </w:r>
    </w:p>
    <w:p>
      <w:pPr>
        <w:spacing w:after="0" w:line="186"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 Basis of presentation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of the Group have been prepared in accordance with accounting principles generally accepted in the United States of America (“US GAAP”). Significant accounting policies followed by the Group in the preparation of the accompanying consolidated financial statements are summarized below. The interim financial data as of June 30, 2024 and 2025 and for the six months ended June 30, 2024 and 2025 is unaudited. In the opinion of management, the interim financial data includes all adjustments, consisting only of normal recurring adjustments, necessary for a fair statement of the results for the interim periods. The interim consolidated financial statements and the accompanying notes should be read in conjunction with the annual consolidated financial statements and the accompanying notes contained in the Company’s Annual Report on Form 20-F for the year ended December 31, 2024.</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Principles of consolidation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include the financial statements of the Company, its subsidiaries and the VIEs for which the Company is the ultimate primary beneficiary.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subsidiary is an entity in which the Company, directly or indirectly, controls more than one half of the voting power; has the power to appoint or remove the majority of the members of the board of directors (the “Board”); to cast majority of votes at the meeting of the Board or to govern the financial and operating policies of the investee under a statute or agreement among the shareholders or equity holders.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applies the guidance under Accounting Standards Codification 810, Consolidations (“ASC 810”) on accounting for the VIEs. A VIE is an entity with one or more of the following characteristics: (a) the total equity investment at risk is not sufficient to permit the entity to finance its activities without additional financial support; (b) as a group, the holders of the equity investment at risk lack the ability to make certain decisions, the obligation to absorb expected losses or the right to receive expected residual returns, or (c) an equity investor has voting rights that are disproportionate to its economic interest and substantially all of the entity’s activities are on behalf of the investor. ASC 810 requires variable interest entities to be consolidated by the primary beneficiary which has a controlling financial interest of variable interest entities. The Company is considered as the primary beneficiary of the VIEs and thus consolidates the financial statements of each of these entities under U.S. GAAP.</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significant transactions and balances between the Company, its subsidiaries and the VIEs have been eliminated upon consolidation. The non-controlling interests in consolidated subsidiaries are shown separately in the unaudited interim condensed consolidated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 Use of estimates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the unaudited interim condensed consolidated financial statements in conformity with U.S. GAAP requires management to make estimates and assumptions that affect the reported amounts of assets and liabilities, related disclosures of contingent assets and liabilities at the balance sheet date, and the reported revenue and expenses during the reported period in the unaudited interim condensed consolidated financial statements and accompanying notes. Significant accounting estimates reflected in the Group’s unaudited interim condensed consolidated financial statements mainly include, but are not limited to, warranty liabilities, determination of standalone selling price regarding multiple performance obligations, fair value of available-for-sale debt security investments and equity securities using fair value option investments, lower of cost and net realizable value of inventories, inventory valuation for excess and obsolete inventories, losses on purchase commitments, allowance for current expected credit loss, depreciable lives of property, equipment and software, subsequent measurement of equity securities measured under measurement alternatives, assessment for impairment of long-lived assets, valuation of deferred tax assets, valuation and recognition of share-based compensation, fair value of short-term investments, discount rate of lease liabilities, and current or non-current classification of receivables. Actual results could differ from those estimates.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 Convenience translation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Translations of balances in the consolidated balance sheets, consolidated statements of comprehensive loss and consolidated statements of cash flows from RMB into US$ as of and for the six months ended June 30, 2025 are solely for the convenience of the reader and were calculated at the rate of US$1.00 = RMB7.1636, representing the noon buying rate in The City of New York for cable transfers of RMB as certified for customs purposes by the Federal Reserve Bank of New York on June 30, 2025. No representation is made that the RMB amounts represent or could have been, or could be, converted, realized or settled into US$ at that rate on June 30, 2025, or at any other rate.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 Fair value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in an orderly transaction between market participants at the measurement date. When determining the fair value measurements for assets and liabilities required or permitted to be either recorded or disclosed at fair value, the Group considers the principal or most advantageous market in which it would transact, and it also considers assumptions that market participants would use when pricing the asset or liability.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or liabilities.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 Observable, market-based inputs, other than quoted prices, in active markets for identical assets or liabilities.</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Level 3 — Unobservable inputs to the valuation methodology that are significant to the measurement of the fair value of the assets or liabilities.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disclosed in Note 2(k), the Group’s equity securities with readily determinable fair values are carried at fair value using quoted market prices that are currently available on a securities exchange and are classified within Level 1.</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Group’s investments in money market funds, financial products issued by banks and certain retained asset backed securities are carried at fair value, which are classified within Level 2 and valued using directly or indirectly observable inputs in the market place. As of December 31, 2024 and June 30, 2025, such investments aggregately amounted to RMB6,109,606 and RMB1,294,223, respectively.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disclosed in Note 2(n), the Group’s derivative instruments are carried at fair value, which are classified within Level 2 and valued using indirectly observable inputs in the market place.</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disclosed in Note 8, the Group’s available-for-sale debt security investments include investments the Group made in private companies which contains substantive redemption and preferential rights. The Group’s equity securities investments measured using fair value option include an investment the Group made in a private company which contains certain preferential rights. Such investments are classified within Level 3 for fair value measurement. As of December 31, 2024 and June 30, 2025, the carrying value of the investments were RMB1,277,068 and RMB1,278,557, respectively. The Group re-measured the respective fair values using a market approach by adopting a backsolve method, which determined the estimated fair value of the investments through comparison to a recent transaction and applied significant unobservable inputs and assumptions. For the six months ended June 30, 2024 and 2025, fair value changes of available-for-sale debt security investments and equity securities investments using fair value option were not material. The significant unobservable inputs adopted in the valuation as of December 31, 2024 and June 30, 2025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142"/>
        </w:trPr>
        <w:tc>
          <w:tcPr>
            <w:tcW w:w="3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0" w:type="dxa"/>
            <w:vAlign w:val="bottom"/>
            <w:tcBorders>
              <w:top w:val="single" w:sz="8" w:color="auto"/>
            </w:tcBorders>
          </w:tcPr>
          <w:p>
            <w:pPr>
              <w:ind w:left="940"/>
              <w:spacing w:after="0" w:line="142" w:lineRule="exact"/>
              <w:rPr>
                <w:sz w:val="20"/>
                <w:szCs w:val="20"/>
                <w:color w:val="auto"/>
              </w:rPr>
            </w:pPr>
            <w:r>
              <w:rPr>
                <w:rFonts w:ascii="Times New Roman" w:cs="Times New Roman" w:eastAsia="Times New Roman" w:hAnsi="Times New Roman"/>
                <w:sz w:val="14"/>
                <w:szCs w:val="14"/>
                <w:color w:val="auto"/>
              </w:rPr>
              <w:t>(Unaudited)</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4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0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49%-52%</w:t>
            </w:r>
          </w:p>
        </w:tc>
        <w:tc>
          <w:tcPr>
            <w:tcW w:w="2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46%-52%</w:t>
            </w:r>
          </w:p>
        </w:tc>
      </w:tr>
      <w:tr>
        <w:trPr>
          <w:trHeight w:val="198"/>
        </w:trPr>
        <w:tc>
          <w:tcPr>
            <w:tcW w:w="3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Probability</w:t>
            </w:r>
          </w:p>
        </w:tc>
        <w:tc>
          <w:tcPr>
            <w:tcW w:w="4280" w:type="dxa"/>
            <w:vAlign w:val="bottom"/>
            <w:gridSpan w:val="3"/>
            <w:shd w:val="clear" w:color="auto" w:fill="CCEEFF"/>
          </w:tcPr>
          <w:p>
            <w:pPr>
              <w:ind w:left="1480"/>
              <w:spacing w:after="0" w:line="198" w:lineRule="exact"/>
              <w:rPr>
                <w:sz w:val="20"/>
                <w:szCs w:val="20"/>
                <w:color w:val="auto"/>
              </w:rPr>
            </w:pPr>
            <w:r>
              <w:rPr>
                <w:rFonts w:ascii="Times New Roman" w:cs="Times New Roman" w:eastAsia="Times New Roman" w:hAnsi="Times New Roman"/>
                <w:sz w:val="18"/>
                <w:szCs w:val="18"/>
                <w:color w:val="auto"/>
              </w:rPr>
              <w:t>Liquidation scenario: 20%-43%</w:t>
            </w:r>
          </w:p>
        </w:tc>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Liquidation scenario: 20%-43%</w:t>
            </w:r>
          </w:p>
        </w:tc>
      </w:tr>
      <w:tr>
        <w:trPr>
          <w:trHeight w:val="216"/>
        </w:trPr>
        <w:tc>
          <w:tcPr>
            <w:tcW w:w="3040" w:type="dxa"/>
            <w:vAlign w:val="bottom"/>
            <w:shd w:val="clear" w:color="auto" w:fill="CCEEFF"/>
          </w:tcPr>
          <w:p>
            <w:pPr>
              <w:spacing w:after="0"/>
              <w:rPr>
                <w:sz w:val="18"/>
                <w:szCs w:val="18"/>
                <w:color w:val="auto"/>
              </w:rPr>
            </w:pPr>
          </w:p>
        </w:tc>
        <w:tc>
          <w:tcPr>
            <w:tcW w:w="4280" w:type="dxa"/>
            <w:vAlign w:val="bottom"/>
            <w:gridSpan w:val="3"/>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Redemption scenario: 0%-43%</w:t>
            </w: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 scenario: 0%-43%</w:t>
            </w:r>
          </w:p>
        </w:tc>
      </w:tr>
      <w:tr>
        <w:trPr>
          <w:trHeight w:val="234"/>
        </w:trPr>
        <w:tc>
          <w:tcPr>
            <w:tcW w:w="3040" w:type="dxa"/>
            <w:vAlign w:val="bottom"/>
            <w:shd w:val="clear" w:color="auto" w:fill="CCEEFF"/>
          </w:tcPr>
          <w:p>
            <w:pPr>
              <w:spacing w:after="0"/>
              <w:rPr>
                <w:sz w:val="20"/>
                <w:szCs w:val="20"/>
                <w:color w:val="auto"/>
              </w:rPr>
            </w:pPr>
          </w:p>
        </w:tc>
        <w:tc>
          <w:tcPr>
            <w:tcW w:w="4280" w:type="dxa"/>
            <w:vAlign w:val="bottom"/>
            <w:gridSpan w:val="3"/>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IPO scenario:15%-80%</w:t>
            </w: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IPO scenario: 15%-80%</w:t>
            </w: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disclosed in Note 19, the warrants issued by PE CNHC in May 2024 are not traded in an active securities market. As such, the Company estimated its fair value using the binomial option pricing model as of June 30, 2025 using the assumptions including fair value per share, dividend yield, time to maturity, risk free interest rate and expected volatility. As of June 30, 2025, the carrying value of the warrant was not material.</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Financial assets and liabilities of the Group primarily consist of cash and cash equivalents, restricted cash, short-term investments, trade receivables, amounts due from related parties, deposits and other receivables, available-for-sale debt security investments, retained asset - backed securities, trade and notes payable, amounts due to related parties, other payables, derivative instruments, short-term borrowings, lease liabilities and long-term borrowings. As of December 31, 2024 and June 30, 2025, other than as discussed above, the carrying values of these financial instruments approximated to their respective fair values.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 Cash, cash equivalents and restricted cash</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represent cash at hand, time deposits and highly-liquid investments placed with banks or other financial institutions, which are unrestricted as to withdrawal and use, and which have original maturities of three months or less.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which is restricted to withdrawal for use or pledged as security is reported separately on the face of the consolidated balance sheets. The Group’s restricted cash mainly represents secured deposits held in designated bank accounts for bank acceptance notes, letter of credit, letters of guarantee and others. The restricted cash is classified according to the contractual term of the restriction imposed.</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cash equivalents and restricted cash as reported in the consolidated statements of cash flows are presented separately on our consolidated balance sheets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3340" w:type="dxa"/>
            <w:vAlign w:val="bottom"/>
          </w:tcPr>
          <w:p>
            <w:pPr>
              <w:spacing w:after="0"/>
              <w:rPr>
                <w:sz w:val="15"/>
                <w:szCs w:val="15"/>
                <w:color w:val="auto"/>
              </w:rPr>
            </w:pPr>
          </w:p>
        </w:tc>
        <w:tc>
          <w:tcPr>
            <w:tcW w:w="526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42"/>
        </w:trPr>
        <w:tc>
          <w:tcPr>
            <w:tcW w:w="33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(Unaudited)</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19,328,920</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7,111,459</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5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8,320,728</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9,260,268</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5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97,720</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78,073</w:t>
            </w:r>
          </w:p>
        </w:tc>
      </w:tr>
      <w:tr>
        <w:trPr>
          <w:trHeight w:val="21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2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27,747,368</w:t>
            </w:r>
          </w:p>
        </w:tc>
        <w:tc>
          <w:tcPr>
            <w:tcW w:w="1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16,449,800</w:t>
            </w:r>
          </w:p>
        </w:tc>
      </w:tr>
      <w:tr>
        <w:trPr>
          <w:trHeight w:val="20"/>
        </w:trPr>
        <w:tc>
          <w:tcPr>
            <w:tcW w:w="33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844"/>
        </w:trPr>
        <w:tc>
          <w:tcPr>
            <w:tcW w:w="3340" w:type="dxa"/>
            <w:vAlign w:val="bottom"/>
          </w:tcPr>
          <w:p>
            <w:pPr>
              <w:spacing w:after="0"/>
              <w:rPr>
                <w:sz w:val="24"/>
                <w:szCs w:val="24"/>
                <w:color w:val="auto"/>
              </w:rPr>
            </w:pPr>
          </w:p>
        </w:tc>
        <w:tc>
          <w:tcPr>
            <w:tcW w:w="5420" w:type="dxa"/>
            <w:vAlign w:val="bottom"/>
            <w:gridSpan w:val="3"/>
          </w:tcPr>
          <w:p>
            <w:pPr>
              <w:ind w:left="1460"/>
              <w:spacing w:after="0"/>
              <w:rPr>
                <w:sz w:val="20"/>
                <w:szCs w:val="20"/>
                <w:color w:val="auto"/>
              </w:rPr>
            </w:pPr>
            <w:r>
              <w:rPr>
                <w:rFonts w:ascii="Times New Roman" w:cs="Times New Roman" w:eastAsia="Times New Roman" w:hAnsi="Times New Roman"/>
                <w:sz w:val="18"/>
                <w:szCs w:val="18"/>
                <w:color w:val="auto"/>
              </w:rPr>
              <w:t>F-13</w:t>
            </w:r>
          </w:p>
        </w:tc>
        <w:tc>
          <w:tcPr>
            <w:tcW w:w="1160" w:type="dxa"/>
            <w:vAlign w:val="bottom"/>
          </w:tcPr>
          <w:p>
            <w:pPr>
              <w:spacing w:after="0"/>
              <w:rPr>
                <w:sz w:val="24"/>
                <w:szCs w:val="24"/>
                <w:color w:val="auto"/>
              </w:rPr>
            </w:pPr>
          </w:p>
        </w:tc>
      </w:tr>
      <w:tr>
        <w:trPr>
          <w:trHeight w:val="547"/>
        </w:trPr>
        <w:tc>
          <w:tcPr>
            <w:tcW w:w="334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 Short-term investments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Short-term investments consist primarily of investments in fixed deposits with maturities between three months and one year, which are stated at amortised cost, and investments in money market funds and financial products issued by banks, which are measured at fair value. As of December 31, 2024 and June 30, 2025, the short-term investments amounted to RMB14,137,566 and RMB10,689,430, respectively, among which, RMB11,372,254 and RMB9,835,406, were restricted as collateral for notes payable and letter of guarantee as of December 31, 2024 and June 30, 2025, respectively.</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 Expected credit losses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Group’s trade and notes receivable, receivables of installment payments, deposits and other receivables are within the scope of ASC Topic 326. The Group has identified the relevant risk characteristics of its customers and the related receivables, deposits and other receivables which include size, type of the services or the products the Group provides, or a combination of these characteristics. Receivables with similar risk characteristics have been grouped into pools. For each pool, the Group considers the historical credit loss experience, current economic conditions, supportable forecasts of future economic conditions, and any recoveries in assessing the lifetime expected credit losses. Other key factors that influence the expected credit loss analysis include customer demographics, payment terms offered in the normal course of business to customers, and industry-specific factors that could impact the Group’s receivables. Additionally, external data and macroeconomic factors are also considered. This is assessed at each quarter based on the Group’s specific facts and circumstances.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and 2025, the Group reversed RMB7,684 and RMB7,037 in expected credit loss provisions in selling, general and administrative expenses, respectively. As of June 30, 2025, the expected credit loss reserve for current and non-current assets are RMB62,630 and RMB40,313, respectively. As of December 31, 2024, the expected credit loss reserve for current and non-current assets are RMB50,594 and RMB59,386, respectively.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 Inventory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calculated on the average basis and includes all costs to acquire and other costs to bring the inventories to their present location and condition. The Group records inventory write-downs for excess or obsolete inventories or accrues costs of inventory commitments based upon assumptions on current and future demand forecasts. If the inventory on hand or inventory purchase commitments is in excess of future demand forecast, the excess amounts are written down or accrued. The Group also reviews inventory to determine whether its carrying value exceeds the net amount realizable upon the ultimate sale of the inventory. This requires the determination of the estimated selling price of the vehicles less the estimated cost to convert inventory on hand into a finished product. Once inventory is written-down, a new, lower-cost basis for that inventory is established and subsequent changes in facts and circumstances do not result in the restoration or increase in that newly established cost basis.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(j) Property, plant and equipment, net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and impairment loss, if any. Property, plant and equipment are depreciated at rates sufficient to write off their costs less impairment and residual value, if any, generally over their estimated useful lives on a straight-line basis. Depreciation for mold and tooling is computed using the units-of-production method, including capitalized interest costs which are amortized over the total estimated units of production of the related assets. Leasehold improvements are amortized over the shorter of the lease term or the estimated useful lives of the related assets.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estimated useful lives are as follows:</w:t>
            </w:r>
          </w:p>
        </w:tc>
        <w:tc>
          <w:tcPr>
            <w:tcW w:w="340" w:type="dxa"/>
            <w:vAlign w:val="bottom"/>
          </w:tcPr>
          <w:p>
            <w:pPr>
              <w:spacing w:after="0"/>
              <w:rPr>
                <w:sz w:val="20"/>
                <w:szCs w:val="20"/>
                <w:color w:val="auto"/>
              </w:rPr>
            </w:pPr>
          </w:p>
        </w:tc>
        <w:tc>
          <w:tcPr>
            <w:tcW w:w="5400" w:type="dxa"/>
            <w:vAlign w:val="bottom"/>
          </w:tcPr>
          <w:p>
            <w:pPr>
              <w:spacing w:after="0"/>
              <w:rPr>
                <w:sz w:val="20"/>
                <w:szCs w:val="20"/>
                <w:color w:val="auto"/>
              </w:rPr>
            </w:pPr>
          </w:p>
        </w:tc>
      </w:tr>
      <w:tr>
        <w:trPr>
          <w:trHeight w:val="439"/>
        </w:trPr>
        <w:tc>
          <w:tcPr>
            <w:tcW w:w="418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540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8"/>
                <w:szCs w:val="18"/>
                <w:b w:val="1"/>
                <w:bCs w:val="1"/>
                <w:color w:val="auto"/>
              </w:rPr>
              <w:t>Useful lives</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constructions</w:t>
            </w:r>
          </w:p>
        </w:tc>
        <w:tc>
          <w:tcPr>
            <w:tcW w:w="34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 years</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Production facilities</w:t>
            </w:r>
          </w:p>
        </w:tc>
        <w:tc>
          <w:tcPr>
            <w:tcW w:w="5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3-10 years</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Charging and power swap infrastructure</w:t>
            </w:r>
          </w:p>
        </w:tc>
        <w:tc>
          <w:tcPr>
            <w:tcW w:w="5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 to 8 years</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R&amp;D equipment</w:t>
            </w:r>
          </w:p>
        </w:tc>
        <w:tc>
          <w:tcPr>
            <w:tcW w:w="5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5 to 15 years</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electronic equipment</w:t>
            </w:r>
          </w:p>
        </w:tc>
        <w:tc>
          <w:tcPr>
            <w:tcW w:w="5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 to 5 years</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5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 to 5 years</w:t>
            </w:r>
          </w:p>
        </w:tc>
      </w:tr>
      <w:tr>
        <w:trPr>
          <w:trHeight w:val="198"/>
        </w:trPr>
        <w:tc>
          <w:tcPr>
            <w:tcW w:w="4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574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Shorter of the estimated useful life or remaining lease term (ranging from</w:t>
            </w:r>
          </w:p>
        </w:tc>
      </w:tr>
      <w:tr>
        <w:trPr>
          <w:trHeight w:val="234"/>
        </w:trPr>
        <w:tc>
          <w:tcPr>
            <w:tcW w:w="4180" w:type="dxa"/>
            <w:vAlign w:val="bottom"/>
            <w:shd w:val="clear" w:color="auto" w:fill="CCEEFF"/>
          </w:tcPr>
          <w:p>
            <w:pPr>
              <w:spacing w:after="0"/>
              <w:rPr>
                <w:sz w:val="20"/>
                <w:szCs w:val="20"/>
                <w:color w:val="auto"/>
              </w:rPr>
            </w:pPr>
          </w:p>
        </w:tc>
        <w:tc>
          <w:tcPr>
            <w:tcW w:w="5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1-10 years)</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Vehicles for corporate use or customers’ subscription</w:t>
            </w:r>
          </w:p>
        </w:tc>
        <w:tc>
          <w:tcPr>
            <w:tcW w:w="5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 (office equipment, after-sales equipment, etc.)</w:t>
            </w:r>
          </w:p>
        </w:tc>
        <w:tc>
          <w:tcPr>
            <w:tcW w:w="5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 to 5 years</w:t>
            </w: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cost of maintenance and repairs is expensed as incurred, whereas the cost of renewals and betterment that extends the useful lives of property, plant and equipment is capitalized as additions to the related assets. Interest expense on outstanding debt is capitalized during the period of significant capital asset construction. Capitalized interest on construction-in-progress is included within property, plant and equipment and is amortized over the useful life or units of production of the related assets. When assets are retired or otherwise disposed of, the cost and related accumulated depreciation and amortization are removed from their respective accounts, and any gain or loss on such sale or disposal is reflected in the consolidated statements of comprehensive loss.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(k) Long-term investments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Group’s long-term investments include equity investments in entities and debt security investments.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Investments in entities in which the Group can exercise significant influence and holds an investment in voting common stock or in substance common stock (or both) of the investee but does not own a majority equity interest or control are accounted for using the equity method of accounting in accordance with ASC topic 323, Investments — Equity Method and Joint Ventures (“ASC 323”). Under the equity method, the Group initially records its investments at fair value. The Group subsequently adjusts the carrying amount of the investments to recognize the Group’s proportionate share of each equity investee’s net income or loss into earnings after the date of investment. The Group evaluates the equity method investments for impairment under ASC 323. An impairment loss on the equity method investments is recognized in earnings when the decline in value is determined to be other-than-temporary.</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Equity securities with readily determinable fair values and over which the Group has neither significant influence nor control through investments in common stock or in-substance common stock are measured at fair value, with changes in fair value reported through earnings.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Equity securities without readily determinable fair values and over which the Group has neither significant influence nor control through investments in common stock or in-substance common stock are measured and recorded using a measurement alternative that measures the securities at cost minus impairment, if any, plus or minus changes resulting from qualifying observable price changes.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Group elected the fair value option (“FVO”) at the date of initial recognition under ASC 825 for certain equity securities, with changes in fair value reported through earnings.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Available-for-sale debt security investments are reported at estimated fair value with the aggregate unrealized gains and losses, net of tax, reflected in accumulated other comprehensive loss in the consolidated balance sheets. Gain or losses are realized when the investments are sold or when dividends are declared or payments are received. If the amortized cost basis of an available-for-sale security exceeds its fair value and if the Company has the intention to sell the security or it is more likely than not that the Company will be required to sell the security before recovery of the amortized cost basis, an impairment is recognized in the consolidated statements of comprehensive loss. If the Company does not have the intention to sell the security and it is not more likely than not that the Company will be required to sell the security before recovery of the amortized cost basis and the Company determines that the decline in fair value below the amortized cost basis of an available-for-sale security is entirely or partially due to credit-related factors, the credit loss is measured and recognized as an allowance for credit losses in the consolidated statements of comprehensive loss. The allowance is measured as the amount by which the debt security’s amortized cost basis exceeds the Company’s best estimate of the present value of cash flows expected to be collected.</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Held-to-maturity debt security investment are reported at amortized cost. The securities are held to collect contractual cash flows, and the Group has the positive intent and ability to hold those securities to maturity.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Trading securities are acquired and held principally for the purpose of selling them. The securities are reported at fair value, and subsequent changes in the fair value are recognized through net income.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Group monitors its investments measured under equity method for other-than-temporary impairment by considering factors including, but not limited to, current economic and market conditions, the operating performance of the companies including current earnings trends and other company-specific information. No impairment charge was recognized for the six months ended June 30, 2024 and 2025.</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 Impairment of long-lived assets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Long-lived assets are evaluated for impairment whenever events or changes in circumstances (such as a significant adverse change to market conditions that will impact the future use of the assets) indicate that the carrying amount may not be fully recoverable or that the useful life is shorter than the Group had originally estimated. When these events occur, the Group evaluates the impairment by comparing carrying value of the assets to an estimate of future undiscounted cash flows expected to be generated from the use of the assets and their eventual disposition. If the sum of the expected future undiscounted cash flows is less than the carrying value of the assets, the Group recognizes an impairment loss based on the excess of the carrying value of the assets over the fair value of the assets. Impairment charges recognized for the six months ended June 30, 2024 and 2025 was RMB55,331 and nil, respectively.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 Warranty liabilities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Group accrues a warranty reserve for all new vehicles sold by the Group, which includes the Group’s best estimate of the projected costs to repair or replace items under warranty. These estimates are based on actual claims incurred to date and an estimate of the nature, frequency and costs of future claims. These estimates are inherently uncertain given the Group’s relatively short history of sales, and changes to the historical or projected warranty experience may cause material changes to the warranty reserve when the Group accumulates more actual data and experience in the future.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portion of the warranty reserve expected to be incurred within the next 12 months is included within accruals and other liabilities, while the remaining balance is included within other non-current liabilities on the consolidated balance sheets. Warranty expense is recorded as a component of cost of revenues in the consolidated statements of comprehensive loss.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Group does not consider standard warranty as being a separate performance obligation as it is intended to provide assurance that a product complies with agreed-upon specifications and is not viewed as a distinct obligation. Accordingly, standard warranty is accounted for in accordance with ASC 460, Guarantees.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a reconciliation in the current reporting period related to carried-forward warranty liabilities: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00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02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 beginning of the period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3,912,224</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warranty</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605,736</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costs incurred</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(139,523)</w:t>
            </w:r>
          </w:p>
        </w:tc>
        <w:tc>
          <w:tcPr>
            <w:tcW w:w="2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(137,619)</w:t>
            </w:r>
          </w:p>
        </w:tc>
        <w:tc>
          <w:tcPr>
            <w:tcW w:w="0" w:type="dxa"/>
            <w:vAlign w:val="bottom"/>
          </w:tcPr>
          <w:p>
            <w:pPr>
              <w:spacing w:after="0"/>
              <w:rPr>
                <w:sz w:val="1"/>
                <w:szCs w:val="1"/>
                <w:color w:val="auto"/>
              </w:rPr>
            </w:pPr>
          </w:p>
        </w:tc>
      </w:tr>
      <w:tr>
        <w:trPr>
          <w:trHeight w:val="209"/>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Warranty – end of the period</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4,378,437</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4,964,313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 Derivatives instruments and hedging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Derivative instruments are carried at fair value, which generally represent the estimated amounts the Group expects to receive or pay upon termination of the contracts as of the reporting date. Derivative financial instruments are not used for trading or speculative purposes.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 Revenue recognition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is recognized when or as the control of the goods or services is transferred to a customer. Depending on the terms of the contract and the laws that apply to the contract, control of the goods and services may be transferred over time or at a point in time. Control of the goods and services is transferred over time if the Group’s performance:</w:t>
      </w:r>
    </w:p>
    <w:p>
      <w:pPr>
        <w:spacing w:after="0" w:line="176" w:lineRule="exact"/>
        <w:rPr>
          <w:sz w:val="20"/>
          <w:szCs w:val="20"/>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all of the benefits received and consumed simultaneously by the customer;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and enhances an asset that the customer controls as the Group performs; or</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create an asset with an alternative use to the Group and the Group has an enforceable right to payment for performance completed to date.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control of the goods and services transfers over time, revenue is recognized over the period of the contract by reference to the progress towards complete satisfaction of that performance obligation. Otherwise, revenue is recognized at a point in time when the customer obtains control of the goods and services.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Contracts with customers may include multiple performance obligations. For such arrangements, the Group allocates revenue to each performance obligation based on its relative standalone selling price. The Group determines standalone selling prices based on the prices charged to customers. If the standalone selling price is not directly observable, it is estimated using expected cost plus a margin or adjusted market assessment approach, depending on the availability of observable information. Assumptions and estimations have been made in estimating the relative selling price of each distinct performance obligation, and changes in judgments on these assumptions and estimates may impact the revenue recognition.</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When either party to a contract has performed, the Group presents the contract in the consolidated balance sheets as a contract asset or a contract liability, depending on the relationship between the entity’s performance and the customer’s payment.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contract asset is the Group’s right to consideration in exchange for goods and services that the Group has transferred to a customer. A receivable is recorded when the Group has an unconditional right to consideration. A right to consideration is unconditional if only the passage of time is required before payment of that consideration is due. As of December 31, 2024 and June 30, 2025, the Group did not record any contract assets.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contract liability is the Group’s obligation to transfer goods or services to a customer for which the Group has received consideration (or an amount of consideration is due) from the customer. The Group’s contract liabilities primarily resulted from the multiple performance obligations identified in the customer contract, which is recorded as deferred revenue and advance from customers.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Group generates revenue from (i) vehicle sales, (ii) parts, accessories and after-sales vehicle services, (iii) provision of power solutions and (iv) others.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Vehicle sales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Group generates revenue from sales of electric vehicles, together with a number of embedded products and services through a series of contracts. The Group identifies the users who purchase the vehicle as its customers. In general, there are multiple distinct performance obligations explicitly stated in a series of contracts in addition to sales of vehicles, which may include home chargers, vehicle connectivity services, extended warranty services and battery swapping services, some of which are only granted to certain initial users. These multiple distinct performance obligations are accounted for in accordance with ASC 606. The standard warranty provided by the Group is accounted for in accordance with ASC 460, Guarantees, and the estimated costs are recorded as a liability when the Group transfer the control of vehicle to a user.</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instance that customers only pay the amount after deducting the government subsidies to which they are entitled for the purchase of electric vehicles, the government subsidies are applied and collected by the Group or Jianghuai Automobile Group Co., Ltd. (“JAC”) from the government on behalf of the customers. The government subsidy is considered as a part of the transaction price it charges the customers for the electric vehicle, as the subsidy is granted to the buyer of the electric vehicle instead of the Group and the buyer remains liable for such amount to the Group in the event the subsidies were not received by the Group.</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instance that some eligible customers elect installment payment for battery or the auto financing arrangements, the Group believes such arrangement contains a significant financing component and as a result adjusts the transaction price to reflect the impact of time value on the transaction price using an appropriate discount rate (i.e. the interest rates of the loan reflecting the credit risk of the borrower). Interest income from such arrangements with a significant financing component is presented as other sales. Receivables related to the battery installment payment and auto financing programs that are expected to be repaid by customers beyond one year of the dates of the financial statements are recognized as non-current assets. The difference between the gross receivable and the respective present value is recorded as unrealized finance income. Interest income from such arrangements with a significant financing component is presented separately from revenue from contracts with customers.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Group generally determines standalone selling prices based on the prices charged to customers. If the standalone selling price is not directly observable, it is estimated using expected cost plus a margin or adjusted market assessment approach, considering the Group’s pricing policies and practices, and the data utilized in making pricing decisions. The overall contract price is then allocated to each distinct performance obligation based on the relative estimated standalone selling price in accordance with ASC 606. The revenue for vehicle sales and home chargers are recognized at a point in time when the control of the product is transferred to the customer. For the vehicle connectivity services and battery swapping services, the Group recognizes the revenue over time using a straight-line method during the estimated beneficial period. For the performance obligations which are only granterd to initial owners, the estimated beneficial period is based on the estimated length of time that the initial owner owns the vehicles before it is re-sold to secondary market. As for the extended warranty services, given limited operating history and lack of sufficient historical data, the Group decides to recognize the revenue over time based on a straight-line method initially, and will continue monitoring the cost pattern periodically and adjust the revenue recognition pattern to reflect the actual cost pattern as it becomes available.</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the consideration for the vehicle and all embedded services are generally paid in advance, which means the payments received are prior to the transfer of goods or services by the Group, the Group records a contract liability (deferred revenue) for the allocated amount regarding those unperformed obligations. As of December 31, 2024 and June 30, 2025, the balances of contract liabilities (deferred revenue) from vehicle sales contracts were RMB6,349,012 and RMB6,236,488, respectively.</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Battery as a Service (BaaS)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Battery as a Service (the “BaaS”), allows users to purchase electric vehicles without batteries and subscribe for the usage of batteries separately. In PRC, under the BaaS, the Group sells batteries to Wuhan Weineng Battery Asset Co., Ltd. and its subsidiaries (the “Battery Asset Company”), an equity investee of the Group, on a back-to-back basis when the Group sells the vehicle to the BaaS users and the BaaS users subscribe for the usage of the batteries from the Battery Asset Company by paying a monthly subscription fee to the Battery Asset Company. The promise to transfer the control of the batteries to the Battery Asset Company is the only performance obligation in the contract with the Battery Asset Company for the sales of batteries. The Group recognizes revenue from the sales of batteries to the Battery Asset Company when the vehicles (together with the batteries) are delivered to the BaaS users which is the point that control of the batteries is transferred to the Battery Asset Company.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Together with the sales of the batteries, the Group entered into service agreements with the Battery Asset Company, pursuant to which the Group provides services to the Battery Asset Company including batteries monitoring, maintenance, upgrade, replacement, IT system support, etc., with monthly service charges. In case of any default in payment of monthly rental fees from users, the Battery Asset Company also has right to request the Group to track and lock down the battery subscribed by the users to limit its usage. In addition, in furtherance of the BaaS, the Group agreed to provide guarantee to the Battery Asset Company for the default in payment of monthly subscription fees from users. The maximum amount of guarantee that can be claimed by the Battery Asset Company for the users’ payment default shall not be higher than the accumulated service fees the Group receives from the Battery Asset Company.</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services provided to the Battery Asset Company, revenue is recognized over the period when services are rendered. As for financial guarantee liabilities, the provision of guarantee is linked to and associated with services rendered to the Battery Asset Company and the payment of guarantee amount is therefore accounted for as the reduction to the revenue from the Battery Asset Company.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fair value of the guarantee liabilities is determined by taking considerations of the default pattern of the Group’s existing battery installment programs provided to users. At each period end, the financial liabilities are remeasured with the corresponding changes recorded as the reduction to the revenue. For the six months ended June 30, 2024 and 2025, both service revenue and guarantee liability were immaterial.</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Since 2022, the BaaS users are also provided with the option to buy out the batteries in PRC. Under this arrangement, BaaS users and the Battery Asset Company enter into battery subscription termination agreement, and the Group purchases the outgoing batteries from the Battery Asset Company, after which the Group sells batteries with qualified performance to the BaaS users. These transactions are arranged on back-to-back basis under which the Group is in substance rendering the agency service to facilitate the BaaS users which are also the customers of the Group to complete the purchase of batteries from the Battery Asset Company. The Group therefore recognizes revenue of the service to facilitate the BaaS batteries buy out transactions on net basis with the amount of the difference between the consideration the Group receives from the BaaS users for the battery sales and the price of batteries the Group pays to the Battery Asset Company. Upon the completion of BaaS buy-out, the Group stops to provide battery service and is not obliged to provide guarantee and warranty related to the relevant batteries to the Battery Asset Company.</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Group follows the guidance on immaterial promises when identifying performance obligations in the vehicle sales contracts and concludes that certain value-added services are not performance obligations considering that they are not critical items for vehicle driving and the usage of these services are expected to be very limited. The Group also performs an estimation on the standalone fair value of each promise applying a cost plus margin approach and concludes that the standalone fair value of these services are insignificant individually and in aggregate, representing less than 3% of vehicle gross selling price and aggregate fair value of each individual promise.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Parts, accessories and after-sales vehicle services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Group sells parts and accessories to the third party authorized service centers and its users, and provides after-sales vehicle services to users, including, repair, maintenance, extended warranty services and other vehicle services. Revenue from the sales of parts and accessories is recognized when the control of the products is transferred to the customers. Revenue from after-sales services is recognized when the services are rendered.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Provision of power solutions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Group provides power solutions to users, including sale of charging piles, provision of battery charging and swapping services, battery upgrade service, BaaS battery buy-out service and other power solution services. Revenue from the services is recognized when relevant services are rendered. Revenue from the sales of charging piles is recognized when the control of the products is transferred to the customers.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Battery swapping service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Group provides battery swapping service to users with convenient “recharging” experience by swapping the user’s battery for another one. The battery swapping service is in substance a charging service instead of non-monetary exchanges or sales of batteries as the batteries involved in such swapping are the same in capacity and very similar in performance.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performance obligation of the battery swapping service sold together with the vehicles (i.e. monthly free-of-charge quota), the Group recognizes the revenue over time using a straight-line method in the estimated beneficial period, being the estimated length of time that the initial owner owns the vehicle. For the battery swapping beyond monthly free-of-charge quota for which additional considerations are paid by the users, the Group recognizes revenue when the battery swapping service is completed.</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Battery upgrade service</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Group provides battery upgrade service to both BaaS users and non-BaaS users. The users can exchange their batteries with lower capacity for the batteries with higher capacity from the Group with a fixed cash consideration. The battery upgrade service is in substance the provision of incremental battery capacity service to the users instead of non-monetary battery exchanges or sales of battery. Therefore, under non-BaaS model, the revenue from the battery upgrade service is recognized at the amount of cash consideration paid by users at a point in time when the service is rendered. Under the BaaS model, since the ownership of originally installed battery belongs to the Battery Asset Company, when a user requests battery upgrade, the Group actually upgrades the battery that belongs to the Battery Asset Company and recognize revenue for the battery upgrade service at the amount paid by the Battery Asset Company when upgrade service is rendered. BaaS users will then pay a higher monthly subscription fee to the Battery Asset Company for subscribing for the battery with higher capacity.</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revenues consists of sales of used vehicles, auto financing services, technical services, retail merchandise, automotive regulatory credits, embedded products and services offered together with vehicle sales, including vehicle connectivity services, and other products and services. Revenue is recognized when relevant services are rendered or control of the products is transferred.</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12529"/>
        </w:rPr>
        <w:t>Technical services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212529"/>
        </w:rPr>
        <w:t>The Group provides a range of technical services to customers, including technologies licensing, engineering, development, testing, sourcing, support and consultancy services. Revenue from technical services is recognized when relevant services are rendered.</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Among these services, the Group generates revenue from providing a non-exclusive, non-transferable and sublicensable worldwide license of the Group’s existing and future iteration of technical information, technical solutions, software and intellectual property rights in relation to its electric vehicle platform (collectively referred to as the “Licensed Technologies”) to a related party and its affiliates. The consideration agreed includes one-time fixed amount of license fee plus royalties determined based on licensed products sold by licensee in the future. The functionality of the Licensed Technologies granted to this related party is expected to substantively change during the license period, and the related party is practically required to use the updated Licensed Technologies. This arrangement is considered as one performance obligation to provide access to the Group’s technology, which is continuously developed and upgraded by the Group over the license period. The license fee is recognized in revenue on a straight-line basis over the license period and the sales-based royalties is recognized when the subsequent sale occurs.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of automotive regulatory credits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New Energy Vehicle (“NEV”) mandate policy launched by China’s Ministry of Industry and Information Technology (“MIIT”) specifies the NEV credit targets and as all of the Group’s products are NEVs, the Group is able to generate NEV credits above target. The credits earned per vehicle is dependent on various metrics such as vehicle driving range and battery energy efficiency, and is calculated based on the MIIT published formula. Excess positive NEV credits are tradable to other vehicle manufacturers through a credit management system established by the MIIT on a separately negotiated basis. The Group sells these credits at agreed price to other vehicle manufacturers.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Considerations for automotive regulatory credits are typically received at the point control transfers to the customer, or in accordance with payment terms customary to the business. The Group recognizes revenue on the sale of automotive regulatory credits at the time control of the regulatory credits is transferred to the purchasing party as other sales revenue in the consolidated statements of comprehensive loss.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Incentives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Group frequently offers NIO points, a self-managed customer loyalty program, and coupons under various scenarios, which can be redeemed to acquire free or discounted goods or services provided by the Group, including accessories, branded merchandise and other services etc. The major accounting policy for those incentives is described as follows: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Incentives in connection with sales transactions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NIO points and coupons granted in connection with the sales transaction that provide a material right to the customer give rise to a separate performance obligation according to ASC 606, and are taken into consideration when allocating the transaction price of the sales. The Group determines the standalone selling price of each point or coupon based on estimated incremental discount adjusted for redemption probability, which is estimated based on the historical redemption pattern. The amount allocated to the NIO points and coupons as separate performance obligation is recorded as contract liability (deferred revenue) and revenue should be recognized when future goods or services are transferred or when the NIO points and coupons expire.</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coupon that can be applied against amounts owed to the Group in a future sale transaction is consideration payable to a customer, which is accounted for as a reduction of the transaction price and, therefore, of revenue.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(ii) Incentives in other scenarios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NIO points and coupons are also granted for encouraging user engagement and generating market awareness, such as inviting friends to test drive or purchase a vehicle, frequent sign-ins to the Group’s mobile application, participating in community activities, etc. The Group accounts for such NIO points and coupons as selling, general and administrative expenses with a corresponding liability recorded under other current liabilities of its consolidated balance sheets upon the NIO points and coupons are granted. The Group estimates the liabilities based on cost of the products and services that can be redeemed, and its estimate of probability of redemption. At the time of redemption, the Group records a reduction of inventory and other current liabilities. In certain cases where merchandise is sold for cash in addition to NIO points, the Group records revenue of other sales for the amount of cash received.</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and 2025, the revenue portion allocated to the NIO points and coupons as a separate performance obligation was RMB708,482 and RMB640,036, respectively, which is recorded as contract liability (deferred revenue). For the six months ended June 30, 2024 and 2025, the total NIO points and coupons recorded as selling, general and administrative expenses was RMB122,704 and RMB122,196, respectively.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and June 30, 2025, liabilities recorded related to unredeemed NIO points and coupons were RMB2,017,516 and RMB2,112,784, respectively.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 Employee benefits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Full time employees of the Group in the PRC participate in a government mandated defined contribution plan, pursuant to which certain pension benefits, medical care, employee housing fund and other welfare benefits are provided to the employees. Chinese labor regulations require that the PRC subsidiaries and VIEs of the Group make contributions to the government for these benefits based on certain percentages of the employees’ salaries, up to a maximum amount specified by the local government. The Group has no legal obligation for the benefits beyond the contributions made. Total amounts of such employee benefit expenses, which were expensed as incurred, were approximately RMB1,326,341 and RMB1,609,639 for the six months ended June 30, 2024 and 2025,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(q) Government grants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subsidiaries received government subsidies from certain local governments. The Group’s government subsidies consisted of specific subsidies and other subsidies. Specific subsidies are subsidies that the local government has provided for a specific purpose, such as product development and renewal of production facilities. Other subsidies are the subsidies that the local government has not specified its purpose for and are not tied to future trends or performance of the Group; receipt of such subsidy income is not contingent upon any further actions or performance of the Group and the amounts do not have to be refunded under any circumstances. The Group recorded specific purpose subsidies as deferred income when received. For specific subsidies, upon government acceptance of the related project development or asset acquisition, the specific purpose subsidies are recognized to reduce related R&amp;D expenses or the depreciation expense of asset during the period when the relevant expenses are recognized. Other subsidies are recognized as other operating income upon receipt as further performance by the Group is not required.</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 Income taxes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Income tax expense for the interim consolidated financial statements is determined using an estimate of the Company’s annual effective tax rate, which is based upon the applicable tax rates and tax laws of the countries in which the income is generated. Deferred income taxes are recognized for the tax consequences attributable to differences between carrying amounts of existing assets and liabilities in the financial statements and their respective tax basis, and operating loss carry-forwards. Deferred tax assets and liabilities are measured using enacted tax rates expected to apply to taxable income in the years in which those temporary differences are expected to be recovered or settled. The effect on deferred taxes of a change in tax rates is recognized in the consolidated statements of comprehensive loss in the period of change. Valuation allowances are established when necessary to reduce the amount of deferred tax assets if it is considered more likely than not that amount of the deferred tax assets will not be realized.</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Group records liabilities related to uncertain tax positions when, despite the Group’s belief that the Group’s tax return positions are supportable, the Group believes that it is more likely than not that those positions may not be fully sustained upon review by tax authorities. Accrued interest and penalties related to unrecognized tax benefits are classified as income tax expense. The Group did not recognize uncertain tax positions as of December 31, 2024 and June 30, 2025.</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 Share-based compensation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grants restricted shares and share options of the Company and its subsidiary to eligible employees and non-employee consultants and accounts for share-based compensation in accordance with ASC 718, Compensation — Stock Compensation and ASU 2018-07-Compensation-stock compensation (Topic 718)-Improvements to non-employee share-based payment accounting.</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Employees’ share-based compensation awards are measured at the grant date fair value of the awards and recognized as expenses a) immediately at the grant date if no vesting conditions are required; or b) for share options or restricted shares granted with only service conditions, using the straight-line vesting method, net of estimated forfeitures, over the vesting period; or c) for share options where the underlying share is liability within the scope of ASC 480, using the graded vesting method, net of estimated forfeitures, over the vesting period, and re-measuring the fair value of the award at each reporting period end until the award is settled.</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transactions in which goods or services are received in exchange for equity instruments are accounted for based on the fair value of the consideration received or the fair value of the equity instrument issued, whichever is more reliably measurable.</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April 2019, the Group adopted ASU 2018-07, “Compensation — Stock Compensation (Topic 718): Improvements to Non-employee Share-Based Payment Accounting”. Upon the adoption of this guidance, the Group no longer re-measures equity-classified share-based awards granted to consultants or non-employees at each reporting date through the vesting period and the accounting for these share-based awards to consultants or non-employees and employees was substantially aligned. Share-based compensation expenses for share options and restricted shares granted to non-employees are measured at fair value at the date when such awards are granted and recognized over the period during which the service from the non-employees is provided.</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binomial option-pricing model is used to measure the value of share options. The determination of the fair value is affected by the fair value of the ordinary shares as well as assumptions including the expected share price volatility, actual and projected employee and non-employee share option exercise behavior, risk-free interest rates and expected dividends.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assumptions used in share-based compensation expense recognition represent management’s best estimates, but these estimates involve inherent uncertainties and application of management judgment. If factors change or different assumptions are used, the share-based compensation expenses could be materially different for any period. Moreover, the estimates of fair value of the awards are not intended to predict actual future events or the value that ultimately will be realized by grantees who receive share-based awards, and subsequent events are not indicative of the reasonableness of the original estimates of fair value made by the Group for accounting purposes.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restricted shares granted by one of the Company’s subsidiaries to employees, determination of related estimated fair values (the subsidiaries are not publicly traded) requires complex and subjective judgments due to limited financial and operating history, unique business risks and limited comparable public information. Key inputs and assumptions underlying the determined fair value of these restricted shares include but are not limited to the pricing of recent rounds of financing, future cash flow forecasts, discount rates, and liquidity factors relevant to each of the respective subsidiaries.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Forfeitures are estimated at the time of grant and revised in subsequent periods if actual forfeitures differ from those estimates. The Group uses historical data to estimate pre-vesting options and records share-based compensation expenses only for those awards that are expected to vest.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 Leases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the lessee, the Group recognizes in the balance sheet a liability to make lease payments (the lease liability) and a right-of-use asset representing its right to use the underlying asset for the lease term. For leases with a term of 12 months or less, the Group makes an accounting policy election by class of underlying asset not to recognize lease assets and lease liabilities and recognizes lease expenses for such lease generally on a straight-line basis over the lease term. The Group primarily uses the discount rate at the lease commencement date using the rate implicit in the lease. If the information necessary to determine the rate implicit in the lease is not readily available, the Group uses its incremental borrowing rate(“IBR”). The IBR is determined by the Group’s best understanding of the interest rate the Group would bear to borrow an amount equal to the lease payments in a similar economic environment over the lease term based on its credit rating. Operating lease assets are included within right-of-use assets— operating lease, and the corresponding operating lease liabilities are included within operating lease liabilities on the consolidated balance sheets. Finance lease assets are included within other non-current assets, and the corresponding finance lease liabilities are included within accruals and other liabilities for the current portion, and within other non-current liabilities on the consolidated balance sheets.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 Dividends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Dividends are recognized when declared. No dividends were declared for the six months ended June 30, 2024 and 2025.</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 Earnings/(loss) per share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Basic earnings/(loss) per share is computed by dividing net income/(loss) attributable to ordinary shareholders by the weighted average number of ordinary shares outstanding during the period. Accretion of the redeemable noncontrolling interests is deducted from the net income/(loss) to arrive at net income/(loss) attributable to the Company’s ordinary shareholders. Diluted earnings/(loss) per share is calculated by dividing net income/(loss) attributable to ordinary shareholders, by the weighted average number of ordinary and dilutive ordinary equivalent shares outstanding during the period. Ordinary equivalent shares consist of unvested restricted shares, restricted share units and ordinary shares issuable upon the exercise of outstanding share options (using the treasury stock method) and ordinary shares issuable upon the conversion of the convertible senior notes issued by the Company (using the if-converted method). Ordinary equivalent shares are not included in the denominator of the diluted earnings per share calculation when inclusion of such shares would be anti-dilutive.</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 Segment reporting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ASC 280, Segment Reporting, establishes standards for companies to report in their financial statements information about operating segments, products, services, geographic areas, and major customers. Operating segments are defined as components of an enterprise for which separate financial information is available and evaluated regularly by the chief operating decision maker in deciding how to allocate resources and in assessing performance.</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the criteria established by ASC 280, the Group’s chief operating decision maker (“CODM”) has been identified as the Chief Executive Officer, who reviews consolidated results when making decisions about allocating resources and assessing performance of the Group as a whole and hence, the Group has only one reportable segment. This segment is engaged in smart electric vehicles related business. The Group derives revenue primarily in the “PRC” and manages the business activities on a consolidated basis.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primary measure of segment profitability for the Group operating segment is considered to be net loss. Net loss is used by the CODM to monitor budget versus actual results as well as comparation with the Group’s competitors, which are used in assessing performance of the segment. Significant segment expenses reviewed by the CODM on a regular basis included within net loss include cost of sales, research and development expenses and selling, general and administrative expenses which are separately presented on the Group’s Consolidated Statements of Comprehensive Loss. Other segment items within net loss include interest and investment income, interest expenses, share of income/(loss) of equity investees, other (loss)/income, net and income tax expense/(benefit).</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Group does not distinguish between markets or segments for the purpose of internal reporting. As the Group’s long-lived assets are substantially located in the PRC, no geographical segments are presented.</w:t>
      </w:r>
    </w:p>
    <w:p>
      <w:pPr>
        <w:spacing w:after="0" w:line="158"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Recently adopted accounting pronouncements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2023-08, Accounting for and Disclosure of Crypto Assets (Subtopic 350-60). This ASU requires certain crypto assets to be measured at fair value separately in the balance sheet and income statement each reporting period. This ASU also enhances the other intangible asset disclosure requirements by requiring the name, cost basis, fair value, and number of units for each significant crypto holding. The ASU is effective for annual periods beginning after December 15, 2024, including interim periods within those fiscal years. Adoption of the ASU requires a cumulative-effect adjustment to the opening balance of retained earnings as of the beginning of the annual reporting period in which an entity adopts the amendments. The Group adopted this ASU from January 1, 2025, which did not have a material impact on the Group’s consolidated financial statements.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(Topic 740). The ASU requires disaggregated information about a reporting entity’s effective tax rate reconciliation as well as additional information on income taxes paid. The ASU is effective on a prospective basis for annual periods beginning after December 15, 2024. Early adoption is also permitted for annual financial statements that have not yet been issued or made available for issuance. This ASU will result in the required additional disclosures being included in our annual consolidated financial statements, once adopted. The Group adopted this ASU from January 1, 2025, which did not have a material impact on the Group’s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Recently issued accounting pronouncements not yet adopted</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212529"/>
        </w:rPr>
        <w:t>In November 2024, the FASB issued ASU 2024-03, Income Statement – Reporting Comprehensive Income – Expense Disaggregation Disclosures (Subtopic 220-40): Disaggregation of Income Statement Expenses, and issued subsequent amendment within ASU 2025-01 to clarify the effective date. ASU 2024-03 requires disclosure, in the notes to financial statements, of specified information about certain costs and expenses. A reporting entity is required to 1) disclose the amounts of (a) purchases of inventory, (b) employee compensation, (c) depreciation, (d) intangible asset amortization, and (e) depreciation, depletion, and amortization recognized as part of oil and gas-producing activities (DD&amp;A) (or other amounts of depletion expense) included in each relevant expense caption. A relevant expense caption is an expense caption presented on the face of the income statement within continuing operations that contains any of the expense categories listed in (a)–(e); 2) include certain amounts that are already required to be disclosed under current generally accepted accounting principles in the same disclosure as the other disaggregation requirements; 3) disclose a qualitative description of the amounts remaining in relevant expense captions that are not separately disaggregated quantitatively, and 4) disclose the total amount of selling expenses and, in annual reporting periods, an entity’s definition of selling expenses. The ASU is effective for annual reporting periods beginning after December 15, 2026, and interim reporting periods within annual reporting periods beginning after December 15, 2027. Early adoption is permitted. The Group is in the process of assessing the impact of this ASU on the Group’s consolidated financial statements.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212529"/>
        </w:rPr>
        <w:t>In November 2024, the FASB issued ASU 2024-04, Debt—Debt with Conversion and Other Options (Subtopic 470-20). The amendments in this ASU clarify the requirements for determining whether certain settlements of convertible debt instruments should be accounted for as an induced conversion. The amendments are effective for annual reporting periods beginning after December 15, 2025, and interim reporting periods within those annual reporting periods. Early adoption is permitted. The Group is in the process of assessing the impact of the amendments on the Group’s consolidated financial statements.</w:t>
      </w:r>
    </w:p>
    <w:p>
      <w:pPr>
        <w:spacing w:after="0" w:line="179"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and Risks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Concentration of credit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Assets that potentially subject the Group to significant concentrations of credit risk primarily consist of cash and cash equivalents, restricted cash, short-term investments, trade receivables, amount due from related parties, deposits and other receivables. The maximum exposure of such assets to credit risk is their carrying amounts as of the balance sheet dates. As of December 31, 2024 and June 30, 2025, the great majority of the Group’s cash and cash equivalents, restricted cash and short-term investments were held by major financial institutions located in the PRC and the United States which management believes are of high credit quality based on their credit ratings.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Currency convertibility risk</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RMB into foreign currencies. The Group’s cash and cash equivalents and restricted cash denominated in RMB that are subject to such government controls amounted to RMB19,902,484 and RMB12,099,603 as of December 31, 2024 and June 30, 2025, respectively. The value of RMB is subject to changes in the central government policies and to international economic and political developments affecting supply and demand in the PRC foreign exchange trading system market. In the PRC, certain foreign exchange transactions are required by law to be transacted only by authorized financial institutions at exchange rates set by the People’s Bank of China (the “PBOC”). Remittances in currencies other than RMB by the Group in the PRC must be processed through PBOC or other Chinese foreign exchange regulatory bodies which require certain supporting documentation in order to process the remittance.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 Foreign currency exchange rate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Since July 21, 2005, the RMB has been permitted to fluctuate within a narrow and managed band against a basket of certain foreign currencies. While the international reaction to the RMB appreciation has generally been positive, there remains significant international pressure on the PRC government to adopt an even more flexible currency policy, which could result in a further and more significant appreciation of the RMB against other currencies.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 Concentration of customers and suppliers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summarized the customer with greater than 10% of the total revenue and account receivables: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2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24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30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4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160" w:type="dxa"/>
            <w:vAlign w:val="bottom"/>
          </w:tcPr>
          <w:p>
            <w:pPr>
              <w:spacing w:after="0"/>
              <w:rPr>
                <w:sz w:val="12"/>
                <w:szCs w:val="12"/>
                <w:color w:val="auto"/>
              </w:rPr>
            </w:pPr>
          </w:p>
        </w:tc>
      </w:tr>
      <w:tr>
        <w:trPr>
          <w:trHeight w:val="216"/>
        </w:trPr>
        <w:tc>
          <w:tcPr>
            <w:tcW w:w="7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total revenue</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4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Customer A </w:t>
            </w:r>
            <w:r>
              <w:rPr>
                <w:rFonts w:ascii="Times New Roman" w:cs="Times New Roman" w:eastAsia="Times New Roman" w:hAnsi="Times New Roman"/>
                <w:sz w:val="25"/>
                <w:szCs w:val="25"/>
                <w:color w:val="auto"/>
                <w:vertAlign w:val="superscript"/>
              </w:rPr>
              <w:t>[1]</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r>
      <w:tr>
        <w:trPr>
          <w:trHeight w:val="347"/>
        </w:trPr>
        <w:tc>
          <w:tcPr>
            <w:tcW w:w="24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gridSpan w:val="2"/>
          </w:tcPr>
          <w:p>
            <w:pPr>
              <w:spacing w:after="0"/>
              <w:rPr>
                <w:sz w:val="24"/>
                <w:szCs w:val="24"/>
                <w:color w:val="auto"/>
              </w:rPr>
            </w:pPr>
          </w:p>
        </w:tc>
        <w:tc>
          <w:tcPr>
            <w:tcW w:w="114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24"/>
                <w:szCs w:val="24"/>
                <w:color w:val="auto"/>
              </w:rPr>
            </w:pPr>
          </w:p>
        </w:tc>
      </w:tr>
      <w:tr>
        <w:trPr>
          <w:trHeight w:val="173"/>
        </w:trPr>
        <w:tc>
          <w:tcPr>
            <w:tcW w:w="248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24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180" w:type="dxa"/>
            <w:vAlign w:val="bottom"/>
            <w:gridSpan w:val="2"/>
          </w:tcPr>
          <w:p>
            <w:pPr>
              <w:spacing w:after="0"/>
              <w:rPr>
                <w:sz w:val="12"/>
                <w:szCs w:val="12"/>
                <w:color w:val="auto"/>
              </w:rPr>
            </w:pPr>
          </w:p>
        </w:tc>
      </w:tr>
      <w:tr>
        <w:trPr>
          <w:trHeight w:val="216"/>
        </w:trPr>
        <w:tc>
          <w:tcPr>
            <w:tcW w:w="7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account receivables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4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Customer A </w:t>
            </w:r>
            <w:r>
              <w:rPr>
                <w:rFonts w:ascii="Times New Roman" w:cs="Times New Roman" w:eastAsia="Times New Roman" w:hAnsi="Times New Roman"/>
                <w:sz w:val="25"/>
                <w:szCs w:val="25"/>
                <w:color w:val="auto"/>
                <w:vertAlign w:val="superscript"/>
              </w:rPr>
              <w:t>[1]</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81 %</w:t>
            </w:r>
          </w:p>
        </w:tc>
        <w:tc>
          <w:tcPr>
            <w:tcW w:w="2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88 %</w:t>
            </w:r>
          </w:p>
        </w:tc>
      </w:tr>
      <w:tr>
        <w:trPr>
          <w:trHeight w:val="102"/>
        </w:trPr>
        <w:tc>
          <w:tcPr>
            <w:tcW w:w="2480" w:type="dxa"/>
            <w:vAlign w:val="bottom"/>
            <w:tcBorders>
              <w:bottom w:val="single" w:sz="8" w:color="auto"/>
            </w:tcBorders>
          </w:tcPr>
          <w:p>
            <w:pPr>
              <w:spacing w:after="0"/>
              <w:rPr>
                <w:sz w:val="8"/>
                <w:szCs w:val="8"/>
                <w:color w:val="auto"/>
              </w:rPr>
            </w:pPr>
          </w:p>
        </w:tc>
        <w:tc>
          <w:tcPr>
            <w:tcW w:w="488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A related party of the Group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summarizes the supplier with greater than 10% of the total purchase and payables: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20" w:type="dxa"/>
            <w:vAlign w:val="bottom"/>
            <w:gridSpan w:val="10"/>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100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center"/>
              <w:ind w:lef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2"/>
        </w:trPr>
        <w:tc>
          <w:tcPr>
            <w:tcW w:w="100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total purchase</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Supplier A</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12 %</w:t>
            </w:r>
          </w:p>
        </w:tc>
      </w:tr>
      <w:tr>
        <w:trPr>
          <w:trHeight w:val="347"/>
        </w:trPr>
        <w:tc>
          <w:tcPr>
            <w:tcW w:w="10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gridSpan w:val="2"/>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gridSpan w:val="2"/>
          </w:tcPr>
          <w:p>
            <w:pPr>
              <w:spacing w:after="0"/>
              <w:rPr>
                <w:sz w:val="24"/>
                <w:szCs w:val="24"/>
                <w:color w:val="auto"/>
              </w:rPr>
            </w:pPr>
          </w:p>
        </w:tc>
      </w:tr>
      <w:tr>
        <w:trPr>
          <w:trHeight w:val="173"/>
        </w:trPr>
        <w:tc>
          <w:tcPr>
            <w:tcW w:w="100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040" w:type="dxa"/>
            <w:vAlign w:val="bottom"/>
            <w:gridSpan w:val="4"/>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100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180" w:type="dxa"/>
            <w:vAlign w:val="bottom"/>
          </w:tcPr>
          <w:p>
            <w:pPr>
              <w:spacing w:after="0"/>
              <w:rPr>
                <w:sz w:val="12"/>
                <w:szCs w:val="12"/>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account payables</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Supplier A</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r>
      <w:tr>
        <w:trPr>
          <w:trHeight w:val="439"/>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Inventory</w:t>
            </w:r>
          </w:p>
        </w:tc>
        <w:tc>
          <w:tcPr>
            <w:tcW w:w="3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353"/>
        </w:trPr>
        <w:tc>
          <w:tcPr>
            <w:tcW w:w="10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3"/>
        </w:trPr>
        <w:tc>
          <w:tcPr>
            <w:tcW w:w="100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90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680" w:type="dxa"/>
            <w:vAlign w:val="bottom"/>
            <w:tcBorders>
              <w:bottom w:val="single" w:sz="8" w:color="auto"/>
            </w:tcBorders>
            <w:gridSpan w:val="4"/>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Borders>
              <w:bottom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100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980" w:type="dxa"/>
            <w:vAlign w:val="bottom"/>
            <w:gridSpan w:val="3"/>
          </w:tcPr>
          <w:p>
            <w:pPr>
              <w:spacing w:after="0"/>
              <w:rPr>
                <w:sz w:val="12"/>
                <w:szCs w:val="12"/>
                <w:color w:val="auto"/>
              </w:rPr>
            </w:pPr>
          </w:p>
        </w:tc>
      </w:tr>
      <w:tr>
        <w:trPr>
          <w:trHeight w:val="216"/>
        </w:trPr>
        <w:tc>
          <w:tcPr>
            <w:tcW w:w="100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2,273,991</w:t>
            </w:r>
          </w:p>
        </w:tc>
        <w:tc>
          <w:tcPr>
            <w:tcW w:w="14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2,362,350</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141,195</w:t>
            </w:r>
          </w:p>
        </w:tc>
        <w:tc>
          <w:tcPr>
            <w:tcW w:w="140" w:type="dxa"/>
            <w:vAlign w:val="bottom"/>
          </w:tcPr>
          <w:p>
            <w:pPr>
              <w:spacing w:after="0"/>
              <w:rPr>
                <w:sz w:val="18"/>
                <w:szCs w:val="18"/>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190,206</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4,291,167</w:t>
            </w:r>
          </w:p>
        </w:tc>
        <w:tc>
          <w:tcPr>
            <w:tcW w:w="14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5,363,773</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Merchandise</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626,772</w:t>
            </w:r>
          </w:p>
        </w:tc>
        <w:tc>
          <w:tcPr>
            <w:tcW w:w="140" w:type="dxa"/>
            <w:vAlign w:val="bottom"/>
          </w:tcPr>
          <w:p>
            <w:pPr>
              <w:spacing w:after="0"/>
              <w:rPr>
                <w:sz w:val="18"/>
                <w:szCs w:val="18"/>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692,816</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inventory provision</w:t>
            </w: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(245,902)</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(365,808)</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70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7,087,223</w:t>
            </w:r>
          </w:p>
        </w:tc>
        <w:tc>
          <w:tcPr>
            <w:tcW w:w="140" w:type="dxa"/>
            <w:vAlign w:val="bottom"/>
          </w:tcPr>
          <w:p>
            <w:pPr>
              <w:spacing w:after="0"/>
              <w:rPr>
                <w:sz w:val="18"/>
                <w:szCs w:val="18"/>
                <w:color w:val="auto"/>
              </w:rPr>
            </w:pPr>
          </w:p>
        </w:tc>
        <w:tc>
          <w:tcPr>
            <w:tcW w:w="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8,243,337</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Raw materials primarily consist of materials for volume production as well as spare parts used for aftersales services.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Finished goods include vehicles ready for transit at production factory, vehicles in transit to fulfill customer orders, new vehicles available for immediate sale at the Group’s sales and service center locations and charging piles.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Merchandise includes accessories and branded merchandise which can be redeemed by customer loyalty program.</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Inventory write-downs recorded in cost of sales for the six months ended June 30, 2024 and 2025 were RMB71,175 and RMB133,381, respectively.</w:t>
      </w:r>
    </w:p>
    <w:p>
      <w:pPr>
        <w:spacing w:after="0" w:line="158"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Prepayments and Other Current Assets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Prepayments and other current assets consist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4660" w:type="dxa"/>
            <w:vAlign w:val="bottom"/>
          </w:tcPr>
          <w:p>
            <w:pPr>
              <w:spacing w:after="0"/>
              <w:rPr>
                <w:sz w:val="15"/>
                <w:szCs w:val="15"/>
                <w:color w:val="auto"/>
              </w:rPr>
            </w:pPr>
          </w:p>
        </w:tc>
        <w:tc>
          <w:tcPr>
            <w:tcW w:w="394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5"/>
                <w:szCs w:val="15"/>
                <w:color w:val="auto"/>
              </w:rPr>
            </w:pPr>
          </w:p>
        </w:tc>
      </w:tr>
      <w:tr>
        <w:trPr>
          <w:trHeight w:val="142"/>
        </w:trPr>
        <w:tc>
          <w:tcPr>
            <w:tcW w:w="46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20" w:type="dxa"/>
            <w:vAlign w:val="bottom"/>
          </w:tcPr>
          <w:p>
            <w:pPr>
              <w:spacing w:after="0"/>
              <w:rPr>
                <w:sz w:val="12"/>
                <w:szCs w:val="12"/>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Deductible VAT input</w:t>
            </w:r>
          </w:p>
        </w:tc>
        <w:tc>
          <w:tcPr>
            <w:tcW w:w="3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2,326,470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2,712,115</w:t>
            </w:r>
          </w:p>
        </w:tc>
        <w:tc>
          <w:tcPr>
            <w:tcW w:w="2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Prepayment to vendors</w:t>
            </w:r>
          </w:p>
        </w:tc>
        <w:tc>
          <w:tcPr>
            <w:tcW w:w="3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755,376</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1,248,448</w:t>
            </w:r>
          </w:p>
        </w:tc>
        <w:tc>
          <w:tcPr>
            <w:tcW w:w="2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3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376,130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248,070</w:t>
            </w:r>
          </w:p>
        </w:tc>
        <w:tc>
          <w:tcPr>
            <w:tcW w:w="2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third party online payment service providers</w:t>
            </w:r>
          </w:p>
        </w:tc>
        <w:tc>
          <w:tcPr>
            <w:tcW w:w="3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85,621</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83,823</w:t>
            </w:r>
          </w:p>
        </w:tc>
        <w:tc>
          <w:tcPr>
            <w:tcW w:w="2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3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91,271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154,470</w:t>
            </w:r>
          </w:p>
        </w:tc>
        <w:tc>
          <w:tcPr>
            <w:tcW w:w="2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4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(1,912)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20" w:type="dxa"/>
            <w:vAlign w:val="bottom"/>
          </w:tcPr>
          <w:p>
            <w:pPr>
              <w:spacing w:after="0"/>
              <w:rPr>
                <w:sz w:val="18"/>
                <w:szCs w:val="18"/>
                <w:color w:val="auto"/>
              </w:rPr>
            </w:pPr>
          </w:p>
        </w:tc>
      </w:tr>
      <w:tr>
        <w:trPr>
          <w:trHeight w:val="209"/>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8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3,632,956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4,444,995</w:t>
            </w:r>
          </w:p>
        </w:tc>
        <w:tc>
          <w:tcPr>
            <w:tcW w:w="2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8"/>
        </w:trPr>
        <w:tc>
          <w:tcPr>
            <w:tcW w:w="4660" w:type="dxa"/>
            <w:vAlign w:val="bottom"/>
          </w:tcPr>
          <w:p>
            <w:pPr>
              <w:spacing w:after="0"/>
              <w:rPr>
                <w:sz w:val="24"/>
                <w:szCs w:val="24"/>
                <w:color w:val="auto"/>
              </w:rPr>
            </w:pPr>
          </w:p>
        </w:tc>
        <w:tc>
          <w:tcPr>
            <w:tcW w:w="4180" w:type="dxa"/>
            <w:vAlign w:val="bottom"/>
            <w:gridSpan w:val="3"/>
          </w:tcPr>
          <w:p>
            <w:pPr>
              <w:jc w:val="right"/>
              <w:ind w:right="3700"/>
              <w:spacing w:after="0"/>
              <w:rPr>
                <w:sz w:val="20"/>
                <w:szCs w:val="20"/>
                <w:color w:val="auto"/>
              </w:rPr>
            </w:pPr>
            <w:r>
              <w:rPr>
                <w:rFonts w:ascii="Times New Roman" w:cs="Times New Roman" w:eastAsia="Times New Roman" w:hAnsi="Times New Roman"/>
                <w:sz w:val="18"/>
                <w:szCs w:val="18"/>
                <w:color w:val="auto"/>
              </w:rPr>
              <w:t>F-26</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46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3"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 Net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plant and equipment and related accumulated depreciation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7540" w:type="dxa"/>
            <w:vAlign w:val="bottom"/>
          </w:tcPr>
          <w:p>
            <w:pPr>
              <w:spacing w:after="0"/>
              <w:rPr>
                <w:sz w:val="15"/>
                <w:szCs w:val="15"/>
                <w:color w:val="auto"/>
              </w:rPr>
            </w:pPr>
          </w:p>
        </w:tc>
        <w:tc>
          <w:tcPr>
            <w:tcW w:w="10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5"/>
                <w:szCs w:val="15"/>
                <w:color w:val="auto"/>
              </w:rPr>
            </w:pPr>
          </w:p>
        </w:tc>
      </w:tr>
      <w:tr>
        <w:trPr>
          <w:trHeight w:val="142"/>
        </w:trPr>
        <w:tc>
          <w:tcPr>
            <w:tcW w:w="7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20" w:type="dxa"/>
            <w:vAlign w:val="bottom"/>
          </w:tcPr>
          <w:p>
            <w:pPr>
              <w:spacing w:after="0"/>
              <w:rPr>
                <w:sz w:val="12"/>
                <w:szCs w:val="12"/>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Mold and tooling</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7,108,020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9,250,807</w:t>
            </w:r>
          </w:p>
        </w:tc>
        <w:tc>
          <w:tcPr>
            <w:tcW w:w="20" w:type="dxa"/>
            <w:vAlign w:val="bottom"/>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Production facilities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6,845,010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9,045,133</w:t>
            </w:r>
          </w:p>
        </w:tc>
        <w:tc>
          <w:tcPr>
            <w:tcW w:w="2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Charging &amp; battery swap equipment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7,761,253</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8,617,932</w:t>
            </w:r>
          </w:p>
        </w:tc>
        <w:tc>
          <w:tcPr>
            <w:tcW w:w="20" w:type="dxa"/>
            <w:vAlign w:val="bottom"/>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6,124,611</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6,365,822</w:t>
            </w:r>
          </w:p>
        </w:tc>
        <w:tc>
          <w:tcPr>
            <w:tcW w:w="2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3,616,078</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2,064,631</w:t>
            </w:r>
          </w:p>
        </w:tc>
        <w:tc>
          <w:tcPr>
            <w:tcW w:w="20" w:type="dxa"/>
            <w:vAlign w:val="bottom"/>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electronic equipment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1,922,333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1,923,728</w:t>
            </w:r>
          </w:p>
        </w:tc>
        <w:tc>
          <w:tcPr>
            <w:tcW w:w="2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vehicles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1,949,132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1,839,294</w:t>
            </w:r>
          </w:p>
        </w:tc>
        <w:tc>
          <w:tcPr>
            <w:tcW w:w="20" w:type="dxa"/>
            <w:vAlign w:val="bottom"/>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R&amp;D equipment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1,635,821</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1,671,450</w:t>
            </w:r>
          </w:p>
        </w:tc>
        <w:tc>
          <w:tcPr>
            <w:tcW w:w="2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1,349,419</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1,369,918</w:t>
            </w:r>
          </w:p>
        </w:tc>
        <w:tc>
          <w:tcPr>
            <w:tcW w:w="20" w:type="dxa"/>
            <w:vAlign w:val="bottom"/>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constructions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913,281</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914,360</w:t>
            </w:r>
          </w:p>
        </w:tc>
        <w:tc>
          <w:tcPr>
            <w:tcW w:w="2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vehicles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799,846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818,976</w:t>
            </w:r>
          </w:p>
        </w:tc>
        <w:tc>
          <w:tcPr>
            <w:tcW w:w="20" w:type="dxa"/>
            <w:vAlign w:val="bottom"/>
          </w:tcPr>
          <w:p>
            <w:pPr>
              <w:spacing w:after="0"/>
              <w:rPr>
                <w:sz w:val="18"/>
                <w:szCs w:val="18"/>
                <w:color w:val="auto"/>
              </w:rPr>
            </w:pPr>
          </w:p>
        </w:tc>
      </w:tr>
      <w:tr>
        <w:trPr>
          <w:trHeight w:val="216"/>
        </w:trPr>
        <w:tc>
          <w:tcPr>
            <w:tcW w:w="7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1,429,868</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1,610,647</w:t>
            </w:r>
          </w:p>
        </w:tc>
        <w:tc>
          <w:tcPr>
            <w:tcW w:w="20" w:type="dxa"/>
            <w:vAlign w:val="bottom"/>
          </w:tcPr>
          <w:p>
            <w:pPr>
              <w:spacing w:after="0"/>
              <w:rPr>
                <w:sz w:val="18"/>
                <w:szCs w:val="18"/>
                <w:color w:val="auto"/>
              </w:rPr>
            </w:pPr>
          </w:p>
        </w:tc>
      </w:tr>
      <w:tr>
        <w:trPr>
          <w:trHeight w:val="209"/>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41,454,672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45,492,698</w:t>
            </w:r>
          </w:p>
        </w:tc>
        <w:tc>
          <w:tcPr>
            <w:tcW w:w="20" w:type="dxa"/>
            <w:vAlign w:val="bottom"/>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(15,559,399)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(18,684,876)</w:t>
            </w:r>
          </w:p>
        </w:tc>
        <w:tc>
          <w:tcPr>
            <w:tcW w:w="2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impairment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(2,369)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20" w:type="dxa"/>
            <w:vAlign w:val="bottom"/>
          </w:tcPr>
          <w:p>
            <w:pPr>
              <w:spacing w:after="0"/>
              <w:rPr>
                <w:sz w:val="18"/>
                <w:szCs w:val="18"/>
                <w:color w:val="auto"/>
              </w:rPr>
            </w:pPr>
          </w:p>
        </w:tc>
      </w:tr>
      <w:tr>
        <w:trPr>
          <w:trHeight w:val="21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25,892,904</w:t>
            </w:r>
          </w:p>
        </w:tc>
        <w:tc>
          <w:tcPr>
            <w:tcW w:w="2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26,805,111</w:t>
            </w:r>
          </w:p>
        </w:tc>
        <w:tc>
          <w:tcPr>
            <w:tcW w:w="2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Group recorded depreciation expenses of RMB2,647,932 and RMB3,493,303 for the six months ended June 30, 2024 and 2025, respectively. As of December 31, 2024 and June 30, 2025, certain property, plant, and equipments with carrying values of RMB1,131,796 and RMB731,222, respectively, were restricted as collateral for long-term bank loans. Subsequently, in July 2025, certain property, plant, and equipment and land use right with carrying value of RMB694,493 were restricted as colleteral for credit quota from certain supplier.</w:t>
      </w:r>
    </w:p>
    <w:p>
      <w:pPr>
        <w:spacing w:after="0" w:line="179"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investments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long-term investments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7540" w:type="dxa"/>
            <w:vAlign w:val="bottom"/>
          </w:tcPr>
          <w:p>
            <w:pPr>
              <w:spacing w:after="0"/>
              <w:rPr>
                <w:sz w:val="15"/>
                <w:szCs w:val="15"/>
                <w:color w:val="auto"/>
              </w:rPr>
            </w:pPr>
          </w:p>
        </w:tc>
        <w:tc>
          <w:tcPr>
            <w:tcW w:w="10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42"/>
        </w:trPr>
        <w:tc>
          <w:tcPr>
            <w:tcW w:w="7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(Unaudited)</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method investments (i)</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1,275,287</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864,085</w:t>
            </w:r>
          </w:p>
        </w:tc>
      </w:tr>
      <w:tr>
        <w:trPr>
          <w:trHeight w:val="216"/>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 using fair value option (ii)</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1,103,150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1,103,150</w:t>
            </w:r>
          </w:p>
        </w:tc>
      </w:tr>
      <w:tr>
        <w:trPr>
          <w:trHeight w:val="216"/>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securities without readily determinable fair value (iii)</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504,282</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500,771</w:t>
            </w:r>
          </w:p>
        </w:tc>
      </w:tr>
      <w:tr>
        <w:trPr>
          <w:trHeight w:val="216"/>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 with readily determinable fair value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43,902</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Debt investments: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Held-to-maturity debt securities – time deposit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13,142</w:t>
            </w:r>
          </w:p>
        </w:tc>
      </w:tr>
      <w:tr>
        <w:trPr>
          <w:trHeight w:val="216"/>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Available-for-sale debt securities (iv)</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173,918</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175,407</w:t>
            </w:r>
          </w:p>
        </w:tc>
      </w:tr>
      <w:tr>
        <w:trPr>
          <w:trHeight w:val="216"/>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Retained asset-backed securities (v)</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23,419</w:t>
            </w:r>
          </w:p>
        </w:tc>
        <w:tc>
          <w:tcPr>
            <w:tcW w:w="2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10,273</w:t>
            </w:r>
          </w:p>
        </w:tc>
      </w:tr>
      <w:tr>
        <w:trPr>
          <w:trHeight w:val="21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3,126,007</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2,710,730</w:t>
            </w: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Equity method investments</w:t>
      </w:r>
    </w:p>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From 2020 to 2024, the Group made several equity investments, which are accounted for under equity method. Refer to Note 9 to the annual consolidated financial statement contained in the Company’s Annual Report on Form 20-F for the year ended December 31, 2024.</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2024 and 2025, the Group invested in several private funds and entities with a total amount of RMB154,000 and RMB5,760, respectively. The Group does not control but can exercise significant influence over these investees with certain voting rights. Therefore, the Group accounts for these investments under equity method.</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and 2025, the Group recognized RMB93,089 and RMB380,859 of shares of loss of equity investees, respectively, from these equity method investments.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and June 30, 2025, none of the Group’s equity method investment, neither individually nor in aggregate, was considered as significant under Reg S-X Rules.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(ii) Equity securities using fair value option</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Group has certain equity securities using fair value option investment. Refer to Note 9 to the annual consolidated financial statement contained in the Company’s Annual Report on Form 20-F for the year ended December 31, 2024.</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June 30, 2025, the Group valued equity securities using fair value option using a market approach by adopting a backsolve method which benchmarked to recent comparable financing transactions of these investments, and there was no significant change to the carrying value of the investment since December 31, 2024.</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(iii) Equity securities without readily determinable fair value</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5900" w:type="dxa"/>
            <w:vAlign w:val="bottom"/>
          </w:tcPr>
          <w:p>
            <w:pPr>
              <w:spacing w:after="0"/>
              <w:rPr>
                <w:sz w:val="15"/>
                <w:szCs w:val="15"/>
                <w:color w:val="auto"/>
              </w:rPr>
            </w:pPr>
          </w:p>
        </w:tc>
        <w:tc>
          <w:tcPr>
            <w:tcW w:w="9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(Unaudited)</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without readily determinable fair value: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Initial cost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417,497</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417,497</w:t>
            </w:r>
          </w:p>
        </w:tc>
      </w:tr>
      <w:tr>
        <w:trPr>
          <w:trHeight w:val="216"/>
        </w:trPr>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cumulative fair value adjustments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86,785</w:t>
            </w:r>
          </w:p>
        </w:tc>
        <w:tc>
          <w:tcPr>
            <w:tcW w:w="1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83,274</w:t>
            </w:r>
          </w:p>
        </w:tc>
      </w:tr>
      <w:tr>
        <w:trPr>
          <w:trHeight w:val="210"/>
        </w:trPr>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Carrying value</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504,282</w:t>
            </w:r>
          </w:p>
        </w:tc>
        <w:tc>
          <w:tcPr>
            <w:tcW w:w="1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500,771</w:t>
            </w:r>
          </w:p>
        </w:tc>
      </w:tr>
      <w:tr>
        <w:trPr>
          <w:trHeight w:val="20"/>
        </w:trPr>
        <w:tc>
          <w:tcPr>
            <w:tcW w:w="59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Group has certain equity investments which are measured under the measurement alternative. During the six months ended June 30, 2024 and 2025, the Group invested RMB113,363 and nil in equity securities without readily determinable fair value, respectively. The Group re-measured these investments based on recent financing transactions of these investees, which were considered as observable transactions, and recorded fair value losses of RMB24,373 and RMB3,511 in investment income during the six months ended June 30, 2024 and 2025.</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impairment charges were recognized for the six months ended June 30, 2024 and 2025.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(iv) Available-for-sale debt securities</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5820" w:type="dxa"/>
            <w:vAlign w:val="bottom"/>
          </w:tcPr>
          <w:p>
            <w:pPr>
              <w:spacing w:after="0"/>
              <w:rPr>
                <w:sz w:val="15"/>
                <w:szCs w:val="15"/>
                <w:color w:val="auto"/>
              </w:rPr>
            </w:pPr>
          </w:p>
        </w:tc>
        <w:tc>
          <w:tcPr>
            <w:tcW w:w="9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(Unaudited)</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Initial cost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173,918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175,407</w:t>
            </w:r>
          </w:p>
        </w:tc>
      </w:tr>
      <w:tr>
        <w:trPr>
          <w:trHeight w:val="216"/>
        </w:trPr>
        <w:tc>
          <w:tcPr>
            <w:tcW w:w="5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cumulative fair value adjustments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Carrying value</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173,918</w:t>
            </w:r>
          </w:p>
        </w:tc>
        <w:tc>
          <w:tcPr>
            <w:tcW w:w="1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175,407</w:t>
            </w:r>
          </w:p>
        </w:tc>
      </w:tr>
      <w:tr>
        <w:trPr>
          <w:trHeight w:val="20"/>
        </w:trPr>
        <w:tc>
          <w:tcPr>
            <w:tcW w:w="5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six months ended 2024 and 2025, the Group invested RMB53,208 and RMB1,489 in certain private company, respectively. Since the investment contains certain substantive preferential rights, including redemption at the holders’ option upon occurrence of certain contingent events that are out of the investee’s control and liquidation preference over the rights of common shareholders, it is not considered as common stock or in-substance common stock and is therefore classified as available-for-sale debt investment which is measured at its fair value with the change of fair value recognized as other comprehensive income.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was no significant change to the fair value of these available-for-sale debt securies investments during the months ended June 30, 2024 and 2025, based on the Company’s fair value assessment. No impairment charges were recognized for the six months ended June 30, 2024 and 2025.</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 Retained asset-backed securities</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August 2023 and January 2024, the Company, through its wholly owned subsidiary, entered into asset-backed securitization arrangements and securitized receivables arising from auto financing arrangements through the transfer of those assets to third party securitization entities. The securitization entities initially issued debt securities to investors at the total amount of RMB859 million and RMB2,450 million, respectively. The Group provides management, administration and collection services at market rates on the transferred financial assets, but only retains an insignificant economic interest in the securitization entities. As a result, the Group does not have control over the securitization entity and the transferred receivables were derecognized. The Group elects to classify the retained asset-backed securities as trading securities.</w:t>
      </w:r>
    </w:p>
    <w:p>
      <w:pPr>
        <w:spacing w:after="0" w:line="185"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Non-current Assets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non-current assets consist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7540" w:type="dxa"/>
            <w:vAlign w:val="bottom"/>
          </w:tcPr>
          <w:p>
            <w:pPr>
              <w:spacing w:after="0"/>
              <w:rPr>
                <w:sz w:val="15"/>
                <w:szCs w:val="15"/>
                <w:color w:val="auto"/>
              </w:rPr>
            </w:pPr>
          </w:p>
        </w:tc>
        <w:tc>
          <w:tcPr>
            <w:tcW w:w="10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5"/>
                <w:szCs w:val="15"/>
                <w:color w:val="auto"/>
              </w:rPr>
            </w:pPr>
          </w:p>
        </w:tc>
      </w:tr>
      <w:tr>
        <w:trPr>
          <w:trHeight w:val="142"/>
        </w:trPr>
        <w:tc>
          <w:tcPr>
            <w:tcW w:w="7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20" w:type="dxa"/>
            <w:vAlign w:val="bottom"/>
          </w:tcPr>
          <w:p>
            <w:pPr>
              <w:spacing w:after="0"/>
              <w:rPr>
                <w:sz w:val="12"/>
                <w:szCs w:val="12"/>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 finance lease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2,518,443</w:t>
            </w:r>
          </w:p>
        </w:tc>
        <w:tc>
          <w:tcPr>
            <w:tcW w:w="20" w:type="dxa"/>
            <w:vAlign w:val="bottom"/>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Long-term deposits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1,196,193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914,176</w:t>
            </w:r>
          </w:p>
        </w:tc>
        <w:tc>
          <w:tcPr>
            <w:tcW w:w="2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 of auto financing receivables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863,796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758,933</w:t>
            </w:r>
          </w:p>
        </w:tc>
        <w:tc>
          <w:tcPr>
            <w:tcW w:w="20" w:type="dxa"/>
            <w:vAlign w:val="bottom"/>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Prepayments for long-lived assets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1,246,836</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478,514</w:t>
            </w:r>
          </w:p>
        </w:tc>
        <w:tc>
          <w:tcPr>
            <w:tcW w:w="2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262,063</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126,972</w:t>
            </w:r>
          </w:p>
        </w:tc>
        <w:tc>
          <w:tcPr>
            <w:tcW w:w="20" w:type="dxa"/>
            <w:vAlign w:val="bottom"/>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(59,386)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(40,313)</w:t>
            </w:r>
          </w:p>
        </w:tc>
        <w:tc>
          <w:tcPr>
            <w:tcW w:w="20" w:type="dxa"/>
            <w:vAlign w:val="bottom"/>
          </w:tcPr>
          <w:p>
            <w:pPr>
              <w:spacing w:after="0"/>
              <w:rPr>
                <w:sz w:val="18"/>
                <w:szCs w:val="18"/>
                <w:color w:val="auto"/>
              </w:rPr>
            </w:pPr>
          </w:p>
        </w:tc>
      </w:tr>
      <w:tr>
        <w:trPr>
          <w:trHeight w:val="210"/>
        </w:trPr>
        <w:tc>
          <w:tcPr>
            <w:tcW w:w="7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3,573,137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4,756,725</w:t>
            </w:r>
          </w:p>
        </w:tc>
        <w:tc>
          <w:tcPr>
            <w:tcW w:w="2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Long-term deposits mainly consists of deposits to vendors for guarantee of production capacity as well as rental deposits which will not be collectible within one year.</w:t>
      </w:r>
    </w:p>
    <w:p>
      <w:pPr>
        <w:spacing w:after="0" w:line="158"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Accruals and Other Liabilities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Accruals and other liabilities consist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7200" w:type="dxa"/>
            <w:vAlign w:val="bottom"/>
          </w:tcPr>
          <w:p>
            <w:pPr>
              <w:spacing w:after="0"/>
              <w:rPr>
                <w:sz w:val="15"/>
                <w:szCs w:val="15"/>
                <w:color w:val="auto"/>
              </w:rPr>
            </w:pPr>
          </w:p>
        </w:tc>
        <w:tc>
          <w:tcPr>
            <w:tcW w:w="12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42"/>
        </w:trPr>
        <w:tc>
          <w:tcPr>
            <w:tcW w:w="7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(Unaudited)</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for purchase of property, plant and equipment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3,643,002</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5,030,613</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deferred revenue/income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3,156,430</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3,260,989</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for marketing events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1,962,341</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2,065,195</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Payable for R&amp;D expenses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1,924,269</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2,057,741</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 payable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2,082,972</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1,643,962</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Advance from customers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918,465</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763,028</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liabilities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652,633</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682,476</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Accrued costs of loss on purchase commitments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336,656</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440,152</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418,760</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355,872</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Payable to BaaS users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249,917</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307,533</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13,498</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155,380</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payables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86,474</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76,067</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595,662</w:t>
            </w:r>
          </w:p>
        </w:tc>
        <w:tc>
          <w:tcPr>
            <w:tcW w:w="26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471,002</w:t>
            </w:r>
          </w:p>
        </w:tc>
      </w:tr>
      <w:tr>
        <w:trPr>
          <w:trHeight w:val="21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16,041,079</w:t>
            </w:r>
          </w:p>
        </w:tc>
        <w:tc>
          <w:tcPr>
            <w:tcW w:w="26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17,310,010</w:t>
            </w:r>
          </w:p>
        </w:tc>
      </w:tr>
      <w:tr>
        <w:trPr>
          <w:trHeight w:val="20"/>
        </w:trPr>
        <w:tc>
          <w:tcPr>
            <w:tcW w:w="7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Accrued costs of loss on purchase commitments represents the unsettled amount the Group provided for purchase commitments specifically related to these vehicles, as a result of the planned products upgrade of certain existing vehicle models.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Payable to BaaS users represents certain monthly subscription fee the Group agreed to compensate to BaaS users, if certain criteria are met. The Group accrued the payable to BaaS users against vehicle sales. Based on the payment schedule, payable to BaaS users due within the next 12 month is recorded as accruals and other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Borrowings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Borrowings consist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7540" w:type="dxa"/>
            <w:vAlign w:val="bottom"/>
          </w:tcPr>
          <w:p>
            <w:pPr>
              <w:spacing w:after="0"/>
              <w:rPr>
                <w:sz w:val="15"/>
                <w:szCs w:val="15"/>
                <w:color w:val="auto"/>
              </w:rPr>
            </w:pPr>
          </w:p>
        </w:tc>
        <w:tc>
          <w:tcPr>
            <w:tcW w:w="10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42"/>
        </w:trPr>
        <w:tc>
          <w:tcPr>
            <w:tcW w:w="7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(Unaudited)</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 loan (i)</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4,490,000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4,068,000</w:t>
            </w:r>
          </w:p>
        </w:tc>
      </w:tr>
      <w:tr>
        <w:trPr>
          <w:trHeight w:val="216"/>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short-term financing arrangements (ii)</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1,239,561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1,370,829</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convertible notes (iii)</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2,706,285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w:t>
            </w:r>
          </w:p>
        </w:tc>
      </w:tr>
      <w:tr>
        <w:trPr>
          <w:trHeight w:val="216"/>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bank loan (iv)</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639,180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501,340</w:t>
            </w:r>
          </w:p>
        </w:tc>
      </w:tr>
      <w:tr>
        <w:trPr>
          <w:trHeight w:val="216"/>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other financing arrangements (ii)</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52,157</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284,341</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Bank loan (iv)</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2,965,490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663,570</w:t>
            </w:r>
          </w:p>
        </w:tc>
      </w:tr>
      <w:tr>
        <w:trPr>
          <w:trHeight w:val="216"/>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Convertible notes (iii)</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8,166,996</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8,136,775</w:t>
            </w:r>
          </w:p>
        </w:tc>
      </w:tr>
      <w:tr>
        <w:trPr>
          <w:trHeight w:val="216"/>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financing arrangements (ii)</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308,269</w:t>
            </w:r>
          </w:p>
        </w:tc>
        <w:tc>
          <w:tcPr>
            <w:tcW w:w="2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312,833</w:t>
            </w:r>
          </w:p>
        </w:tc>
      </w:tr>
      <w:tr>
        <w:trPr>
          <w:trHeight w:val="21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20,567,938</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15,344,205</w:t>
            </w: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 Short-term bank loan</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the Group obtained short-term borrowings from several banks of RMB4,490,000 in aggregate. The annual interest rate of these borrowings is approximately 2.10% to 2.60%.</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the Group obtained short-term borrowings from several banks of RMB4,068,000 in aggregate. The annual interest rate of these borrowings is approximately 2.20% to 2.55%.</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short-term borrowings contain covenants including, among others, limitation on liens, consolidation, merger, sale of the Group’s assets and certain financial measures. The Group was in compliance with all of the loan covenants as of December 31, 2024 and June 30, 2025. As of December 31, 2024 and June 30, 2025, no short-term borrowings were guaranteed by the Company’s subsidiaries or pledged with short-term investments.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(ii) Other financing arrangements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financing arrangements mainly consist of financial liabilities arising from sale and leaseback arrangements of certain vehicles and power swap station assets that the control of the underlying assests are not transferred from the Group (the seller-lessee) to the buyer-lessor. For the six months ended June 30, 2024 and 2025, financial liabilities arising from certain sales and leaseback arrangements of RMB68,345 and RMB661,669 were settled upon ultimate transfer of control of related assets,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(iii) Convertible notes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2024 Notes</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February 2019, the Group issued US$650,000 convertible senior notes and additional US$100,000 senior notes (collectively the “2024 Notes”) to the Notes purchasers (the “Notes Offering”). The 2024 Notes bears interest at a rate of 4.50% per year, payable semi-annually in arrears on February 1 and August 1 of each year, beginning on August 1, 2019. The 2024 Notes is convertible into the Company’s American Depositary Shares at the pre-agreed fixed conversion price at the discretion of the holders and will mature for repayment on February 1, 2024. Holders of the 2024 Notes are entitled to require the Company to repurchase all or part of the 2024 Notes in cash on February 1, 2022 or in the event of certain fundamental changes. In connection with the Notes Offering, the Company entered into capped call transactions with certain Notes purchasers and/or their respective affiliates and/or other financial institutions (the “Capped Call Option Counterparties”) and used a portion of the net proceeds of the Notes Offering to pay the cost of such transactions. In addition, the Company also entered into privately negotiated zero-strike call option transactions with certain Notes purchasers or their respective affiliates (the “Zero-Strike Call Option Counterparties”) and used a portion of the net proceeds of the Notes Offering to pay the aggregate premium under such transactions. The Company accounts for the 2024 Notes as a single instruments as a long-term debt. The debt issuance cost were recorded as reduction to the long-term debts and are amortized as interest expenses using the effective interest method. The value of the 2024 Notes are measured by the cash received. The cost for the capped call transactions have been recorded as deduction of additional paid-in capital within total shareholders’ equity. The zero-strike call option was deemed as a prepaid forward to purchase the Company’s own shares and recognized as permanent equity at its fair value at inception as a reduction to additional paid in capital in the consolidated balance sheet. In November 2020, US$7 in aggregate principal amount of such Notes were converted, pursuant to which the Company issued 735 Class A ordinary shares to the holders of such Notes. The balance of the Notes converted were derecognized and recorded as ordinary shares and additional paid-in capital.</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15, 2021, the Company entered into separate and individually privately negotiated agreements with certain holders of its outstanding 2024 Notes to exchange US$581,685 principal amount of the outstanding 2024 Notes for 62,192,017 ADSs with a conversion premium of US$56,359 (the “2024 Notes Exchanges”). In connection with the 2024 Notes Exchanges, the Company also entered into agreements with certain financial institutions to terminate a portion of the capped call transactions and Zero-Strike Call transactions with the amount corresponding to the portion of the principal amount of the 2024 Notes that were exchanged. With above termination of the capped call transactions and Zero-Strike Call transactions, the Company received 16,402,643 treasury shares accordingly.</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the 2024 Notes Exchanges, the 2024 Notes with carrying amount of US$578,902 were derecognised with a corresponding amount being recognised as share capital and additional paid-in capital. The conversion premium of US$56,359 was recorded as interest expenses according to ASC 470-20-40-16, which requires a reporting entity to recognize an expense equal to the fair value of the shares or other consideration issued to induce conversion, i.e., the excess of the fair value of all consideration transferred over the fair value of the securities transferred pursuant to the original conversion terms. For the terminations of the capped call transactions and Zero-Strike Call transactions, the amount of the purchase price of the capped call transactions and Zero-Strike Call transactions terminated of RMB1,849,600 that was previously recorded in the additional paid-in capital was reclassified to treasury stock.</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1, 2024, the Company repaid the then outstanding 2024 Notes in full upon the maturity of the 2024 Notes with carrying amount of US$164,520 (RMB1,168,732). The Company also entered into agreements with certain financial institutions to terminate the capped call transactions and Zero-Strike Call transactions and received 13,404,825 treasury shares accordingly. The amount of the purchase price of the capped call transactions and Zero-Strike Call transactions terminated of RMB709,490 that was previously recorded in the additional paid-in capital was reclassified to treasury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2026 and 2027 Notes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January 2021, the Group issued US$750,000 convertible senior Notes due 2026 (the “2026 Notes”) and US$750,000 convertible senior Notes due 2027 (the “2027 Notes”). The 2026 Notes bears no interest and the 2027 Notes bears interest at a rate of 0.50% per year, which is payable semiannually in arrears on February 1 and August 1 of each year, beginning on August 1, 2021. Holders may convert their 2026 Notes at their option prior to the close of business on the business day immediately preceding August 1, 2025, and holders may convert their 2027 Notes at their option prior to the close of business on the business day immediately preceding August 1, 2026. The initial conversion price is US$93.06 per ADS for the Notes, subject to customary anti-dilution adjustments. Upon conversion, the Company will pay or deliver, as the case may be, cash, ADSs, or a combination of cash and ADSs, at the Company’s discretion. Holders of the 2026 Notes have the right to require the Company to repurchase in cash for all or part of their Notes on February 1, 2024 or in the event of certain fundamental changes at a repurchase price equal to 100% of the principal amount of the Notes to be repurchased. Holders of the 2027 Notes have the right to require the Company to repurchase in cash for all or part of their Notes on February 1, 2025 or in the event of certain fundamental changes at a repurchase price equal to 100% of the principal amount of the Notes to be repurchased, plus accrued and unpaid interest.</w:t>
      </w:r>
    </w:p>
    <w:p>
      <w:pPr>
        <w:spacing w:after="0" w:line="1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early adopted ASU 2020-06 which eliminates the cash conversion accounting models for 2026 Notes and 2027 Notes. Accordingly, the principal amount of these Notes was reported as one single unit of account in long-term borrowings at its principal amount, net of debt issuance costs of US$26,340, on the basis of not electing fair value option for the Notes and no substantial premium to be offered. The Notes are subsequently measured at amortized cost with interest expenses accrued over the term of these Notes using the effective interest method.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2022, the Group repurchased the aggregated portion of 2026 Notes with the carrying amount of US$190,962 (RMB1,317,106). In 2023, the Group repurchased the aggregated portion of 2026 Notes and 2027 Notes with the carrying amount of US$253,762 (RMB1,801,685) and US$242,249 (RMB1,719,944), respectively. In February 2024, upon the exercise of repurchase prices by the holders of the 2026 Notes, the Group repurchased the portion of 2026 Notes with the aggregated carrying amount of US$298,689 (RMB2,122,155).</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and December 2024, as separately negotiated, the Group settled certain 2027 Notes with a principal amount of $127,090 by delivering 27,690,071 Company’s ADSs and cancelled the same amount of treasury shares, with the exchange ratio ranged from 207.0 to 227.6 ADSs per $1,000 principal amount of the 2027 Notes. The Group did not receive any cash proceeds from the issuance of the ADSs upon exchange. The Group derecognized treasury stock of RMB2,214,029, with the difference of RMB1,311,200 recorded in additional paid-in capital accordingly.</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the carrying amount of the remaining 2026 Notes and 2027 Notes were RMB6,534 and RMB2,706,285, respectively, and the Company reclassified the carrying value of 2027 Notes with the amount of RMB2,706,285 in current liabilities to reflect the early redemption right by 2027 Notes holders on February 1, 2025.</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February 2025, upon the exercise of repurchase rights by the holders of the 2027 Notes, the Group repurchased the portion of 2027 Notes with the aggregated carrying amount of US$378,312 (RMB2,712,412). As of June 30, 2025, the carrying amount of the remaining 2026 Notes and 2027 Notes were RMB6,516 and RMB1,518,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2029 and 2030 Notes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September and October 2023, the Company issued US$575,000 convertible senior Notes due 2029 (the “2029 Notes”) and US$575,000 convertible senior Notes due 2030 (the “2030 Notes”). The 2029 Notes bears interest at a rate of 3.875% per year, payable semiannually in arrears on April 15 and October 15 of each year, beginning on April 15, 2024. The 2030 Notes bears interest at a rate of 4.625% per year, payable semiannually in arrears on April 15 and October 15 of each year, beginning on April 15, 2024. Holders may convert their 2029 Notes at their option prior to the close of business on the second scheduled trading day immediately preceding October 15, 2029, and holders may convert their 2030 Notes at their option prior to the close of business on the second scheduled trading day immediately preceding October 15, 2030. The initial conversion price is US$11.12 per ADS for the Notes, subject to customary anti-dilution adjustments. Upon conversion, the Company will pay or deliver, as the case may be, cash, ADSs, or a combination of cash and ADSs, at the Company’s discretion. Holders of the 2029 Notes have the right to require the Company to repurchase in cash for all or part of their Notes on October 15, 2027 or in the event of certain fundamental changes at a repurchase price equal to 100% of the principal amount of the Notes to be repurchased. Holders of the 2030 Notes have the right to require the Company to repurchase in cash for all or part of their Notes on October 15, 2028 or in the event of certain fundamental changes at a repurchase price equal to 100% of the principal amount of the Notes to be repurchased, plus accrued and unpaid interest.</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accounted for 2029 Notes and 2030 Notes in accordance with ASU 2020-06 which eliminates the cash conversion accounting models. Accordingly, the principal amount of these Notes was reported as one single unit of account in long-term borrowings at its principal amount, net of debt issuance costs of US$17,855, on the basis of not electing fair value option for the Notes and no substantial premium to be offered. The Notes are subsequently measured at amortized cost with interest expenses accrued over the term of these Notes using the effective interest method. As of December 31, 2024 and June 30, 2025, the carrying amount of the Notes were RMB8,160,462 and RMB8,135,257, respectively.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(iv) Long-term bank loan</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As of December 31, 2024</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gridSpan w:val="3"/>
          </w:tcPr>
          <w:p>
            <w:pPr>
              <w:jc w:val="right"/>
              <w:ind w:right="1022"/>
              <w:spacing w:after="0"/>
              <w:rPr>
                <w:sz w:val="20"/>
                <w:szCs w:val="20"/>
                <w:color w:val="auto"/>
              </w:rPr>
            </w:pPr>
            <w:r>
              <w:rPr>
                <w:rFonts w:ascii="Times New Roman" w:cs="Times New Roman" w:eastAsia="Times New Roman" w:hAnsi="Times New Roman"/>
                <w:sz w:val="12"/>
                <w:szCs w:val="12"/>
                <w:b w:val="1"/>
                <w:bCs w:val="1"/>
                <w:color w:val="auto"/>
              </w:rPr>
              <w:t>As of June 30, 2025</w:t>
            </w:r>
          </w:p>
        </w:tc>
      </w:tr>
      <w:tr>
        <w:trPr>
          <w:trHeight w:val="118"/>
        </w:trPr>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140"/>
              <w:spacing w:after="0" w:line="118" w:lineRule="exact"/>
              <w:rPr>
                <w:sz w:val="20"/>
                <w:szCs w:val="20"/>
                <w:color w:val="auto"/>
              </w:rPr>
            </w:pPr>
            <w:r>
              <w:rPr>
                <w:rFonts w:ascii="Times New Roman" w:cs="Times New Roman" w:eastAsia="Times New Roman" w:hAnsi="Times New Roman"/>
                <w:sz w:val="12"/>
                <w:szCs w:val="12"/>
                <w:b w:val="1"/>
                <w:bCs w:val="1"/>
                <w:color w:val="auto"/>
                <w:w w:val="96"/>
              </w:rPr>
              <w:t>Current portion</w:t>
            </w:r>
          </w:p>
        </w:tc>
        <w:tc>
          <w:tcPr>
            <w:tcW w:w="1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7"/>
              </w:rPr>
              <w:t>Long-term</w:t>
            </w:r>
          </w:p>
        </w:tc>
        <w:tc>
          <w:tcPr>
            <w:tcW w:w="1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120"/>
              <w:spacing w:after="0" w:line="118" w:lineRule="exact"/>
              <w:rPr>
                <w:sz w:val="20"/>
                <w:szCs w:val="20"/>
                <w:color w:val="auto"/>
              </w:rPr>
            </w:pPr>
            <w:r>
              <w:rPr>
                <w:rFonts w:ascii="Times New Roman" w:cs="Times New Roman" w:eastAsia="Times New Roman" w:hAnsi="Times New Roman"/>
                <w:sz w:val="12"/>
                <w:szCs w:val="12"/>
                <w:b w:val="1"/>
                <w:bCs w:val="1"/>
                <w:color w:val="auto"/>
                <w:w w:val="96"/>
              </w:rPr>
              <w:t>Current portion</w:t>
            </w:r>
          </w:p>
        </w:tc>
        <w:tc>
          <w:tcPr>
            <w:tcW w:w="11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7"/>
              </w:rPr>
              <w:t>Long-term</w:t>
            </w:r>
          </w:p>
        </w:tc>
      </w:tr>
      <w:tr>
        <w:trPr>
          <w:trHeight w:val="135"/>
        </w:trPr>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ind w:left="200"/>
              <w:spacing w:after="0" w:line="135" w:lineRule="exact"/>
              <w:rPr>
                <w:sz w:val="20"/>
                <w:szCs w:val="20"/>
                <w:color w:val="auto"/>
              </w:rPr>
            </w:pPr>
            <w:r>
              <w:rPr>
                <w:rFonts w:ascii="Times New Roman" w:cs="Times New Roman" w:eastAsia="Times New Roman" w:hAnsi="Times New Roman"/>
                <w:sz w:val="12"/>
                <w:szCs w:val="12"/>
                <w:b w:val="1"/>
                <w:bCs w:val="1"/>
                <w:color w:val="auto"/>
              </w:rPr>
              <w:t>Maturity/</w:t>
            </w:r>
          </w:p>
        </w:tc>
        <w:tc>
          <w:tcPr>
            <w:tcW w:w="8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Outstanding</w:t>
            </w:r>
          </w:p>
        </w:tc>
        <w:tc>
          <w:tcPr>
            <w:tcW w:w="11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according to</w:t>
            </w:r>
          </w:p>
        </w:tc>
        <w:tc>
          <w:tcPr>
            <w:tcW w:w="12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portion according</w:t>
            </w:r>
          </w:p>
        </w:tc>
        <w:tc>
          <w:tcPr>
            <w:tcW w:w="8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6"/>
              </w:rPr>
              <w:t>Outstanding</w:t>
            </w:r>
          </w:p>
        </w:tc>
        <w:tc>
          <w:tcPr>
            <w:tcW w:w="11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7"/>
              </w:rPr>
              <w:t>according to</w:t>
            </w: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portion according</w:t>
            </w:r>
          </w:p>
        </w:tc>
      </w:tr>
      <w:tr>
        <w:trPr>
          <w:trHeight w:val="145"/>
        </w:trPr>
        <w:tc>
          <w:tcPr>
            <w:tcW w:w="64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Ref.</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Date of borrowing</w:t>
            </w:r>
          </w:p>
        </w:tc>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Lender/Banks</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Repayment date</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loan</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repayment schedule</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to repayment schedule</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loan</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repayment schedule</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to repayment schedule</w:t>
            </w:r>
          </w:p>
        </w:tc>
      </w:tr>
      <w:tr>
        <w:trPr>
          <w:trHeight w:val="120"/>
        </w:trPr>
        <w:tc>
          <w:tcPr>
            <w:tcW w:w="5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Bank of</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spacing w:after="0"/>
              <w:rPr>
                <w:sz w:val="10"/>
                <w:szCs w:val="10"/>
                <w:color w:val="auto"/>
              </w:rPr>
            </w:pPr>
          </w:p>
        </w:tc>
      </w:tr>
      <w:tr>
        <w:trPr>
          <w:trHeight w:val="143"/>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June 15, 2022</w:t>
            </w:r>
          </w:p>
        </w:tc>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Shanghai</w:t>
            </w: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June 15, 2025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80,340</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80,340</w:t>
            </w:r>
          </w:p>
        </w:tc>
        <w:tc>
          <w:tcPr>
            <w:tcW w:w="1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27"/>
        </w:trPr>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spacing w:after="0" w:line="127" w:lineRule="exact"/>
              <w:rPr>
                <w:sz w:val="20"/>
                <w:szCs w:val="20"/>
                <w:color w:val="auto"/>
              </w:rPr>
            </w:pPr>
            <w:r>
              <w:rPr>
                <w:rFonts w:ascii="Times New Roman" w:cs="Times New Roman" w:eastAsia="Times New Roman" w:hAnsi="Times New Roman"/>
                <w:sz w:val="12"/>
                <w:szCs w:val="12"/>
                <w:color w:val="auto"/>
              </w:rPr>
              <w:t>China</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35"/>
        </w:trPr>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Construction</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43"/>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2"/>
                <w:szCs w:val="12"/>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July 25, 2022</w:t>
            </w:r>
          </w:p>
        </w:tc>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Bank</w:t>
            </w:r>
          </w:p>
        </w:tc>
        <w:tc>
          <w:tcPr>
            <w:tcW w:w="1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July 25, 2029</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6,460</w:t>
            </w: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1,360</w:t>
            </w:r>
          </w:p>
        </w:tc>
        <w:tc>
          <w:tcPr>
            <w:tcW w:w="1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5,100</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5,780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1,700</w:t>
            </w:r>
          </w:p>
        </w:tc>
        <w:tc>
          <w:tcPr>
            <w:tcW w:w="1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4,080</w:t>
            </w:r>
          </w:p>
        </w:tc>
      </w:tr>
      <w:tr>
        <w:trPr>
          <w:trHeight w:val="127"/>
        </w:trPr>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auto"/>
              </w:rPr>
              <w:t>Industrial and</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35"/>
        </w:trPr>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Commercial</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43"/>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July 26, 2022</w:t>
            </w:r>
          </w:p>
        </w:tc>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Bank of China</w:t>
            </w: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July 25, 2029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9,690</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2,040</w:t>
            </w: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7,650</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8,670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2,550</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6,120</w:t>
            </w:r>
          </w:p>
        </w:tc>
      </w:tr>
      <w:tr>
        <w:trPr>
          <w:trHeight w:val="127"/>
        </w:trPr>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spacing w:after="0" w:line="127" w:lineRule="exact"/>
              <w:rPr>
                <w:sz w:val="20"/>
                <w:szCs w:val="20"/>
                <w:color w:val="auto"/>
              </w:rPr>
            </w:pPr>
            <w:r>
              <w:rPr>
                <w:rFonts w:ascii="Times New Roman" w:cs="Times New Roman" w:eastAsia="Times New Roman" w:hAnsi="Times New Roman"/>
                <w:sz w:val="12"/>
                <w:szCs w:val="12"/>
                <w:color w:val="auto"/>
              </w:rPr>
              <w:t>China</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35"/>
        </w:trPr>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Construction</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43"/>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2"/>
                <w:szCs w:val="12"/>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August 24, 2022</w:t>
            </w:r>
          </w:p>
        </w:tc>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Bank</w:t>
            </w:r>
          </w:p>
        </w:tc>
        <w:tc>
          <w:tcPr>
            <w:tcW w:w="1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July 25, 2029</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18,810</w:t>
            </w: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3,960</w:t>
            </w:r>
          </w:p>
        </w:tc>
        <w:tc>
          <w:tcPr>
            <w:tcW w:w="1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14,850</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16,830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4,950</w:t>
            </w:r>
          </w:p>
        </w:tc>
        <w:tc>
          <w:tcPr>
            <w:tcW w:w="1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11,880</w:t>
            </w:r>
          </w:p>
        </w:tc>
      </w:tr>
      <w:tr>
        <w:trPr>
          <w:trHeight w:val="127"/>
        </w:trPr>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auto"/>
              </w:rPr>
              <w:t>China</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35"/>
        </w:trPr>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Construction</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43"/>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January 19,2023</w:t>
            </w:r>
          </w:p>
        </w:tc>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Bank</w:t>
            </w: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July 25, 2029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297,730</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62,680</w:t>
            </w: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235,050</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266,390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78,350</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188,040</w:t>
            </w:r>
          </w:p>
        </w:tc>
      </w:tr>
      <w:tr>
        <w:trPr>
          <w:trHeight w:val="127"/>
        </w:trPr>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spacing w:after="0" w:line="127" w:lineRule="exact"/>
              <w:rPr>
                <w:sz w:val="20"/>
                <w:szCs w:val="20"/>
                <w:color w:val="auto"/>
              </w:rPr>
            </w:pPr>
            <w:r>
              <w:rPr>
                <w:rFonts w:ascii="Times New Roman" w:cs="Times New Roman" w:eastAsia="Times New Roman" w:hAnsi="Times New Roman"/>
                <w:sz w:val="12"/>
                <w:szCs w:val="12"/>
                <w:color w:val="auto"/>
              </w:rPr>
              <w:t>Industrial and</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35"/>
        </w:trPr>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Commercial</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43"/>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tcPr>
          <w:p>
            <w:pPr>
              <w:spacing w:after="0"/>
              <w:rPr>
                <w:sz w:val="12"/>
                <w:szCs w:val="12"/>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January 20,2023</w:t>
            </w:r>
          </w:p>
        </w:tc>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Bank of China</w:t>
            </w:r>
          </w:p>
        </w:tc>
        <w:tc>
          <w:tcPr>
            <w:tcW w:w="1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July 25, 2029</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474,810</w:t>
            </w: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99,960</w:t>
            </w:r>
          </w:p>
        </w:tc>
        <w:tc>
          <w:tcPr>
            <w:tcW w:w="1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374,850</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424,830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124,950</w:t>
            </w:r>
          </w:p>
        </w:tc>
        <w:tc>
          <w:tcPr>
            <w:tcW w:w="1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299,880</w:t>
            </w:r>
          </w:p>
        </w:tc>
      </w:tr>
      <w:tr>
        <w:trPr>
          <w:trHeight w:val="127"/>
        </w:trPr>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auto"/>
              </w:rPr>
              <w:t>Bank of</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43"/>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September 18,2023</w:t>
            </w:r>
          </w:p>
        </w:tc>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Shanghai</w:t>
            </w: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September 18,2026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213,040</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108,600</w:t>
            </w: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104,440</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158,740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108,600</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50,140</w:t>
            </w:r>
          </w:p>
        </w:tc>
      </w:tr>
      <w:tr>
        <w:trPr>
          <w:trHeight w:val="127"/>
        </w:trPr>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spacing w:after="0" w:line="127" w:lineRule="exact"/>
              <w:rPr>
                <w:sz w:val="20"/>
                <w:szCs w:val="20"/>
                <w:color w:val="auto"/>
              </w:rPr>
            </w:pPr>
            <w:r>
              <w:rPr>
                <w:rFonts w:ascii="Times New Roman" w:cs="Times New Roman" w:eastAsia="Times New Roman" w:hAnsi="Times New Roman"/>
                <w:sz w:val="12"/>
                <w:szCs w:val="12"/>
                <w:color w:val="auto"/>
              </w:rPr>
              <w:t>China</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35"/>
        </w:trPr>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Construction</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43"/>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tcPr>
          <w:p>
            <w:pPr>
              <w:spacing w:after="0"/>
              <w:rPr>
                <w:sz w:val="12"/>
                <w:szCs w:val="12"/>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March 18,2024</w:t>
            </w:r>
          </w:p>
        </w:tc>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Bank</w:t>
            </w:r>
          </w:p>
        </w:tc>
        <w:tc>
          <w:tcPr>
            <w:tcW w:w="1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January 15,2031</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637,010</w:t>
            </w: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29,900</w:t>
            </w:r>
          </w:p>
        </w:tc>
        <w:tc>
          <w:tcPr>
            <w:tcW w:w="1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607,110</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27"/>
        </w:trPr>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auto"/>
              </w:rPr>
              <w:t>Industrial and</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35"/>
        </w:trPr>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Commercial</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43"/>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9</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March 18,2024</w:t>
            </w:r>
          </w:p>
        </w:tc>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Bank of China</w:t>
            </w: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January 15,2031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497,660</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23,360</w:t>
            </w: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474,300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27"/>
        </w:trPr>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spacing w:after="0" w:line="127" w:lineRule="exact"/>
              <w:rPr>
                <w:sz w:val="20"/>
                <w:szCs w:val="20"/>
                <w:color w:val="auto"/>
              </w:rPr>
            </w:pPr>
            <w:r>
              <w:rPr>
                <w:rFonts w:ascii="Times New Roman" w:cs="Times New Roman" w:eastAsia="Times New Roman" w:hAnsi="Times New Roman"/>
                <w:sz w:val="12"/>
                <w:szCs w:val="12"/>
                <w:color w:val="auto"/>
              </w:rPr>
              <w:t>China</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35"/>
        </w:trPr>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Minsheng</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43"/>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10</w:t>
            </w:r>
          </w:p>
        </w:tc>
        <w:tc>
          <w:tcPr>
            <w:tcW w:w="120" w:type="dxa"/>
            <w:vAlign w:val="bottom"/>
          </w:tcPr>
          <w:p>
            <w:pPr>
              <w:spacing w:after="0"/>
              <w:rPr>
                <w:sz w:val="12"/>
                <w:szCs w:val="12"/>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March 18,2024</w:t>
            </w:r>
          </w:p>
        </w:tc>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Bank</w:t>
            </w:r>
          </w:p>
        </w:tc>
        <w:tc>
          <w:tcPr>
            <w:tcW w:w="1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January 15,2031</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497,670</w:t>
            </w: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23,380</w:t>
            </w:r>
          </w:p>
        </w:tc>
        <w:tc>
          <w:tcPr>
            <w:tcW w:w="1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474,290</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27"/>
        </w:trPr>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auto"/>
              </w:rPr>
              <w:t>Agricultural</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43"/>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March 18,2024</w:t>
            </w:r>
          </w:p>
        </w:tc>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Bank of China</w:t>
            </w: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January 15,2031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497,660</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23,360</w:t>
            </w: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474,300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27"/>
        </w:trPr>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spacing w:after="0" w:line="127" w:lineRule="exact"/>
              <w:rPr>
                <w:sz w:val="20"/>
                <w:szCs w:val="20"/>
                <w:color w:val="auto"/>
              </w:rPr>
            </w:pPr>
            <w:r>
              <w:rPr>
                <w:rFonts w:ascii="Times New Roman" w:cs="Times New Roman" w:eastAsia="Times New Roman" w:hAnsi="Times New Roman"/>
                <w:sz w:val="12"/>
                <w:szCs w:val="12"/>
                <w:color w:val="auto"/>
              </w:rPr>
              <w:t>Bank of</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43"/>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12</w:t>
            </w:r>
          </w:p>
        </w:tc>
        <w:tc>
          <w:tcPr>
            <w:tcW w:w="120" w:type="dxa"/>
            <w:vAlign w:val="bottom"/>
          </w:tcPr>
          <w:p>
            <w:pPr>
              <w:spacing w:after="0"/>
              <w:rPr>
                <w:sz w:val="12"/>
                <w:szCs w:val="12"/>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April 12,2024</w:t>
            </w:r>
          </w:p>
        </w:tc>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Shanghai</w:t>
            </w:r>
          </w:p>
        </w:tc>
        <w:tc>
          <w:tcPr>
            <w:tcW w:w="1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January 11, 2027</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145,550</w:t>
            </w: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72,600</w:t>
            </w:r>
          </w:p>
        </w:tc>
        <w:tc>
          <w:tcPr>
            <w:tcW w:w="1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72,950</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109,250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72,600</w:t>
            </w:r>
          </w:p>
        </w:tc>
        <w:tc>
          <w:tcPr>
            <w:tcW w:w="1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36,650</w:t>
            </w:r>
          </w:p>
        </w:tc>
      </w:tr>
      <w:tr>
        <w:trPr>
          <w:trHeight w:val="127"/>
        </w:trPr>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auto"/>
              </w:rPr>
              <w:t>Bank of</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43"/>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13</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May 15,2024</w:t>
            </w:r>
          </w:p>
        </w:tc>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Shanghai</w:t>
            </w: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February15,2027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228,240</w:t>
            </w:r>
          </w:p>
        </w:tc>
        <w:tc>
          <w:tcPr>
            <w:tcW w:w="1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107,640</w:t>
            </w:r>
          </w:p>
        </w:tc>
        <w:tc>
          <w:tcPr>
            <w:tcW w:w="140" w:type="dxa"/>
            <w:vAlign w:val="bottom"/>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120,600</w:t>
            </w:r>
          </w:p>
        </w:tc>
        <w:tc>
          <w:tcPr>
            <w:tcW w:w="12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174,420</w:t>
            </w:r>
          </w:p>
        </w:tc>
        <w:tc>
          <w:tcPr>
            <w:tcW w:w="120" w:type="dxa"/>
            <w:vAlign w:val="bottom"/>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107,640</w:t>
            </w:r>
          </w:p>
        </w:tc>
        <w:tc>
          <w:tcPr>
            <w:tcW w:w="120" w:type="dxa"/>
            <w:vAlign w:val="bottom"/>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66,780</w:t>
            </w:r>
          </w:p>
        </w:tc>
      </w:tr>
      <w:tr>
        <w:trPr>
          <w:trHeight w:val="129"/>
        </w:trPr>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Total</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3,604,670</w:t>
            </w:r>
          </w:p>
        </w:tc>
        <w:tc>
          <w:tcPr>
            <w:tcW w:w="120" w:type="dxa"/>
            <w:vAlign w:val="bottom"/>
          </w:tcPr>
          <w:p>
            <w:pPr>
              <w:spacing w:after="0"/>
              <w:rPr>
                <w:sz w:val="11"/>
                <w:szCs w:val="11"/>
                <w:color w:val="auto"/>
              </w:rPr>
            </w:pPr>
          </w:p>
        </w:tc>
        <w:tc>
          <w:tcPr>
            <w:tcW w:w="10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639,180</w:t>
            </w:r>
          </w:p>
        </w:tc>
        <w:tc>
          <w:tcPr>
            <w:tcW w:w="140" w:type="dxa"/>
            <w:vAlign w:val="bottom"/>
          </w:tcPr>
          <w:p>
            <w:pPr>
              <w:spacing w:after="0"/>
              <w:rPr>
                <w:sz w:val="11"/>
                <w:szCs w:val="11"/>
                <w:color w:val="auto"/>
              </w:rPr>
            </w:pPr>
          </w:p>
        </w:tc>
        <w:tc>
          <w:tcPr>
            <w:tcW w:w="1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2,965,490</w:t>
            </w:r>
          </w:p>
        </w:tc>
        <w:tc>
          <w:tcPr>
            <w:tcW w:w="120" w:type="dxa"/>
            <w:vAlign w:val="bottom"/>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1,164,910</w:t>
            </w:r>
          </w:p>
        </w:tc>
        <w:tc>
          <w:tcPr>
            <w:tcW w:w="120" w:type="dxa"/>
            <w:vAlign w:val="bottom"/>
          </w:tcPr>
          <w:p>
            <w:pPr>
              <w:spacing w:after="0"/>
              <w:rPr>
                <w:sz w:val="11"/>
                <w:szCs w:val="11"/>
                <w:color w:val="auto"/>
              </w:rPr>
            </w:pPr>
          </w:p>
        </w:tc>
        <w:tc>
          <w:tcPr>
            <w:tcW w:w="10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501,340</w:t>
            </w:r>
          </w:p>
        </w:tc>
        <w:tc>
          <w:tcPr>
            <w:tcW w:w="120" w:type="dxa"/>
            <w:vAlign w:val="bottom"/>
          </w:tcPr>
          <w:p>
            <w:pPr>
              <w:spacing w:after="0"/>
              <w:rPr>
                <w:sz w:val="11"/>
                <w:szCs w:val="11"/>
                <w:color w:val="auto"/>
              </w:rPr>
            </w:pPr>
          </w:p>
        </w:tc>
        <w:tc>
          <w:tcPr>
            <w:tcW w:w="11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663,570</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long-term borrowings contain covenants including, among others, limitation on liens, consolidation, merger and sale of the Group’s assets and certain financial measures which include liabilities to assets ratio. The Group was in compliance with all of the loan covenants as of December 31, 2024 and June 30, 2025.</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2024, the Group had bank credit quotas with aggregated amount of RMB73,772,832 which consists of non-collateral based bank credit quotas of RMB15,441,290 and collateral-based bank credit quotas of RMB58,331,542. Out of the total non-collateral bank credit quotas, RMB7,104,500, RMB2,537,005 and RMB330,000 were used for bank borrowing, issuance of letters of guarantee and bank’s acceptance notes, respectively. Out of the total collateral-based bank credit quotas, RMB2,058,607 and RMB16,658,660 were used for issuance of letters of guarantee and bank’s acceptance notes, respectively.</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June 30, 2025, the Group had bank credit quotas with aggregated amount of RMB66,912,199 which consists of non-collateral based bank credit quotas of RMB10,029,055 and collateral-based bank credit quotas of RMB56,883,144. Out of the total non-collateral bank credit quotas, RMB4,151,500, RMB2,200,050 and RMB584,000 were used for bank borrowing, issuance of letters of guarantee and banks’ acceptance notes, respectively. Out of the total collateral-based bank credit quotas, RMB2,086,389 and RMB16,236,850 were used for issuance of letters of guarantee and bank’s acceptance notes, respectively.</w:t>
      </w:r>
    </w:p>
    <w:p>
      <w:pPr>
        <w:spacing w:after="0" w:line="179"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Non-Current Liabilities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non-current liabilities consist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7540" w:type="dxa"/>
            <w:vAlign w:val="bottom"/>
          </w:tcPr>
          <w:p>
            <w:pPr>
              <w:spacing w:after="0"/>
              <w:rPr>
                <w:sz w:val="15"/>
                <w:szCs w:val="15"/>
                <w:color w:val="auto"/>
              </w:rPr>
            </w:pPr>
          </w:p>
        </w:tc>
        <w:tc>
          <w:tcPr>
            <w:tcW w:w="10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42"/>
        </w:trPr>
        <w:tc>
          <w:tcPr>
            <w:tcW w:w="7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(Unaudited)</w:t>
            </w:r>
          </w:p>
        </w:tc>
      </w:tr>
      <w:tr>
        <w:trPr>
          <w:trHeight w:val="216"/>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Warranty liabilities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4,068,079</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4,281,837</w:t>
            </w:r>
          </w:p>
        </w:tc>
      </w:tr>
      <w:tr>
        <w:trPr>
          <w:trHeight w:val="216"/>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3,045,846</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2,847,380</w:t>
            </w:r>
          </w:p>
        </w:tc>
      </w:tr>
      <w:tr>
        <w:trPr>
          <w:trHeight w:val="216"/>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1,709,800</w:t>
            </w:r>
          </w:p>
        </w:tc>
      </w:tr>
      <w:tr>
        <w:trPr>
          <w:trHeight w:val="216"/>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Payable to BaaS users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779,695</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854,015</w:t>
            </w:r>
          </w:p>
        </w:tc>
      </w:tr>
      <w:tr>
        <w:trPr>
          <w:trHeight w:val="216"/>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government grants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391,116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429,882</w:t>
            </w:r>
          </w:p>
        </w:tc>
      </w:tr>
      <w:tr>
        <w:trPr>
          <w:trHeight w:val="216"/>
        </w:trPr>
        <w:tc>
          <w:tcPr>
            <w:tcW w:w="7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308,715</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316,139</w:t>
            </w:r>
          </w:p>
        </w:tc>
      </w:tr>
      <w:tr>
        <w:trPr>
          <w:trHeight w:val="209"/>
        </w:trPr>
        <w:tc>
          <w:tcPr>
            <w:tcW w:w="7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8,628,596</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10,439,053</w:t>
            </w: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Deferred government grants mainly consist of specific government subsidies for purchase of land use right and buildings, charging and battery swap equipment, which is amortized using the straight-line method as a deduction of the amortization or depreciation expense of the relevant assets over their remaining estimated useful life.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Group has entered into various non-cancellable operating and finance lease agreements for certain offices, warehouses, retail and service locations, equipment and vehicles worldwide. The Group determines if an arrangement is a lease, or contains a lease, at inception and record the leases in the financial statements upon lease commencement, which is the date when the underlying asset is made available for use by the lessor.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balances for the operating and finance leases where the Group is the lessee are presented as follows within the consolidated balance sheet: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7500" w:type="dxa"/>
            <w:vAlign w:val="bottom"/>
          </w:tcPr>
          <w:p>
            <w:pPr>
              <w:spacing w:after="0"/>
              <w:rPr>
                <w:sz w:val="15"/>
                <w:szCs w:val="15"/>
                <w:color w:val="auto"/>
              </w:rPr>
            </w:pPr>
          </w:p>
        </w:tc>
        <w:tc>
          <w:tcPr>
            <w:tcW w:w="11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42"/>
        </w:trPr>
        <w:tc>
          <w:tcPr>
            <w:tcW w:w="7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Right-of-use assets - operating lease</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12,797,158</w:t>
            </w:r>
          </w:p>
        </w:tc>
        <w:tc>
          <w:tcPr>
            <w:tcW w:w="2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12,958,244</w:t>
            </w:r>
          </w:p>
        </w:tc>
        <w:tc>
          <w:tcPr>
            <w:tcW w:w="0" w:type="dxa"/>
            <w:vAlign w:val="bottom"/>
          </w:tcPr>
          <w:p>
            <w:pPr>
              <w:spacing w:after="0"/>
              <w:rPr>
                <w:sz w:val="1"/>
                <w:szCs w:val="1"/>
                <w:color w:val="auto"/>
              </w:rPr>
            </w:pPr>
          </w:p>
        </w:tc>
      </w:tr>
      <w:tr>
        <w:trPr>
          <w:trHeight w:val="197"/>
        </w:trPr>
        <w:tc>
          <w:tcPr>
            <w:tcW w:w="7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1,945,987</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2,644,228</w:t>
            </w:r>
          </w:p>
        </w:tc>
        <w:tc>
          <w:tcPr>
            <w:tcW w:w="0" w:type="dxa"/>
            <w:vAlign w:val="bottom"/>
          </w:tcPr>
          <w:p>
            <w:pPr>
              <w:spacing w:after="0"/>
              <w:rPr>
                <w:sz w:val="1"/>
                <w:szCs w:val="1"/>
                <w:color w:val="auto"/>
              </w:rPr>
            </w:pPr>
          </w:p>
        </w:tc>
      </w:tr>
      <w:tr>
        <w:trPr>
          <w:trHeight w:val="216"/>
        </w:trPr>
        <w:tc>
          <w:tcPr>
            <w:tcW w:w="7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11,260,735</w:t>
            </w:r>
          </w:p>
        </w:tc>
        <w:tc>
          <w:tcPr>
            <w:tcW w:w="2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11,110,807</w:t>
            </w:r>
          </w:p>
        </w:tc>
        <w:tc>
          <w:tcPr>
            <w:tcW w:w="0" w:type="dxa"/>
            <w:vAlign w:val="bottom"/>
          </w:tcPr>
          <w:p>
            <w:pPr>
              <w:spacing w:after="0"/>
              <w:rPr>
                <w:sz w:val="1"/>
                <w:szCs w:val="1"/>
                <w:color w:val="auto"/>
              </w:rPr>
            </w:pPr>
          </w:p>
        </w:tc>
      </w:tr>
      <w:tr>
        <w:trPr>
          <w:trHeight w:val="209"/>
        </w:trPr>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13,206,722</w:t>
            </w: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13,755,035</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0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 finance lease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63,635</w:t>
            </w: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2,518,443</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00" w:type="dxa"/>
            <w:vAlign w:val="bottom"/>
            <w:vMerge w:val="continue"/>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13,498</w:t>
            </w:r>
          </w:p>
        </w:tc>
        <w:tc>
          <w:tcPr>
            <w:tcW w:w="20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155,380</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35,145</w:t>
            </w:r>
          </w:p>
        </w:tc>
        <w:tc>
          <w:tcPr>
            <w:tcW w:w="2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1,709,800</w:t>
            </w:r>
          </w:p>
        </w:tc>
        <w:tc>
          <w:tcPr>
            <w:tcW w:w="0" w:type="dxa"/>
            <w:vAlign w:val="bottom"/>
          </w:tcPr>
          <w:p>
            <w:pPr>
              <w:spacing w:after="0"/>
              <w:rPr>
                <w:sz w:val="1"/>
                <w:szCs w:val="1"/>
                <w:color w:val="auto"/>
              </w:rPr>
            </w:pPr>
          </w:p>
        </w:tc>
      </w:tr>
      <w:tr>
        <w:trPr>
          <w:trHeight w:val="21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48,643</w:t>
            </w:r>
          </w:p>
        </w:tc>
        <w:tc>
          <w:tcPr>
            <w:tcW w:w="2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1,865,180</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leases where we are the lessee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Borders>
              <w:bottom w:val="single" w:sz="8" w:color="auto"/>
            </w:tcBorders>
            <w:gridSpan w:val="5"/>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100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100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rPr>
              <w:t>(Unaudited)</w:t>
            </w:r>
          </w:p>
        </w:tc>
      </w:tr>
      <w:tr>
        <w:trPr>
          <w:trHeight w:val="216"/>
        </w:trPr>
        <w:tc>
          <w:tcPr>
            <w:tcW w:w="100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1,089,512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888,543</w:t>
            </w:r>
          </w:p>
        </w:tc>
      </w:tr>
      <w:tr>
        <w:trPr>
          <w:trHeight w:val="216"/>
        </w:trPr>
        <w:tc>
          <w:tcPr>
            <w:tcW w:w="100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outflows from finance leases (interest payments)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r>
      <w:tr>
        <w:trPr>
          <w:trHeight w:val="216"/>
        </w:trPr>
        <w:tc>
          <w:tcPr>
            <w:tcW w:w="100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cash outflows from finance leases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13,653</w:t>
            </w:r>
          </w:p>
        </w:tc>
      </w:tr>
      <w:tr>
        <w:trPr>
          <w:trHeight w:val="234"/>
        </w:trPr>
        <w:tc>
          <w:tcPr>
            <w:tcW w:w="100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1,201,985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2,973,052</w:t>
            </w:r>
          </w:p>
        </w:tc>
      </w:tr>
      <w:tr>
        <w:trPr>
          <w:trHeight w:val="427"/>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14. Revenue</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32"/>
        </w:trPr>
        <w:tc>
          <w:tcPr>
            <w:tcW w:w="6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Revenue by source consists of the following:</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100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100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100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1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color w:val="auto"/>
              </w:rPr>
              <w:t>(Unaudited)</w:t>
            </w:r>
          </w:p>
        </w:tc>
      </w:tr>
      <w:tr>
        <w:trPr>
          <w:trHeight w:val="216"/>
        </w:trPr>
        <w:tc>
          <w:tcPr>
            <w:tcW w:w="100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sales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24,060,941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26,075,419</w:t>
            </w:r>
          </w:p>
        </w:tc>
      </w:tr>
      <w:tr>
        <w:trPr>
          <w:trHeight w:val="216"/>
        </w:trPr>
        <w:tc>
          <w:tcPr>
            <w:tcW w:w="100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Parts, accessories and after-sales vehicle services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1,530,276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1,875,522</w:t>
            </w:r>
          </w:p>
        </w:tc>
      </w:tr>
      <w:tr>
        <w:trPr>
          <w:trHeight w:val="216"/>
        </w:trPr>
        <w:tc>
          <w:tcPr>
            <w:tcW w:w="100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of power solution</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917,666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1,198,506</w:t>
            </w:r>
          </w:p>
        </w:tc>
      </w:tr>
      <w:tr>
        <w:trPr>
          <w:trHeight w:val="216"/>
        </w:trPr>
        <w:tc>
          <w:tcPr>
            <w:tcW w:w="1000" w:type="dxa"/>
            <w:vAlign w:val="bottom"/>
          </w:tcPr>
          <w:p>
            <w:pPr>
              <w:spacing w:after="0"/>
              <w:rPr>
                <w:sz w:val="18"/>
                <w:szCs w:val="18"/>
                <w:color w:val="auto"/>
              </w:rPr>
            </w:pPr>
          </w:p>
        </w:tc>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845,721</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1,893,947</w:t>
            </w:r>
          </w:p>
        </w:tc>
      </w:tr>
      <w:tr>
        <w:trPr>
          <w:trHeight w:val="210"/>
        </w:trPr>
        <w:tc>
          <w:tcPr>
            <w:tcW w:w="1000" w:type="dxa"/>
            <w:vAlign w:val="bottom"/>
          </w:tcPr>
          <w:p>
            <w:pPr>
              <w:spacing w:after="0"/>
              <w:rPr>
                <w:sz w:val="18"/>
                <w:szCs w:val="18"/>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27,354,604</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31,043,394</w:t>
            </w:r>
          </w:p>
        </w:tc>
      </w:tr>
      <w:tr>
        <w:trPr>
          <w:trHeight w:val="20"/>
        </w:trPr>
        <w:tc>
          <w:tcPr>
            <w:tcW w:w="10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six months ended June 30, 2024 and 2025, revenue recognised at a point in time was RMB25,873,390 and RMB28,808,431, respectively, and revenue recognised over time was RMB1,481,213 and RMB2,234,963, respectively.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3"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Revenue/Income</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shows a reconciliation in the current reporting period related to carried-forward deferred revenue/income.</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1920" w:type="dxa"/>
            <w:vAlign w:val="bottom"/>
            <w:tcBorders>
              <w:bottom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6020" w:type="dxa"/>
            <w:vAlign w:val="bottom"/>
          </w:tcPr>
          <w:p>
            <w:pPr>
              <w:spacing w:after="0"/>
              <w:rPr>
                <w:sz w:val="12"/>
                <w:szCs w:val="12"/>
                <w:color w:val="auto"/>
              </w:rPr>
            </w:pPr>
          </w:p>
        </w:tc>
        <w:tc>
          <w:tcPr>
            <w:tcW w:w="84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92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60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160" w:type="dxa"/>
            <w:vAlign w:val="bottom"/>
          </w:tcPr>
          <w:p>
            <w:pPr>
              <w:spacing w:after="0"/>
              <w:rPr>
                <w:sz w:val="12"/>
                <w:szCs w:val="12"/>
                <w:color w:val="auto"/>
              </w:rPr>
            </w:pPr>
          </w:p>
        </w:tc>
        <w:tc>
          <w:tcPr>
            <w:tcW w:w="920" w:type="dxa"/>
            <w:vAlign w:val="bottom"/>
          </w:tcPr>
          <w:p>
            <w:pPr>
              <w:jc w:val="right"/>
              <w:ind w:right="35"/>
              <w:spacing w:after="0" w:line="142" w:lineRule="exact"/>
              <w:rPr>
                <w:sz w:val="20"/>
                <w:szCs w:val="20"/>
                <w:color w:val="auto"/>
              </w:rPr>
            </w:pPr>
            <w:r>
              <w:rPr>
                <w:rFonts w:ascii="Times New Roman" w:cs="Times New Roman" w:eastAsia="Times New Roman" w:hAnsi="Times New Roman"/>
                <w:sz w:val="14"/>
                <w:szCs w:val="14"/>
                <w:color w:val="auto"/>
              </w:rPr>
              <w:t>(Unaudited)</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revenue/income–beginning of the period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4,996,043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6,202,276</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1,444,029</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1,099,789</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(870,260)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(1,199,072)</w:t>
            </w:r>
          </w:p>
        </w:tc>
      </w:tr>
      <w:tr>
        <w:trPr>
          <w:trHeight w:val="216"/>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Effects on foreign exchange adjustment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5,376</w:t>
            </w:r>
          </w:p>
        </w:tc>
      </w:tr>
      <w:tr>
        <w:trPr>
          <w:trHeight w:val="209"/>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revenue/income–end of the period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5,569,890</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6,108,369</w:t>
            </w:r>
          </w:p>
        </w:tc>
      </w:tr>
      <w:tr>
        <w:trPr>
          <w:trHeight w:val="20"/>
        </w:trPr>
        <w:tc>
          <w:tcPr>
            <w:tcW w:w="6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Deferred revenue mainly includes the transaction price allocated to the performance obligations that are unsatisfied, or partially satisfied, which mainly arises from the vehicle connectivity services, the extended warranty services, battery swapping services as well as the points offered to customers, with unrecognized deferred revenue balance of RMB6,202,276 and RMB6,108,369 as of December 31, 2024 and June 30, 2025, respectively.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Group expects that approximately 53% of the transaction price allocated to unsatisfied performance obligation as at June 30, 2025 will be recognized as revenue during the period from July 1, 2025 to June 30, 2026. The remaining 47% will be recognized during the period from July 1, 2026 to June 30, 2040.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Manufacturing in collaboration with JAC</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Since 2016, the Group had been partnering with Jianghuai Automobile Group Ltd., or JAC, a major state-owned automobile manufacturer in China, for the joint manufacturing of the Group’s vehicles. Pursuant to a manufacturing cooperation agreement, the Group paid certain production fees to JAC. In December 2023, the Group and JAC entered into a series of asset transfer agreements, where the Group agreed to purchase and JAC agreed to sell certain production facilities with a total consideration of RMB3.6 billion, inclusive of tax. Following above transaction, the Group ceased manufacturing cooperation with JAC since early 2024 and the Group commenced independent manufacturing of all current vehicles models.Refer to Note 17 to the annual consolidated financial statement contained in the Company’s Annual Report on Form 20-F for the year ended December 31, 2024.</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and 2025, the aggregate fees to JAC under the above collaboration arrangement were RMB166,475 and nil, respectively, and were included in cost of sales.</w:t>
      </w:r>
    </w:p>
    <w:p>
      <w:pPr>
        <w:spacing w:after="0" w:line="158"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Research and development expenses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6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8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0" w:type="dxa"/>
            <w:vAlign w:val="bottom"/>
            <w:tcBorders>
              <w:bottom w:val="single" w:sz="8" w:color="auto"/>
            </w:tcBorders>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22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38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0" w:type="dxa"/>
            <w:vAlign w:val="bottom"/>
          </w:tcPr>
          <w:p>
            <w:pPr>
              <w:jc w:val="right"/>
              <w:ind w:right="164"/>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220" w:type="dxa"/>
            <w:vAlign w:val="bottom"/>
          </w:tcPr>
          <w:p>
            <w:pPr>
              <w:spacing w:after="0"/>
              <w:rPr>
                <w:sz w:val="12"/>
                <w:szCs w:val="12"/>
                <w:color w:val="auto"/>
              </w:rPr>
            </w:pPr>
          </w:p>
        </w:tc>
        <w:tc>
          <w:tcPr>
            <w:tcW w:w="122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color w:val="auto"/>
              </w:rPr>
              <w:t>(Unaudited)</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4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4,381,577</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4,460,650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Design and development expenses</w:t>
            </w:r>
          </w:p>
        </w:tc>
        <w:tc>
          <w:tcPr>
            <w:tcW w:w="4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889,129</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1,077,819</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4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511,915</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378,246</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Rental and related expenses</w:t>
            </w:r>
          </w:p>
        </w:tc>
        <w:tc>
          <w:tcPr>
            <w:tcW w:w="4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127,605</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130,076</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entertainment expenses</w:t>
            </w:r>
          </w:p>
        </w:tc>
        <w:tc>
          <w:tcPr>
            <w:tcW w:w="4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36,671</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34,746</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4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135,841</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106,898</w:t>
            </w:r>
          </w:p>
        </w:tc>
      </w:tr>
      <w:tr>
        <w:trPr>
          <w:trHeight w:val="210"/>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4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6,082,738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6,188,435</w:t>
            </w:r>
          </w:p>
        </w:tc>
      </w:tr>
      <w:tr>
        <w:trPr>
          <w:trHeight w:val="20"/>
        </w:trPr>
        <w:tc>
          <w:tcPr>
            <w:tcW w:w="38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858"/>
        </w:trPr>
        <w:tc>
          <w:tcPr>
            <w:tcW w:w="3840" w:type="dxa"/>
            <w:vAlign w:val="bottom"/>
          </w:tcPr>
          <w:p>
            <w:pPr>
              <w:spacing w:after="0"/>
              <w:rPr>
                <w:sz w:val="24"/>
                <w:szCs w:val="24"/>
                <w:color w:val="auto"/>
              </w:rPr>
            </w:pPr>
          </w:p>
        </w:tc>
        <w:tc>
          <w:tcPr>
            <w:tcW w:w="48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F-36</w:t>
            </w:r>
          </w:p>
        </w:tc>
        <w:tc>
          <w:tcPr>
            <w:tcW w:w="1220" w:type="dxa"/>
            <w:vAlign w:val="bottom"/>
          </w:tcPr>
          <w:p>
            <w:pPr>
              <w:spacing w:after="0"/>
              <w:rPr>
                <w:sz w:val="24"/>
                <w:szCs w:val="24"/>
                <w:color w:val="auto"/>
              </w:rPr>
            </w:pPr>
          </w:p>
        </w:tc>
      </w:tr>
      <w:tr>
        <w:trPr>
          <w:trHeight w:val="547"/>
        </w:trPr>
        <w:tc>
          <w:tcPr>
            <w:tcW w:w="38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3"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Selling, general and administrative expenses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80" w:type="dxa"/>
            <w:vAlign w:val="bottom"/>
          </w:tcPr>
          <w:p>
            <w:pPr>
              <w:spacing w:after="0"/>
              <w:rPr>
                <w:sz w:val="15"/>
                <w:szCs w:val="15"/>
                <w:color w:val="auto"/>
              </w:rPr>
            </w:pPr>
          </w:p>
        </w:tc>
        <w:tc>
          <w:tcPr>
            <w:tcW w:w="26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7280" w:type="dxa"/>
            <w:vAlign w:val="bottom"/>
          </w:tcPr>
          <w:p>
            <w:pPr>
              <w:spacing w:after="0"/>
              <w:rPr>
                <w:sz w:val="12"/>
                <w:szCs w:val="12"/>
                <w:color w:val="auto"/>
              </w:rPr>
            </w:pPr>
          </w:p>
        </w:tc>
        <w:tc>
          <w:tcPr>
            <w:tcW w:w="1200" w:type="dxa"/>
            <w:vAlign w:val="bottom"/>
            <w:tcBorders>
              <w:top w:val="single" w:sz="8" w:color="auto"/>
              <w:bottom w:val="single" w:sz="8" w:color="auto"/>
            </w:tcBorders>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r>
      <w:tr>
        <w:trPr>
          <w:trHeight w:val="142"/>
        </w:trPr>
        <w:tc>
          <w:tcPr>
            <w:tcW w:w="7280" w:type="dxa"/>
            <w:vAlign w:val="bottom"/>
          </w:tcPr>
          <w:p>
            <w:pPr>
              <w:spacing w:after="0"/>
              <w:rPr>
                <w:sz w:val="12"/>
                <w:szCs w:val="12"/>
                <w:color w:val="auto"/>
              </w:rPr>
            </w:pPr>
          </w:p>
        </w:tc>
        <w:tc>
          <w:tcPr>
            <w:tcW w:w="120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220" w:type="dxa"/>
            <w:vAlign w:val="bottom"/>
          </w:tcPr>
          <w:p>
            <w:pPr>
              <w:spacing w:after="0"/>
              <w:rPr>
                <w:sz w:val="12"/>
                <w:szCs w:val="12"/>
                <w:color w:val="auto"/>
              </w:rPr>
            </w:pPr>
          </w:p>
        </w:tc>
        <w:tc>
          <w:tcPr>
            <w:tcW w:w="122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20" w:type="dxa"/>
            <w:vAlign w:val="bottom"/>
          </w:tcPr>
          <w:p>
            <w:pPr>
              <w:spacing w:after="0"/>
              <w:rPr>
                <w:sz w:val="12"/>
                <w:szCs w:val="12"/>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3,276,810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4,280,997</w:t>
            </w:r>
          </w:p>
        </w:tc>
        <w:tc>
          <w:tcPr>
            <w:tcW w:w="20" w:type="dxa"/>
            <w:vAlign w:val="bottom"/>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promotional expenses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1,193,240</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1,539,327</w:t>
            </w:r>
          </w:p>
        </w:tc>
        <w:tc>
          <w:tcPr>
            <w:tcW w:w="2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and related expenses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957,156</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1,140,318</w:t>
            </w:r>
          </w:p>
        </w:tc>
        <w:tc>
          <w:tcPr>
            <w:tcW w:w="20" w:type="dxa"/>
            <w:vAlign w:val="bottom"/>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411,045</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494,015</w:t>
            </w:r>
          </w:p>
        </w:tc>
        <w:tc>
          <w:tcPr>
            <w:tcW w:w="2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 consumable, office supply and other low value consumable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206,642</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261,114</w:t>
            </w:r>
          </w:p>
        </w:tc>
        <w:tc>
          <w:tcPr>
            <w:tcW w:w="20" w:type="dxa"/>
            <w:vAlign w:val="bottom"/>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188,591</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243,594</w:t>
            </w:r>
          </w:p>
        </w:tc>
        <w:tc>
          <w:tcPr>
            <w:tcW w:w="2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entertainment expenses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57,177</w:t>
            </w:r>
          </w:p>
        </w:tc>
        <w:tc>
          <w:tcPr>
            <w:tcW w:w="20" w:type="dxa"/>
            <w:vAlign w:val="bottom"/>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Expected credit losses</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(7,684)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(7,037)</w:t>
            </w:r>
          </w:p>
        </w:tc>
        <w:tc>
          <w:tcPr>
            <w:tcW w:w="2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468,756</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356,179</w:t>
            </w:r>
          </w:p>
        </w:tc>
        <w:tc>
          <w:tcPr>
            <w:tcW w:w="20" w:type="dxa"/>
            <w:vAlign w:val="bottom"/>
          </w:tcPr>
          <w:p>
            <w:pPr>
              <w:spacing w:after="0"/>
              <w:rPr>
                <w:sz w:val="18"/>
                <w:szCs w:val="18"/>
                <w:color w:val="auto"/>
              </w:rPr>
            </w:pPr>
          </w:p>
        </w:tc>
      </w:tr>
      <w:tr>
        <w:trPr>
          <w:trHeight w:val="20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6,754,256</w:t>
            </w:r>
          </w:p>
        </w:tc>
        <w:tc>
          <w:tcPr>
            <w:tcW w:w="2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8,365,684</w:t>
            </w:r>
          </w:p>
        </w:tc>
        <w:tc>
          <w:tcPr>
            <w:tcW w:w="20" w:type="dxa"/>
            <w:vAlign w:val="bottom"/>
          </w:tcPr>
          <w:p>
            <w:pPr>
              <w:spacing w:after="0"/>
              <w:rPr>
                <w:sz w:val="18"/>
                <w:szCs w:val="18"/>
                <w:color w:val="auto"/>
              </w:rPr>
            </w:pPr>
          </w:p>
        </w:tc>
      </w:tr>
      <w:tr>
        <w:trPr>
          <w:trHeight w:val="20"/>
        </w:trPr>
        <w:tc>
          <w:tcPr>
            <w:tcW w:w="7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7" w:lineRule="exact"/>
        <w:rPr>
          <w:sz w:val="20"/>
          <w:szCs w:val="20"/>
          <w:color w:val="auto"/>
        </w:rPr>
      </w:pPr>
    </w:p>
    <w:p>
      <w:pPr>
        <w:ind w:left="340" w:right="6740" w:hanging="332"/>
        <w:spacing w:after="0" w:line="503" w:lineRule="auto"/>
        <w:tabs>
          <w:tab w:leader="none" w:pos="331"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non-controlling interests </w:t>
      </w:r>
      <w:r>
        <w:rPr>
          <w:rFonts w:ascii="Times New Roman" w:cs="Times New Roman" w:eastAsia="Times New Roman" w:hAnsi="Times New Roman"/>
          <w:sz w:val="18"/>
          <w:szCs w:val="18"/>
          <w:u w:val="single" w:color="auto"/>
          <w:color w:val="auto"/>
        </w:rPr>
        <w:t>Investment in NIO China</w:t>
      </w: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April 29, 2020, the Company and certain of its subsidiaries entered into definitive agreements, as amended and supplemented in May and June 2020, for investments in NIO China, with a group of investors (collectively, the “Existing Strategic Investors”), pursuant to which, the Existing Strategic Investors agreed to invest an aggregate of RMB7.0 billion in cash into NIO China for its non-controlling interest. In June and July 2020, the Group received RMB5.0 billion. On September 16, 2020, pursuant to a share transfer agreement, the Group repurchased 8.612% equity interests owned by one of the Existing Strategic Investors with the total consideration of RMB511,458, consisting of the actual capital investment plus accrued interest, and the Group assumed the remaining cash consideration obligation of RMB2.0 billion of the Existing Strategic Investors. In February 2021, the Group, purchased from two of the Existing Strategic Investors an aggregate of 3.305% equity interests in NIO China for a total consideration of RMB5.5 billion and subscribed for newly increased registered capital of NIO China at a subscription price of RMB10.0 billion. In September 2021, the Company repurchased 1.418% equity interests from the Existing strategic investors for a total consideration of RMB2.5 billion and recorded an amount of RMB2,023,534 in accretion on redeemable non-controlling interests to redemption value. As of December 31, 2023, the Company held 92.114% controlling equity interests in NIO China.</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Each of the Existing Strategic Investors has the right to request the Group to redeem their equity interests in NIO China at an agreed price in case of NIO China’s failure to submit the application for a qualified initial public offering in 48 months commencing from June 29, 2020, failure to complete a qualified initial public offering in 60 months commencing from June 29, 2020, or other events as set forth in the share purchase agreement. The agreed price is calculated based on each non-controlling shareholder’s cash investment to NIO China plus an annual interest rate of 8.5%. On March 30, 2024, the Company and certain of its subsidiaries entered into a shareholders agreement with the Existing Strategic Investors, which amended certain shareholders’ rights in NIO China, including the redemption rights. In particular, if NIO China fails to complete the listing application or to issue the material assets restructuring plan related to the qualified initial public offering before December 31, 2027, or fails to complete the qualified initial public offering before December 31, 2028, the Existing Strategic Investors may request the Company to redeem the equity interest in NIO China then held by them.</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the redemption is at the holders’ option and is upon the occurrence of the events that are not solely within the control of the Company, these Existing Strategic Investors’ contributions in NIO China were classified as mezzanine equity and is subsequently accreted to the redemption price using the effective interest method with accretion recorded as a reduction of additional paid in capital.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September 29, 2024, pursuant to definitive investment agreements, a group of new investors (the “New Strategic Investors”) agreed to invest an aggregate of RMB3.3 billion in cash to subscribe for newly issued shares of NIO China. Concurrently, the Group agreed to invest an aggregate of RMB10 billion in cash to subscribe for newly issued shares of NIO China. Upon completion of this transaction, the Group will hold 88.25% of controlling equity interest in NIO China, while the New Strategic Investors together with the Existing Strategic Investors will collectively hold the remaining 11.7% of equity interest in NIO China. As of June 30, 2025, the Group has completed its investment of RMB10 billion and the Company has received RMB2.8 billion from certain New Strategic Investors.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Each of the New Strategic Investors has the right to request the Group to redeem their equity interests in NIO China at an agreed price in case of NIO China’s failure to complete the listing application or to issue the material assets restructuring plan related to the qualified initial public offering before December 31, 2027, failure to complete a qualified initial public offering before December 31, 2028, or other events as set forth in the share purchase agreement. The agreed price is calculated based on each non-controlling shareholder’s cash investment to NIO China plus an annual interest rate of 7.5%, or the market value in the latest financing activities, if any.</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and 2025, the Company recorded RMB160,686 and RMB276,558 of accretion on redeemable non-controlling interests to redemption value. As of December 31, 2024 and June 30, 2025, the balance of redeemable non-controlling interests was RMB6,985,787 and RMB7,262,345, respectively.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Investment in PE CNHC</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31, 2024, the Company and certain of its subsidiaries entered into definitive agreements for the investment in PE CNHC with an investor (the “PE Strategic Investor”), pursuant to which, the PE Strategic Investor agreed to invest an aggregate of RMB1.0 billion in cash into PE CNHC for its non-controlling interest, representing 10% equity interests in PE CNHC. In connection with this transaction, PE CNHC also issued warrants to PE Strategic Investor which entitle PE Strategic Investor the right, at its sole discretion, to purchase additional RMB0.5 billion equity interests of PE CNHC at the same price, before PE CNHC’s next round of financing (the “Warrants”). In June 2024, the Group received RMB0.5 billion. As of June 30, 2025, the Company held 90.91% controlling equity interests in PE CNHC.</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PE Strategic Investor has the right to request the Group to redeem their equity interests in PE CNHC at an agreed price after 60 months commencing from June 19, 2024, or other events as set forth in the share purchase agreement. The agreed price is calculated based on each non-controlling shareholder’s cash investment to PE CNHC plus an annual interest rate of 5%.</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the redemption is at the holders’ option and is upon the occurrence of the events that are not solely within the control of the Company, the PE Strategic Investor’s contributions in PE CNHC were classified as mezzanine equity and is subsequently accreted to the redemption price using the effective interest method with accretion recorded as a reduction of additional paid in capital.</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Warrants, the Group classified the Warrants as financial liabilities under ASC 480 as the Warrants conditionally obligated the Group to ultimately transfer assets. The proceeds received by PE CNHC from PE Strategic Investor’s investment were allocated first to the warrant liabilities based on their fair value and the residual was allocated to the mezzanine equity.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and 2025, the Group recorded an accretion of RMB1,860 and RMB16,306 on redeemable non-controlling interests to redemption value. As of December 31, 2024 and June 30, 2025, the balance of redeemable non-controlling interests was RMB456,210 and RMB472,516, respectively, and the balance of the warrant liabilities was RMB53,416. There was no significant change to the fair value of warrant liabilities compared with initial recognition based on the Group’s fair value assessment.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Ordinary Shares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Upon inception, each ordinary share was issued at a par value of US$0.00025 per share. Various numbers of ordinary shares have been issued to share-based compensation award recipients since inception. Each Class A ordinary share shall entitle the holder thereof to one (1) vote on all matters subject to vote at general meetings of the Company, each Class B ordinary share shall entitle the holder thereof to four (4) votes on all matters subject to vote at general meetings of the Company, and each Class C ordinary share shall entitle the holder thereof to eight (8) votes on all matters subject to vote at general meetings of the Company.</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Class C ordinary share is convertible into one Class A ordinary share, whereas Class A ordinary shares are not convertible into Class C ordinary shares under any circumstances. Upon any transfer of Class C ordinary shares by a holder thereof to any person or entity which is not an affiliate of such holder, such Class C ordinary shares are automatically and immediately converted into the equal number of Class A ordinary shares.</w:t>
      </w:r>
    </w:p>
    <w:p>
      <w:pPr>
        <w:spacing w:after="0" w:line="13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and June 30, 2025, the authorized share capital of the Company is US$1,000 divided into 4,000,000,000 shares, each at a par value of US$0.00025 per share, comprising of: 2,632,030,222 Class A Ordinary Shares, nil Class B Ordinary Shares, 148,500,000 Class C Ordinary Shares, and 1,219,469,778 shares with each of such class or classes as the board of directors may determine.</w:t>
      </w:r>
    </w:p>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2020, the Company consummated the follow-on offerings of a total of 82,800,000, 101,775,000 and 78,200,000 American depositary shares (the “ADSs”) at a price of US$ 5.95, US$17.00 and US$ 39.00 per ADS, respectively.</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2021, the Company completed the issuance of 53,292,401 ADSs with net proceeds of RMB12,677,554 (US$1,974,000) through an at-the-market offering.</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2023, the Company completed a US$2,943.5 million strategic equity investment from CYVN Investments RSC Ltd, an affiliate of CYVN Holdings L.L.C., an investment vehicle majority owned by the Abu Dhabi Government (collectively referred to as “CYVN Entities”) which subscribed 378,695,543 newly issued Class A ordinary shares from the Company.</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Upon the Company’s listing of Class A ordinary shares on the Hong Kong Stock Exchange, all of the Company’s Class B ordinary shares were converted to Class A ordinary shares pursuant to the conversion notice delivered by the relevant shareholders. The shareholding structure of Class B ordinary shares and provisions related to Class B ordinary shares have been removed in the Company’s amended and restated memorandum and articles of association, as approved by the Company’s shareholders at the annual general meeting held at August 25, 2022.</w:t>
      </w:r>
    </w:p>
    <w:p>
      <w:pPr>
        <w:spacing w:after="0" w:line="15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May 2024, the Company participated as a lender in the borrowing and lending program (the “Share Lending Arrangement”) initiated by the Singapore Exchange Securities Trading Limited (the “SGX”), by agreeing to lend up to 2,000,000 of the Company’s Class A ordinary shares to The Central Depositary (Pte) Limited (“CDP”).</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was no fixed lending period. Both the Company and CDP can terminate the share lending by issuing termination notification. The Company did not receive any proceeds from entering into this Share Lending Arrangement and was entitled to receive lending fee during the lending period. Upon the termination of share lending, CDP is required to re-deliver loaned shares to the Company within the re-delivery period, with no option for paying cash as the settlement.</w:t>
      </w:r>
    </w:p>
    <w:p>
      <w:pPr>
        <w:spacing w:after="0" w:line="13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ASC 815-40, the Company has accounted for the Share Lending Arrangement as equity instrument. Shares lent under the arrangement were issued out of treasury stock, and concurrently the Company recognized a right to receive returned shares from CDP as a debit to additional paid-in-capital, measured based on the fair value of shares issued. No subsequent remeasurement is required for this equity classified right to receive shares, which would be transferred to treasury stock when shares are returned. The lending fee received from the Share Lending Arrangement is recognized as a capital contribution upon receipt.</w:t>
      </w:r>
    </w:p>
    <w:p>
      <w:pPr>
        <w:spacing w:after="0" w:line="1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and 2025, total amount released from treasury shares to additional paid-in capital was RMB11.7 million and RMB100.2 million, respectively. The lending fee received during the lending period was immaterial.</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November and December 2024, the Company issued 27,690,071 ADSs to exchange the convertible notes as disclosed in Note 11 (iii) through treasury shares.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April 2025, the Company completed the offering of 136,800,000 class A ordinary shares of the Company at an offering price of HK$29.46 per share, with total offering consideration of HK$4,030,130 (RMB3,684,893).</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2024 and June 30, 2025, 4,000,000,000 ordinary shares were authorized, 2,094,978,828 shares and 2,247,562,644 shares were issued, and 2,091,505,895 shares and 2,244,666,266 shares were outstanding, respectively. The share number as of December 31, 2024 and June 30, 2025 excludes 32,822,395 and 17,038,579 Class A Ordinary Shares, respectively, issued to the depositary bank for bulk issuance of ADSs reserved for future issuance upon the exercise or vesting of awards granted under the Company’s share incentive plans.</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3"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Compensation expenses recognized for share-based awards granted by the Company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2380" w:type="dxa"/>
            <w:vAlign w:val="bottom"/>
            <w:tcBorders>
              <w:bottom w:val="single" w:sz="8" w:color="auto"/>
            </w:tcBorders>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7540" w:type="dxa"/>
            <w:vAlign w:val="bottom"/>
          </w:tcPr>
          <w:p>
            <w:pPr>
              <w:spacing w:after="0"/>
              <w:rPr>
                <w:sz w:val="12"/>
                <w:szCs w:val="12"/>
                <w:color w:val="auto"/>
              </w:rPr>
            </w:pPr>
          </w:p>
        </w:tc>
        <w:tc>
          <w:tcPr>
            <w:tcW w:w="1060" w:type="dxa"/>
            <w:vAlign w:val="bottom"/>
            <w:tcBorders>
              <w:bottom w:val="single" w:sz="8" w:color="auto"/>
            </w:tcBorders>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08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7540" w:type="dxa"/>
            <w:vAlign w:val="bottom"/>
          </w:tcPr>
          <w:p>
            <w:pPr>
              <w:spacing w:after="0"/>
              <w:rPr>
                <w:sz w:val="12"/>
                <w:szCs w:val="12"/>
                <w:color w:val="auto"/>
              </w:rPr>
            </w:pPr>
          </w:p>
        </w:tc>
        <w:tc>
          <w:tcPr>
            <w:tcW w:w="1060" w:type="dxa"/>
            <w:vAlign w:val="bottom"/>
          </w:tcPr>
          <w:p>
            <w:pPr>
              <w:jc w:val="right"/>
              <w:ind w:right="98"/>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240" w:type="dxa"/>
            <w:vAlign w:val="bottom"/>
          </w:tcPr>
          <w:p>
            <w:pPr>
              <w:spacing w:after="0"/>
              <w:rPr>
                <w:sz w:val="12"/>
                <w:szCs w:val="12"/>
                <w:color w:val="auto"/>
              </w:rPr>
            </w:pPr>
          </w:p>
        </w:tc>
        <w:tc>
          <w:tcPr>
            <w:tcW w:w="1080" w:type="dxa"/>
            <w:vAlign w:val="bottom"/>
          </w:tcPr>
          <w:p>
            <w:pPr>
              <w:jc w:val="right"/>
              <w:ind w:right="116"/>
              <w:spacing w:after="0" w:line="142" w:lineRule="exact"/>
              <w:rPr>
                <w:sz w:val="20"/>
                <w:szCs w:val="20"/>
                <w:color w:val="auto"/>
              </w:rPr>
            </w:pPr>
            <w:r>
              <w:rPr>
                <w:rFonts w:ascii="Times New Roman" w:cs="Times New Roman" w:eastAsia="Times New Roman" w:hAnsi="Times New Roman"/>
                <w:sz w:val="14"/>
                <w:szCs w:val="14"/>
                <w:color w:val="auto"/>
              </w:rPr>
              <w:t>(Unaudited)</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27,868</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536,093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569,667</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227,620</w:t>
            </w:r>
          </w:p>
        </w:tc>
        <w:tc>
          <w:tcPr>
            <w:tcW w:w="2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299,579</w:t>
            </w:r>
          </w:p>
        </w:tc>
      </w:tr>
      <w:tr>
        <w:trPr>
          <w:trHeight w:val="20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792,164</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897,114</w:t>
            </w: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was no income tax benefit recognized in the consolidated statements of comprehensive loss for share-based compensation expenses and the Group did not capitalize any of the share-based compensation expenses as part of the cost of any assets in the six months ended June 30, 2024 and 2025.</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NIO Incentive Plans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2015, the Company adopted the 2015 Stock Incentive Plan (the “2015 Plan”), which allows the plan administrator to grant share options and restricted shares of the Company to its employees, directors, and consultants.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granted both share options and restricted shares to the employees. In 2016, 2017, 2018 and 2024, the Board of Directors further approved the 2016 Stock Incentive Plan (the “2016 Plan”), the 2017 Stock Incentive Plan (the “2017 Plan”), the 2018 Stock Incentive Plan (the “2018 Plan”) and the 2024 Stock Incentive Plan (the “2024 Plan”), which provide for share options and restricted shares. The share options and the restricted shares vest immediately or over a period of one to five years of continuous service and achieved performance target and the stock options are exercisable over a maximum period of 10 years.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Group recognized the share options and restricted shares of the Company granted to the employees of the Group on a straight-line basis over the vesting term of the awards, net of estimated forfeitures.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 Share Options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activities of the Company’s share options under the 2016, 2017 and 2018 Plans for the six months ended June 30,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14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Years</w:t>
            </w:r>
          </w:p>
        </w:tc>
        <w:tc>
          <w:tcPr>
            <w:tcW w:w="14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52,060,649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(1,326,807)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Cancelled</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(10,530)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Expired</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(153,729)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as of June 30, 2025 (Unaudited)</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50,569,583</w:t>
            </w:r>
          </w:p>
        </w:tc>
        <w:tc>
          <w:tcPr>
            <w:tcW w:w="14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4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54,447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 as of June 30, 2025 (Unaudited)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50,495,087</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June 30, 2025 (Unaudited)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49,079,653</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aggregate difference between the Company’s closing stock price on the last trading day of the period and the exercise price for the underlying awards.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the six months ended June 30, 2024 and 2025 were RMB26,440 and RMB20,605, respectively.</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for options granted under the Company’s 2016, 2017 and 2018 Plans for the six months ended June 30, 2024 was US$3.64, computed using the binomial option pricing model with the assumptions (or ranges thereof) in the following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tcPr>
          <w:p>
            <w:pPr>
              <w:spacing w:after="0"/>
              <w:rPr>
                <w:sz w:val="15"/>
                <w:szCs w:val="15"/>
                <w:color w:val="auto"/>
              </w:rPr>
            </w:pPr>
          </w:p>
        </w:tc>
        <w:tc>
          <w:tcPr>
            <w:tcW w:w="2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7440" w:type="dxa"/>
            <w:vAlign w:val="bottom"/>
          </w:tcPr>
          <w:p>
            <w:pPr>
              <w:spacing w:after="0"/>
              <w:rPr>
                <w:sz w:val="12"/>
                <w:szCs w:val="12"/>
                <w:color w:val="auto"/>
              </w:rPr>
            </w:pPr>
          </w:p>
        </w:tc>
        <w:tc>
          <w:tcPr>
            <w:tcW w:w="22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r>
      <w:tr>
        <w:trPr>
          <w:trHeight w:val="142"/>
        </w:trPr>
        <w:tc>
          <w:tcPr>
            <w:tcW w:w="7440" w:type="dxa"/>
            <w:vAlign w:val="bottom"/>
          </w:tcPr>
          <w:p>
            <w:pPr>
              <w:spacing w:after="0"/>
              <w:rPr>
                <w:sz w:val="12"/>
                <w:szCs w:val="12"/>
                <w:color w:val="auto"/>
              </w:rPr>
            </w:pPr>
          </w:p>
        </w:tc>
        <w:tc>
          <w:tcPr>
            <w:tcW w:w="22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240" w:type="dxa"/>
            <w:vAlign w:val="bottom"/>
          </w:tcPr>
          <w:p>
            <w:pPr>
              <w:spacing w:after="0"/>
              <w:rPr>
                <w:sz w:val="12"/>
                <w:szCs w:val="12"/>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(US$)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the ordinary shares on the date of option grant (US$)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4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4.14 %</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Exercise multiple</w:t>
            </w:r>
          </w:p>
        </w:tc>
        <w:tc>
          <w:tcPr>
            <w:tcW w:w="2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 x</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62 %</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forfeiture rate (post-vesting)</w:t>
            </w:r>
          </w:p>
        </w:tc>
        <w:tc>
          <w:tcPr>
            <w:tcW w:w="2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6.09 %</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six months ended June 30, 2025, no options were granted under the Company’s 2016, 2017 and 2018 Plans.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Risk-free interest rate is estimated based on the yield curve of US Sovereign Bond as of the option valuation date. The expected volatility at the grant date and each option valuation date is estimated based on annualized standard deviation of daily stock price return of comparable companies with a time horizon close to the expected expiry of the term of the options. The Group has never declared or paid any cash dividends on its capital stock, and the Group does not anticipate any dividend payments in the foreseeable future. Expected term is the contract life of the options.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2025, the unrecognized compensation expenses related to the stock options granted to the employees is not material.</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(ii) Restricted shares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 of each restricted share granted with service conditions is estimated based on the fair market value of the underlying ordinary shares of the Company on the date of grant.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activities of the Company’s restricted shares under the 2016, 2017, 2018 and 2024 Plan for the six months ended June 30, 2025:</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 Restricted</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73"/>
        </w:trPr>
        <w:tc>
          <w:tcPr>
            <w:tcW w:w="5000" w:type="dxa"/>
            <w:vAlign w:val="bottom"/>
          </w:tcPr>
          <w:p>
            <w:pPr>
              <w:spacing w:after="0"/>
              <w:rPr>
                <w:sz w:val="15"/>
                <w:szCs w:val="15"/>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 Outstanding</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142"/>
        </w:trPr>
        <w:tc>
          <w:tcPr>
            <w:tcW w:w="50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61,852,743</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16"/>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22,782,772</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16"/>
        </w:trPr>
        <w:tc>
          <w:tcPr>
            <w:tcW w:w="5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(14,457,009)</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r>
      <w:tr>
        <w:trPr>
          <w:trHeight w:val="216"/>
        </w:trPr>
        <w:tc>
          <w:tcPr>
            <w:tcW w:w="5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(9,532,496)</w:t>
            </w:r>
          </w:p>
        </w:tc>
        <w:tc>
          <w:tcPr>
            <w:tcW w:w="1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10"/>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June 30, 2025 (Unaudited)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60,646,010</w:t>
            </w:r>
          </w:p>
        </w:tc>
        <w:tc>
          <w:tcPr>
            <w:tcW w:w="1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r>
      <w:tr>
        <w:trPr>
          <w:trHeight w:val="20"/>
        </w:trPr>
        <w:tc>
          <w:tcPr>
            <w:tcW w:w="5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there were RMB2,317,968 of unrecognized compensation expenses related to restricted shares granted to the employees, which is expected to be recognized over a weighted-average period of 2.95 years, respectively.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Share-based compensation of subsidiaries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November 2021, a subsidiary of the Company (“Subsidiary A”) adopted the 2021 Share Incentive Plan (the “A Plan”) which allows Subsidiary A to grant share options to its employees.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A Plan, the share options have a contractual term of ten years from the grant date, and vest over a period of four years of continuous service, one fourth (1/4) of which vest upon the first anniversary of the stated vesting commencement date and the remaining vest ratably over the following 36 months.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Before the completion of Subsidiary A’s possible future initial public offering and listing, its employees are entitled to convert the vested share options to the Class A ordinary shares of the Company at a fixed conversion rate. The corresponding share options will be cancelled if the conversion right is exercised.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activities of A Plan for the six months ended June 30,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2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Years</w:t>
            </w:r>
          </w:p>
        </w:tc>
        <w:tc>
          <w:tcPr>
            <w:tcW w:w="18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43,094,529</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0.00001</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47,950</w:t>
            </w: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(6,954,456)</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(1,449,661)</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June 30, 2025 (Unaudited)</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34,690,412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0.00001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38,974</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weighted average grant date fair values of options granted was US$1.10 per share. The estimated fair value of each option granted is estimated on the date of grant using the binominal option-pricing model with the assumptions (or ranges thereof) in the following table:</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6060" w:type="dxa"/>
            <w:vAlign w:val="bottom"/>
          </w:tcPr>
          <w:p>
            <w:pPr>
              <w:spacing w:after="0"/>
              <w:rPr>
                <w:sz w:val="12"/>
                <w:szCs w:val="12"/>
                <w:color w:val="auto"/>
              </w:rPr>
            </w:pPr>
          </w:p>
        </w:tc>
        <w:tc>
          <w:tcPr>
            <w:tcW w:w="17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r>
      <w:tr>
        <w:trPr>
          <w:trHeight w:val="142"/>
        </w:trPr>
        <w:tc>
          <w:tcPr>
            <w:tcW w:w="6060" w:type="dxa"/>
            <w:vAlign w:val="bottom"/>
          </w:tcPr>
          <w:p>
            <w:pPr>
              <w:spacing w:after="0"/>
              <w:rPr>
                <w:sz w:val="12"/>
                <w:szCs w:val="12"/>
                <w:color w:val="auto"/>
              </w:rPr>
            </w:pPr>
          </w:p>
        </w:tc>
        <w:tc>
          <w:tcPr>
            <w:tcW w:w="17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160" w:type="dxa"/>
            <w:vAlign w:val="bottom"/>
          </w:tcPr>
          <w:p>
            <w:pPr>
              <w:spacing w:after="0"/>
              <w:rPr>
                <w:sz w:val="12"/>
                <w:szCs w:val="12"/>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the ordinary shares on the date of option grant (US$)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1.00-1.01</w:t>
            </w:r>
          </w:p>
        </w:tc>
        <w:tc>
          <w:tcPr>
            <w:tcW w:w="16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1.58 %</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52 %</w:t>
            </w: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Expected forfeiture rate (post-vesting)</w:t>
            </w: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six months ended June 30, 2025, no options were granted under the A Plan.</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there were RMB223,049 of unrecognized share based compensation expenses related to the share options granted. The expenses were expected to be recognized over a weighted average period of 1.87 years.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Loss Per Share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Basic loss per share and diluted loss per share have been calculated in accordance with ASC 260 on computation of earnings per share for the six months ended June 30, 2024 and 2025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60" w:type="dxa"/>
            <w:vAlign w:val="bottom"/>
          </w:tcPr>
          <w:p>
            <w:pPr>
              <w:spacing w:after="0"/>
              <w:rPr>
                <w:sz w:val="15"/>
                <w:szCs w:val="15"/>
                <w:color w:val="auto"/>
              </w:rPr>
            </w:pPr>
          </w:p>
        </w:tc>
        <w:tc>
          <w:tcPr>
            <w:tcW w:w="248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746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60" w:type="dxa"/>
            <w:vAlign w:val="bottom"/>
          </w:tcPr>
          <w:p>
            <w:pPr>
              <w:spacing w:after="0"/>
              <w:rPr>
                <w:sz w:val="12"/>
                <w:szCs w:val="12"/>
                <w:color w:val="auto"/>
              </w:rPr>
            </w:pPr>
          </w:p>
        </w:tc>
        <w:tc>
          <w:tcPr>
            <w:tcW w:w="114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160" w:type="dxa"/>
            <w:vAlign w:val="bottom"/>
          </w:tcPr>
          <w:p>
            <w:pPr>
              <w:spacing w:after="0"/>
              <w:rPr>
                <w:sz w:val="12"/>
                <w:szCs w:val="12"/>
                <w:color w:val="auto"/>
              </w:rPr>
            </w:pPr>
          </w:p>
        </w:tc>
        <w:tc>
          <w:tcPr>
            <w:tcW w:w="116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(10,230,560)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(11,744,834)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on redeemable non-controlling interests to redemption value</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(162,546)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8,818</w:t>
            </w: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ordinary shareholders of NIO Inc. for basic/dilutive net loss per share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(10,384,288)</w:t>
            </w: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(12,032,368)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ordinary shares outstanding – basic and diluted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2,047,257,903</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2,162,319,854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 attributable to ordinary shareholders of NIO Inc.</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746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F-42</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7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and 2025, the Company had potential ordinary shares, including non-vested restricted shares, option granted and convertible notes. As the Group incurred losses for the six months ended June 30, 2024 and 2025, these potential ordinary shares were anti-dilutive and excluded from the calculation of diluted net loss per share of the Company. The weighted average numbers of these potential ordinary shares outstanding are as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240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7520" w:type="dxa"/>
            <w:vAlign w:val="bottom"/>
          </w:tcPr>
          <w:p>
            <w:pPr>
              <w:spacing w:after="0"/>
              <w:rPr>
                <w:sz w:val="12"/>
                <w:szCs w:val="12"/>
                <w:color w:val="auto"/>
              </w:rPr>
            </w:pPr>
          </w:p>
        </w:tc>
        <w:tc>
          <w:tcPr>
            <w:tcW w:w="1080" w:type="dxa"/>
            <w:vAlign w:val="bottom"/>
            <w:tcBorders>
              <w:bottom w:val="single" w:sz="8" w:color="auto"/>
            </w:tcBorders>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10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7520" w:type="dxa"/>
            <w:vAlign w:val="bottom"/>
          </w:tcPr>
          <w:p>
            <w:pPr>
              <w:spacing w:after="0"/>
              <w:rPr>
                <w:sz w:val="12"/>
                <w:szCs w:val="12"/>
                <w:color w:val="auto"/>
              </w:rPr>
            </w:pPr>
          </w:p>
        </w:tc>
        <w:tc>
          <w:tcPr>
            <w:tcW w:w="108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220" w:type="dxa"/>
            <w:vAlign w:val="bottom"/>
          </w:tcPr>
          <w:p>
            <w:pPr>
              <w:spacing w:after="0"/>
              <w:rPr>
                <w:sz w:val="12"/>
                <w:szCs w:val="12"/>
                <w:color w:val="auto"/>
              </w:rPr>
            </w:pPr>
          </w:p>
        </w:tc>
        <w:tc>
          <w:tcPr>
            <w:tcW w:w="1100" w:type="dxa"/>
            <w:vAlign w:val="bottom"/>
          </w:tcPr>
          <w:p>
            <w:pPr>
              <w:jc w:val="right"/>
              <w:ind w:right="117"/>
              <w:spacing w:after="0" w:line="142" w:lineRule="exact"/>
              <w:rPr>
                <w:sz w:val="20"/>
                <w:szCs w:val="20"/>
                <w:color w:val="auto"/>
              </w:rPr>
            </w:pPr>
            <w:r>
              <w:rPr>
                <w:rFonts w:ascii="Times New Roman" w:cs="Times New Roman" w:eastAsia="Times New Roman" w:hAnsi="Times New Roman"/>
                <w:sz w:val="14"/>
                <w:szCs w:val="14"/>
                <w:color w:val="auto"/>
              </w:rPr>
              <w:t>(Unaudited)</w:t>
            </w: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weighted average options granted</w:t>
            </w:r>
          </w:p>
        </w:tc>
        <w:tc>
          <w:tcPr>
            <w:tcW w:w="1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30,443,328</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20,320,395</w:t>
            </w:r>
          </w:p>
        </w:tc>
      </w:tr>
      <w:tr>
        <w:trPr>
          <w:trHeight w:val="216"/>
        </w:trPr>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54,564,150</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51,646,031</w:t>
            </w:r>
          </w:p>
        </w:tc>
      </w:tr>
      <w:tr>
        <w:trPr>
          <w:trHeight w:val="209"/>
        </w:trPr>
        <w:tc>
          <w:tcPr>
            <w:tcW w:w="7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85,007,478</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71,966,426</w:t>
            </w:r>
          </w:p>
        </w:tc>
      </w:tr>
      <w:tr>
        <w:trPr>
          <w:trHeight w:val="20"/>
        </w:trPr>
        <w:tc>
          <w:tcPr>
            <w:tcW w:w="7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Balances and Transactions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principal related parties with which the Group had transactions during the years presented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Entity or Individual</w:t>
            </w:r>
          </w:p>
        </w:tc>
        <w:tc>
          <w:tcPr>
            <w:tcW w:w="200" w:type="dxa"/>
            <w:vAlign w:val="bottom"/>
            <w:tcBorders>
              <w:bottom w:val="single" w:sz="8" w:color="CCEEFF"/>
            </w:tcBorders>
          </w:tcPr>
          <w:p>
            <w:pPr>
              <w:spacing w:after="0"/>
              <w:rPr>
                <w:sz w:val="21"/>
                <w:szCs w:val="21"/>
                <w:color w:val="auto"/>
              </w:rPr>
            </w:pPr>
          </w:p>
        </w:tc>
        <w:tc>
          <w:tcPr>
            <w:tcW w:w="456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Relationship with the Company</w:t>
            </w:r>
          </w:p>
        </w:tc>
      </w:tr>
      <w:tr>
        <w:trPr>
          <w:trHeight w:val="229"/>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Kunshan Siwopu Intelligent Equipment Co., Ltd.</w:t>
            </w:r>
          </w:p>
        </w:tc>
        <w:tc>
          <w:tcPr>
            <w:tcW w:w="20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 investee of the Group</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Nanjing Weibang Transmission Technology Co., Ltd.</w:t>
            </w:r>
          </w:p>
        </w:tc>
        <w:tc>
          <w:tcPr>
            <w:tcW w:w="4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 investee of the Group</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Wuhan Weineng Battery Assets Co., Ltd. and its subsidiaries</w:t>
            </w:r>
          </w:p>
        </w:tc>
        <w:tc>
          <w:tcPr>
            <w:tcW w:w="4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 investee of the Group</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Xunjie Energy (Wuhan) Co., Ltd.</w:t>
            </w:r>
          </w:p>
        </w:tc>
        <w:tc>
          <w:tcPr>
            <w:tcW w:w="4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 investee of the Group</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Jianglai Advanced Manufacturing Technology (Anhui) Co., Ltd.</w:t>
            </w:r>
          </w:p>
        </w:tc>
        <w:tc>
          <w:tcPr>
            <w:tcW w:w="4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 investee of the Group</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Blue Horizon Limited and its subsidiaries</w:t>
            </w:r>
          </w:p>
        </w:tc>
        <w:tc>
          <w:tcPr>
            <w:tcW w:w="4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 investee of the Group</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VTA Technology Inc. and its subsidiaries</w:t>
            </w:r>
          </w:p>
        </w:tc>
        <w:tc>
          <w:tcPr>
            <w:tcW w:w="4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 investee of the Group</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Beijing WeLion New Energy Technology Co., Ltd.</w:t>
            </w:r>
          </w:p>
        </w:tc>
        <w:tc>
          <w:tcPr>
            <w:tcW w:w="4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 investee of the Group</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Hefei Chuang Wei Information Consultation Co., Ltd.</w:t>
            </w:r>
          </w:p>
        </w:tc>
        <w:tc>
          <w:tcPr>
            <w:tcW w:w="4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Controlled by Principal Shareholder</w:t>
            </w:r>
          </w:p>
        </w:tc>
      </w:tr>
      <w:tr>
        <w:trPr>
          <w:trHeight w:val="198"/>
        </w:trPr>
        <w:tc>
          <w:tcPr>
            <w:tcW w:w="5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Tianjin Tengyi Information Technology Co., Ltd. (formerly known as</w:t>
            </w:r>
          </w:p>
        </w:tc>
        <w:tc>
          <w:tcPr>
            <w:tcW w:w="476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Controlled by Principal Shareholder</w:t>
            </w:r>
          </w:p>
        </w:tc>
      </w:tr>
      <w:tr>
        <w:trPr>
          <w:trHeight w:val="234"/>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Tianjin Boyou Information Technology Co., Ltd.)</w:t>
            </w:r>
          </w:p>
        </w:tc>
        <w:tc>
          <w:tcPr>
            <w:tcW w:w="20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Mclaren Group Holdings Ltd. and its subsidiaries</w:t>
            </w:r>
          </w:p>
        </w:tc>
        <w:tc>
          <w:tcPr>
            <w:tcW w:w="4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Controlled by Principal Shareholder</w:t>
            </w: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Shanghai Weishang Business Consulting Co., Ltd.</w:t>
            </w:r>
          </w:p>
        </w:tc>
        <w:tc>
          <w:tcPr>
            <w:tcW w:w="4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Significantly influenced by Principal Shareholder</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The Group entered into the following significant related party transactions: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 Provision of service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and 2025, service income was primarily generated from property management, administrative support, research and development services, licensing and BaaS battery buy-out services the Group provided to its related parties.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380" w:type="dxa"/>
            <w:vAlign w:val="bottom"/>
            <w:tcBorders>
              <w:bottom w:val="single" w:sz="8" w:color="auto"/>
            </w:tcBorders>
            <w:gridSpan w:val="3"/>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6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60" w:type="dxa"/>
            <w:vAlign w:val="bottom"/>
            <w:tcBorders>
              <w:bottom w:val="single" w:sz="8" w:color="auto"/>
            </w:tcBorders>
          </w:tcPr>
          <w:p>
            <w:pPr>
              <w:jc w:val="right"/>
              <w:ind w:right="30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08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46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60" w:type="dxa"/>
            <w:vAlign w:val="bottom"/>
          </w:tcPr>
          <w:p>
            <w:pPr>
              <w:jc w:val="right"/>
              <w:ind w:right="101"/>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240" w:type="dxa"/>
            <w:vAlign w:val="bottom"/>
          </w:tcPr>
          <w:p>
            <w:pPr>
              <w:spacing w:after="0"/>
              <w:rPr>
                <w:sz w:val="12"/>
                <w:szCs w:val="12"/>
                <w:color w:val="auto"/>
              </w:rPr>
            </w:pPr>
          </w:p>
        </w:tc>
        <w:tc>
          <w:tcPr>
            <w:tcW w:w="108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color w:val="auto"/>
              </w:rPr>
              <w:t>(Unaudited)</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Mclaren Group Holdings Ltd. and its subsidiaries</w:t>
            </w:r>
          </w:p>
        </w:tc>
        <w:tc>
          <w:tcPr>
            <w:tcW w:w="4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307,678</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Wuhan Weineng Battery Assets Co., Ltd. and its subsidiaries</w:t>
            </w:r>
          </w:p>
        </w:tc>
        <w:tc>
          <w:tcPr>
            <w:tcW w:w="4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50,319</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76,797</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Nanjing Weibang Transmission Technology Co., Ltd.</w:t>
            </w:r>
          </w:p>
        </w:tc>
        <w:tc>
          <w:tcPr>
            <w:tcW w:w="4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Blue Horizon Limited and its subsidiaries</w:t>
            </w:r>
          </w:p>
        </w:tc>
        <w:tc>
          <w:tcPr>
            <w:tcW w:w="29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09"/>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94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99,615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385,314</w:t>
            </w:r>
          </w:p>
        </w:tc>
      </w:tr>
      <w:tr>
        <w:trPr>
          <w:trHeight w:val="20"/>
        </w:trPr>
        <w:tc>
          <w:tcPr>
            <w:tcW w:w="46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44"/>
        </w:trPr>
        <w:tc>
          <w:tcPr>
            <w:tcW w:w="4600" w:type="dxa"/>
            <w:vAlign w:val="bottom"/>
          </w:tcPr>
          <w:p>
            <w:pPr>
              <w:spacing w:after="0"/>
              <w:rPr>
                <w:sz w:val="24"/>
                <w:szCs w:val="24"/>
                <w:color w:val="auto"/>
              </w:rPr>
            </w:pPr>
          </w:p>
        </w:tc>
        <w:tc>
          <w:tcPr>
            <w:tcW w:w="42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F-43</w:t>
            </w:r>
          </w:p>
        </w:tc>
        <w:tc>
          <w:tcPr>
            <w:tcW w:w="1080" w:type="dxa"/>
            <w:vAlign w:val="bottom"/>
          </w:tcPr>
          <w:p>
            <w:pPr>
              <w:spacing w:after="0"/>
              <w:rPr>
                <w:sz w:val="24"/>
                <w:szCs w:val="24"/>
                <w:color w:val="auto"/>
              </w:rPr>
            </w:pPr>
          </w:p>
        </w:tc>
      </w:tr>
      <w:tr>
        <w:trPr>
          <w:trHeight w:val="547"/>
        </w:trPr>
        <w:tc>
          <w:tcPr>
            <w:tcW w:w="46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(ii) Purchase of service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2380" w:type="dxa"/>
            <w:vAlign w:val="bottom"/>
            <w:tcBorders>
              <w:bottom w:val="single" w:sz="8" w:color="auto"/>
            </w:tcBorders>
            <w:gridSpan w:val="3"/>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(Unaudited)</w:t>
            </w:r>
          </w:p>
        </w:tc>
        <w:tc>
          <w:tcPr>
            <w:tcW w:w="2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(Unaudited)</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75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Kunshan Siwopu Intelligent Equipment Co., Ltd.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Tianjin Tengyi Information Technology Co., Ltd.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Wuhan Weineng Battery Assets Co., Ltd. and its subsidiaries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Jianglai Advanced Manufacturing Technology (Anhui) Co., Ltd.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58,588</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Xunjie Energy (Wuhan) Co., Ltd.</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Beijing WeLion New Energy Technology Co., Ltd.</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29,169</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105,980</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vMerge w:val="restart"/>
          </w:tcPr>
          <w:p>
            <w:pPr>
              <w:ind w:left="320"/>
              <w:spacing w:after="0"/>
              <w:rPr>
                <w:sz w:val="20"/>
                <w:szCs w:val="20"/>
                <w:color w:val="auto"/>
              </w:rPr>
            </w:pPr>
            <w:r>
              <w:rPr>
                <w:rFonts w:ascii="Times New Roman" w:cs="Times New Roman" w:eastAsia="Times New Roman" w:hAnsi="Times New Roman"/>
                <w:sz w:val="18"/>
                <w:szCs w:val="18"/>
                <w:i w:val="1"/>
                <w:iCs w:val="1"/>
                <w:color w:val="auto"/>
              </w:rPr>
              <w:t>(iii) Purchase of raw material or property, plant and equipment</w:t>
            </w: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5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380" w:type="dxa"/>
            <w:vAlign w:val="bottom"/>
            <w:tcBorders>
              <w:bottom w:val="single" w:sz="8" w:color="auto"/>
            </w:tcBorders>
            <w:gridSpan w:val="3"/>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(Unaudited)</w:t>
            </w:r>
          </w:p>
        </w:tc>
        <w:tc>
          <w:tcPr>
            <w:tcW w:w="2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(Unaudited)</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7520" w:type="dxa"/>
            <w:vAlign w:val="bottom"/>
          </w:tcPr>
          <w:p>
            <w:pPr>
              <w:spacing w:after="0"/>
              <w:rPr>
                <w:sz w:val="9"/>
                <w:szCs w:val="9"/>
                <w:color w:val="auto"/>
              </w:rPr>
            </w:pPr>
          </w:p>
        </w:tc>
        <w:tc>
          <w:tcPr>
            <w:tcW w:w="1300" w:type="dxa"/>
            <w:vAlign w:val="bottom"/>
            <w:gridSpan w:val="2"/>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Wuhan Weineng Battery Assets Co., Ltd. and its subsidiaries</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Xunjie Energy (Wuhan) Co., Ltd.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15,521</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Nanjing Weibang Transmission Technology Co., Ltd.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VTA Technology Inc. and its subsidiaries</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Kunshan Siwopu Intelligent Equipment Co., Ltd.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54,819</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Jianglai Advanced Manufacturing Technology (Anhui) Co., Ltd.</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25,414</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151,059</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vMerge w:val="restart"/>
          </w:tcPr>
          <w:p>
            <w:pPr>
              <w:ind w:left="320"/>
              <w:spacing w:after="0"/>
              <w:rPr>
                <w:sz w:val="20"/>
                <w:szCs w:val="20"/>
                <w:color w:val="auto"/>
              </w:rPr>
            </w:pPr>
            <w:r>
              <w:rPr>
                <w:rFonts w:ascii="Times New Roman" w:cs="Times New Roman" w:eastAsia="Times New Roman" w:hAnsi="Times New Roman"/>
                <w:sz w:val="18"/>
                <w:szCs w:val="18"/>
                <w:i w:val="1"/>
                <w:iCs w:val="1"/>
                <w:color w:val="auto"/>
              </w:rPr>
              <w:t>(iv) Sales of goods</w:t>
            </w: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5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380" w:type="dxa"/>
            <w:vAlign w:val="bottom"/>
            <w:tcBorders>
              <w:bottom w:val="single" w:sz="8" w:color="auto"/>
            </w:tcBorders>
            <w:gridSpan w:val="3"/>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(Unaudited)</w:t>
            </w:r>
          </w:p>
        </w:tc>
        <w:tc>
          <w:tcPr>
            <w:tcW w:w="2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(Unaudited)</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7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Wuhan Weineng Battery Assets Co., Ltd. and its subsidiaries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3,439,221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Blue Horizon Limited and its subsidiaries</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Weishang Business Consulting Co., Ltd.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09"/>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3,439,462</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vMerge w:val="restart"/>
          </w:tcPr>
          <w:p>
            <w:pPr>
              <w:ind w:left="320"/>
              <w:spacing w:after="0"/>
              <w:rPr>
                <w:sz w:val="20"/>
                <w:szCs w:val="20"/>
                <w:color w:val="auto"/>
              </w:rPr>
            </w:pPr>
            <w:r>
              <w:rPr>
                <w:rFonts w:ascii="Times New Roman" w:cs="Times New Roman" w:eastAsia="Times New Roman" w:hAnsi="Times New Roman"/>
                <w:sz w:val="18"/>
                <w:szCs w:val="18"/>
                <w:i w:val="1"/>
                <w:iCs w:val="1"/>
                <w:color w:val="auto"/>
              </w:rPr>
              <w:t>(v) Sale of raw material or property, plant and equipment</w:t>
            </w: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5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380" w:type="dxa"/>
            <w:vAlign w:val="bottom"/>
            <w:tcBorders>
              <w:bottom w:val="single" w:sz="8" w:color="auto"/>
            </w:tcBorders>
            <w:gridSpan w:val="3"/>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(Unaudited)</w:t>
            </w:r>
          </w:p>
        </w:tc>
        <w:tc>
          <w:tcPr>
            <w:tcW w:w="2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(Unaudited)</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7520" w:type="dxa"/>
            <w:vAlign w:val="bottom"/>
          </w:tcPr>
          <w:p>
            <w:pPr>
              <w:spacing w:after="0"/>
              <w:rPr>
                <w:sz w:val="9"/>
                <w:szCs w:val="9"/>
                <w:color w:val="auto"/>
              </w:rPr>
            </w:pPr>
          </w:p>
        </w:tc>
        <w:tc>
          <w:tcPr>
            <w:tcW w:w="1300" w:type="dxa"/>
            <w:vAlign w:val="bottom"/>
            <w:gridSpan w:val="2"/>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Kunshan Siwopu Intelligent Equipment Co., Ltd.</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VTA Technology Inc. and its subsidiaries</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 Horizon Limited and its subsidiaries</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Wuhan Weineng Battery Assets Co., Ltd. and its subsidiaries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vMerge w:val="restart"/>
          </w:tcPr>
          <w:p>
            <w:pPr>
              <w:ind w:left="4780"/>
              <w:spacing w:after="0"/>
              <w:rPr>
                <w:sz w:val="20"/>
                <w:szCs w:val="20"/>
                <w:color w:val="auto"/>
              </w:rPr>
            </w:pPr>
            <w:r>
              <w:rPr>
                <w:rFonts w:ascii="Times New Roman" w:cs="Times New Roman" w:eastAsia="Times New Roman" w:hAnsi="Times New Roman"/>
                <w:sz w:val="18"/>
                <w:szCs w:val="18"/>
                <w:color w:val="auto"/>
              </w:rPr>
              <w:t>F-44</w:t>
            </w: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75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The Group had the following significant related party balances: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 Amounts due from related parties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1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394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1"/>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Wuhan Weineng Battery Assets Co., Ltd. and its subsidiaries</w:t>
            </w:r>
          </w:p>
        </w:tc>
        <w:tc>
          <w:tcPr>
            <w:tcW w:w="3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7,622,041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11,277,177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Blue Horizon Limited and its subsidiaries</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72,636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Mclaren Group Holdings Ltd. and its subsidiaries</w:t>
            </w:r>
          </w:p>
        </w:tc>
        <w:tc>
          <w:tcPr>
            <w:tcW w:w="3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Kunshan Siwopu Intelligent Equipment Co., Ltd.</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Hefei Chuang Wei Information Consultation Co., Ltd.</w:t>
            </w:r>
          </w:p>
        </w:tc>
        <w:tc>
          <w:tcPr>
            <w:tcW w:w="3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Nanjing Weibang Transmission Technology Co., Ltd.</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credit losses</w:t>
            </w:r>
          </w:p>
        </w:tc>
        <w:tc>
          <w:tcPr>
            <w:tcW w:w="40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(10,142)</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020" w:type="dxa"/>
            <w:vAlign w:val="bottom"/>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7,702,404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11,414,387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i w:val="1"/>
                <w:iCs w:val="1"/>
                <w:color w:val="auto"/>
              </w:rPr>
              <w:t>(ii) Amounts due to related parties, current</w:t>
            </w:r>
          </w:p>
        </w:tc>
        <w:tc>
          <w:tcPr>
            <w:tcW w:w="3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3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24"/>
                <w:szCs w:val="24"/>
                <w:color w:val="auto"/>
              </w:rPr>
            </w:pP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3940" w:type="dxa"/>
            <w:vAlign w:val="bottom"/>
            <w:gridSpan w:val="3"/>
          </w:tcPr>
          <w:p>
            <w:pPr>
              <w:jc w:val="center"/>
              <w:ind w:left="3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(Unaudited)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3100" w:type="dxa"/>
            <w:vAlign w:val="bottom"/>
            <w:gridSpan w:val="2"/>
          </w:tcPr>
          <w:p>
            <w:pPr>
              <w:spacing w:after="0"/>
              <w:rPr>
                <w:sz w:val="9"/>
                <w:szCs w:val="9"/>
                <w:color w:val="auto"/>
              </w:rPr>
            </w:pPr>
          </w:p>
        </w:tc>
        <w:tc>
          <w:tcPr>
            <w:tcW w:w="94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Mclaren Group Holdings Ltd. and its subsidiaries</w:t>
            </w:r>
          </w:p>
        </w:tc>
        <w:tc>
          <w:tcPr>
            <w:tcW w:w="40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272,563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Beijing WeLion New Energy Technology Co., Ltd.</w:t>
            </w:r>
          </w:p>
        </w:tc>
        <w:tc>
          <w:tcPr>
            <w:tcW w:w="4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66,477</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Wuhan Weineng Battery Assets Co., Ltd. and its subsidiaries</w:t>
            </w:r>
          </w:p>
        </w:tc>
        <w:tc>
          <w:tcPr>
            <w:tcW w:w="40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9,634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Tianjin Tengyi Information Technology Co., Ltd.</w:t>
            </w:r>
          </w:p>
        </w:tc>
        <w:tc>
          <w:tcPr>
            <w:tcW w:w="4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8,575</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Kunshan Siwopu Intelligent Equipment Co., Ltd.</w:t>
            </w:r>
          </w:p>
        </w:tc>
        <w:tc>
          <w:tcPr>
            <w:tcW w:w="40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29,658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Xunjie Energy (Wuhan) Co., Ltd.</w:t>
            </w:r>
          </w:p>
        </w:tc>
        <w:tc>
          <w:tcPr>
            <w:tcW w:w="4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17,409</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Nanjing Weibang Transmission Technology Co., Ltd.</w:t>
            </w:r>
          </w:p>
        </w:tc>
        <w:tc>
          <w:tcPr>
            <w:tcW w:w="40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2,630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VTA Technology Inc. and its subsidiaries</w:t>
            </w:r>
          </w:p>
        </w:tc>
        <w:tc>
          <w:tcPr>
            <w:tcW w:w="4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1,932</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Jianglai Advanced Manufacturing Technology (Anhui) Co., Ltd.</w:t>
            </w:r>
          </w:p>
        </w:tc>
        <w:tc>
          <w:tcPr>
            <w:tcW w:w="40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Shanghai Weishang Business Consulting Co.,Ltd.</w:t>
            </w:r>
          </w:p>
        </w:tc>
        <w:tc>
          <w:tcPr>
            <w:tcW w:w="4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 Horizon Limited and its subsidiaries</w:t>
            </w:r>
          </w:p>
        </w:tc>
        <w:tc>
          <w:tcPr>
            <w:tcW w:w="40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100" w:type="dxa"/>
            <w:vAlign w:val="bottom"/>
            <w:gridSpan w:val="2"/>
          </w:tcPr>
          <w:p>
            <w:pPr>
              <w:spacing w:after="0"/>
              <w:rPr>
                <w:sz w:val="18"/>
                <w:szCs w:val="18"/>
                <w:color w:val="auto"/>
              </w:rPr>
            </w:pPr>
          </w:p>
        </w:tc>
        <w:tc>
          <w:tcPr>
            <w:tcW w:w="9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409,363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i w:val="1"/>
                <w:iCs w:val="1"/>
                <w:color w:val="auto"/>
              </w:rPr>
              <w:t>(iii) Amount due to related parties, non-current</w:t>
            </w:r>
          </w:p>
        </w:tc>
        <w:tc>
          <w:tcPr>
            <w:tcW w:w="3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3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24"/>
                <w:szCs w:val="24"/>
                <w:color w:val="auto"/>
              </w:rPr>
            </w:pPr>
          </w:p>
        </w:tc>
        <w:tc>
          <w:tcPr>
            <w:tcW w:w="9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3940" w:type="dxa"/>
            <w:vAlign w:val="bottom"/>
            <w:gridSpan w:val="3"/>
          </w:tcPr>
          <w:p>
            <w:pPr>
              <w:jc w:val="center"/>
              <w:ind w:left="3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(Unaudited)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4040" w:type="dxa"/>
            <w:vAlign w:val="bottom"/>
            <w:gridSpan w:val="4"/>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Mclaren Group Holdings Ltd. and its subsidiaries</w:t>
            </w:r>
          </w:p>
        </w:tc>
        <w:tc>
          <w:tcPr>
            <w:tcW w:w="40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251,032</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Wuhan Weineng Battery Assets Co., Ltd. and its subsidiaries</w:t>
            </w:r>
          </w:p>
        </w:tc>
        <w:tc>
          <w:tcPr>
            <w:tcW w:w="4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78,460</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142,482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329,492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18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F-45</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03"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 and Contingencies</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 Capital commitments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Capital expenditures contracted for at the balance sheet dates but not recognized in the Group’s unaudited interim condensed consolidated financial statements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0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9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(Unaudited)</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7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5,896,469</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527,363</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505,403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6,423,832</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5,009,848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Contingencies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Between March and July 2019, several securities class action lawsuits were filed against the Company, certain of the Group’s directors and officers, the underwriters in the IPO and the process agent. Some of these actions have been withdrawn, transferred, consolidated or dismissed. One action commenced during the aforementioned time period remains pending, under the caption In re NIO, Inc. Securities Litigation, 1:19-cv-01424, in the U.S. District Court for the Eastern District of New York (E.D.N.Y.). The plaintiffs in this case allege, in sum and substance, that the Group’s statements in the registration statement and/or other public statements were false or misleading and in violation of the U.S. federal securities laws. The Court denied the Group’s motion to dismiss in August 2021, and granted plaintiffs’ motion for class certification in August 2023. Discovery is ongoing. The summary judgment briefing schedule is adjourned indefinitely pending resolution of certain discovery issues.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Between August and September 2022, two complaints were filed against the Company, its CEO and its then-CFO in the federal district court for the Southern District of New York (S.D.N.Y.), in the actions captioned Saye v. NIO Inc. et al., Case No. 1:22-cv-07252 (S.D.N.Y.) and Bohonok v. NIO Inc. et al., Case No. 1:22-cv-07666 (S.D.N.Y.). Relying on a short seller report, these complaints allege that certain of the Group’s public disclosures between August 2020 and July 2022 contained false statements or omissions in violation of the Securities Exchange Act of 1934. On December 14, 2022, the Court consolidated the two actions and appointed a lead plaintiff. Briefing on the Group’s motion to dismiss was completed on July 31, 2023. As of June 30, 2025, the Court has yet to rule on this motion. On August 28, 2025, a complaint was filed against the Company, its CEO and former CFO in the federal court for the Southern District of New York (Case No. 1:25-cv-07176). The case is related to the class action Saye v. NIO et al. (1:22-cv-07252) that has been pending in the same court.</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aforementioned actions remain in their preliminary stages. The Group is currently unable to determine the outcomes of these actions or any estimate of the amount or range of any potential loss, if any, associated with resolution of such lawsuits, if they proceed.</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Group is subject to legal proceedings and regulatory actions in the ordinary course of business, such as disputes with landlords, suppliers, employees, etc. The results of such proceedings cannot be predicted with certainty, but the Group does not anticipate that the final outcome arising out of any of such matters will have a material adverse effect on the consolidated balance sheets, comprehensive loss or cash flows on an individual basis or in the aggregate. As of December 31, 2024 and June 30, 2025, other than as disclosed above, the Group is not a party to any material legal or administrative proceedings.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Subsequent Events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No subsequent event which had a material impact on the Group was identified through the date of issuance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6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“Item 5. Operating and Financial Review and Prospects” in our annual report on Form 20-F for the fiscal year ended December 31, 2024 filed with the SEC on April 8, 2025, or the 2024 Annual Report, our consolidated financial statements and their related notes included in our 2024 Annual Report, and our unaudited interim condensed consolidated financial statements and their related notes included in Exhibit 99.1 to our current report on Form 6-K furnished with the SEC on September 10, 2025. This discussion may contain forward-looking statements based upon current expectations that involve risks and uncertainties. Our actual results may differ materially from those anticipated in these forward-looking statements as a result of various factors.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periods indicated. This information should be read together with our consolidated financial statements and the related notes in our 2024 Annual Report and our unaudited interim condensed consolidated financial statements and the related notes included in Exhibit 99.1 to our current report on Form 6-K furnished to the SEC on September 10, 2025. The operating results in any period are not necessarily indicative of the results that may be expected for any future periods.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80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20" w:type="dxa"/>
            <w:vAlign w:val="bottom"/>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8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40" w:type="dxa"/>
            <w:vAlign w:val="bottom"/>
          </w:tcPr>
          <w:p>
            <w:pPr>
              <w:spacing w:after="0"/>
              <w:rPr>
                <w:sz w:val="12"/>
                <w:szCs w:val="12"/>
                <w:color w:val="auto"/>
              </w:rPr>
            </w:pPr>
          </w:p>
        </w:tc>
        <w:tc>
          <w:tcPr>
            <w:tcW w:w="78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80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gridSpan w:val="3"/>
          </w:tcPr>
          <w:p>
            <w:pPr>
              <w:jc w:val="right"/>
              <w:ind w:right="368"/>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r>
              <w:rPr>
                <w:rFonts w:ascii="Times New Roman" w:cs="Times New Roman" w:eastAsia="Times New Roman" w:hAnsi="Times New Roman"/>
                <w:sz w:val="10"/>
                <w:szCs w:val="10"/>
                <w:b w:val="1"/>
                <w:bCs w:val="1"/>
                <w:color w:val="auto"/>
              </w:rPr>
              <w:t>(1)</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Vehicle sales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45,506,581</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49,257,270</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58,234,086</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24,060,941</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26,075,419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3,639,988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sales</w:t>
            </w:r>
            <w:r>
              <w:rPr>
                <w:rFonts w:ascii="Times New Roman" w:cs="Times New Roman" w:eastAsia="Times New Roman" w:hAnsi="Times New Roman"/>
                <w:sz w:val="10"/>
                <w:szCs w:val="10"/>
                <w:color w:val="auto"/>
              </w:rPr>
              <w:t>(3)</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3,761,980</w:t>
            </w:r>
          </w:p>
        </w:tc>
        <w:tc>
          <w:tcPr>
            <w:tcW w:w="14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6,360,663</w:t>
            </w:r>
          </w:p>
        </w:tc>
        <w:tc>
          <w:tcPr>
            <w:tcW w:w="14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7,497,473</w:t>
            </w:r>
          </w:p>
        </w:tc>
        <w:tc>
          <w:tcPr>
            <w:tcW w:w="1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3,293,663</w:t>
            </w:r>
          </w:p>
        </w:tc>
        <w:tc>
          <w:tcPr>
            <w:tcW w:w="14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4,967,975</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693,503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revenues</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49,268,561</w:t>
            </w:r>
          </w:p>
        </w:tc>
        <w:tc>
          <w:tcPr>
            <w:tcW w:w="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55,617,933</w:t>
            </w:r>
          </w:p>
        </w:tc>
        <w:tc>
          <w:tcPr>
            <w:tcW w:w="1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65,731,559</w:t>
            </w:r>
          </w:p>
        </w:tc>
        <w:tc>
          <w:tcPr>
            <w:tcW w:w="1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27,354,604</w:t>
            </w:r>
          </w:p>
        </w:tc>
        <w:tc>
          <w:tcPr>
            <w:tcW w:w="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31,043,394</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4,333,491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Cost of sales:</w:t>
            </w:r>
            <w:r>
              <w:rPr>
                <w:rFonts w:ascii="Times New Roman" w:cs="Times New Roman" w:eastAsia="Times New Roman" w:hAnsi="Times New Roman"/>
                <w:sz w:val="10"/>
                <w:szCs w:val="10"/>
                <w:color w:val="auto"/>
              </w:rPr>
              <w:t>(2)</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Vehicle sales</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(39,271,801)</w:t>
            </w: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(44,587,572)</w:t>
            </w: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(51,094,616)</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(21,386,680)</w:t>
            </w: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(23,398,863)</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(3,266,355)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sales</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(4,852,767)</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(7,978,565)</w:t>
            </w: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(8,144,181)</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(3,791,478)</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(4,827,454)</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(673,887)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cost of sales</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(44,124,568)</w:t>
            </w:r>
          </w:p>
        </w:tc>
        <w:tc>
          <w:tcPr>
            <w:tcW w:w="1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(52,566,137)</w:t>
            </w:r>
          </w:p>
        </w:tc>
        <w:tc>
          <w:tcPr>
            <w:tcW w:w="1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(59,238,797)</w:t>
            </w:r>
          </w:p>
        </w:tc>
        <w:tc>
          <w:tcPr>
            <w:tcW w:w="1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(25,178,158)</w:t>
            </w:r>
          </w:p>
        </w:tc>
        <w:tc>
          <w:tcPr>
            <w:tcW w:w="1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(28,226,317)</w:t>
            </w:r>
          </w:p>
        </w:tc>
        <w:tc>
          <w:tcPr>
            <w:tcW w:w="14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(3,940,242)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5,143,993</w:t>
            </w:r>
          </w:p>
        </w:tc>
        <w:tc>
          <w:tcPr>
            <w:tcW w:w="14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3,051,796</w:t>
            </w:r>
          </w:p>
        </w:tc>
        <w:tc>
          <w:tcPr>
            <w:tcW w:w="14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6,492,762</w:t>
            </w:r>
          </w:p>
        </w:tc>
        <w:tc>
          <w:tcPr>
            <w:tcW w:w="1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2,176,446</w:t>
            </w:r>
          </w:p>
        </w:tc>
        <w:tc>
          <w:tcPr>
            <w:tcW w:w="14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2,817,077</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393,249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Operating expenses:</w:t>
            </w:r>
            <w:r>
              <w:rPr>
                <w:rFonts w:ascii="Times New Roman" w:cs="Times New Roman" w:eastAsia="Times New Roman" w:hAnsi="Times New Roman"/>
                <w:sz w:val="10"/>
                <w:szCs w:val="10"/>
                <w:color w:val="auto"/>
              </w:rPr>
              <w:t>(2)</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w:t>
            </w:r>
            <w:r>
              <w:rPr>
                <w:rFonts w:ascii="Times New Roman" w:cs="Times New Roman" w:eastAsia="Times New Roman" w:hAnsi="Times New Roman"/>
                <w:sz w:val="10"/>
                <w:szCs w:val="10"/>
                <w:color w:val="auto"/>
              </w:rPr>
              <w:t>(2)</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(10,836,261)</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(13,431,399)</w:t>
            </w: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(13,037,304)</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(6,082,738)</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(6,188,435)</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(863,872)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r>
              <w:rPr>
                <w:rFonts w:ascii="Times New Roman" w:cs="Times New Roman" w:eastAsia="Times New Roman" w:hAnsi="Times New Roman"/>
                <w:sz w:val="10"/>
                <w:szCs w:val="10"/>
                <w:color w:val="auto"/>
              </w:rPr>
              <w:t>(2)</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(10,537,119)</w:t>
            </w: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(12,884,556)</w:t>
            </w: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(15,741,057)</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(6,754,256)</w:t>
            </w: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(8,365,684)</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(1,167,804)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operating income, net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588,728</w:t>
            </w:r>
          </w:p>
        </w:tc>
        <w:tc>
          <w:tcPr>
            <w:tcW w:w="14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608,975</w:t>
            </w:r>
          </w:p>
        </w:tc>
        <w:tc>
          <w:tcPr>
            <w:tcW w:w="14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411,526</w:t>
            </w:r>
          </w:p>
        </w:tc>
        <w:tc>
          <w:tcPr>
            <w:tcW w:w="1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57,177</w:t>
            </w:r>
          </w:p>
        </w:tc>
        <w:tc>
          <w:tcPr>
            <w:tcW w:w="14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410,056</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57,242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(20,784,652)</w:t>
            </w:r>
          </w:p>
        </w:tc>
        <w:tc>
          <w:tcPr>
            <w:tcW w:w="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(25,706,980)</w:t>
            </w:r>
          </w:p>
        </w:tc>
        <w:tc>
          <w:tcPr>
            <w:tcW w:w="1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(28,366,835)</w:t>
            </w:r>
          </w:p>
        </w:tc>
        <w:tc>
          <w:tcPr>
            <w:tcW w:w="1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(12,779,817)</w:t>
            </w:r>
          </w:p>
        </w:tc>
        <w:tc>
          <w:tcPr>
            <w:tcW w:w="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(14,144,063)</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(1,974,434)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Loss from operations</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(15,640,659)</w:t>
            </w:r>
          </w:p>
        </w:tc>
        <w:tc>
          <w:tcPr>
            <w:tcW w:w="14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(22,655,184)</w:t>
            </w:r>
          </w:p>
        </w:tc>
        <w:tc>
          <w:tcPr>
            <w:tcW w:w="14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(21,874,073)</w:t>
            </w:r>
          </w:p>
        </w:tc>
        <w:tc>
          <w:tcPr>
            <w:tcW w:w="1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(10,603,371)</w:t>
            </w:r>
          </w:p>
        </w:tc>
        <w:tc>
          <w:tcPr>
            <w:tcW w:w="14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(11,326,986)</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(1,581,185)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Interest and investment income</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1,358,719</w:t>
            </w:r>
          </w:p>
        </w:tc>
        <w:tc>
          <w:tcPr>
            <w:tcW w:w="1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2,210,018</w:t>
            </w:r>
          </w:p>
        </w:tc>
        <w:tc>
          <w:tcPr>
            <w:tcW w:w="1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853,728</w:t>
            </w:r>
          </w:p>
        </w:tc>
        <w:tc>
          <w:tcPr>
            <w:tcW w:w="1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713,524</w:t>
            </w:r>
          </w:p>
        </w:tc>
        <w:tc>
          <w:tcPr>
            <w:tcW w:w="1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280,745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39,190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expenses</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(333,216)</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(403,530)</w:t>
            </w: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(798,363)</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(347,016)</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(457,610)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(63,880)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Gain/(loss) on extinguishment of debt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138,332</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170,193</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(4,480)</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(11,326)</w:t>
            </w: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(14,660)</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 of income/(loss) of equity investees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377,775</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64,394</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(503,193)</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(93,089)</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(380,859)</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(53,166)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Other (loss)/income, net</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(282,952)</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155,191</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(98,143)</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119,727</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202,106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28,213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2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Loss before income tax expense</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(14,382,001)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(20,458,918)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(22,424,524)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(10,221,551)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(11,697,264)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(1,632,874)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Income tax (expense)/benefit</w:t>
            </w:r>
          </w:p>
        </w:tc>
        <w:tc>
          <w:tcPr>
            <w:tcW w:w="7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Borders>
              <w:bottom w:val="single" w:sz="8" w:color="CCEEFF"/>
            </w:tcBorders>
            <w:gridSpan w:val="2"/>
            <w:vMerge w:val="continue"/>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(55,103)</w:t>
            </w:r>
          </w:p>
        </w:tc>
        <w:tc>
          <w:tcPr>
            <w:tcW w:w="140" w:type="dxa"/>
            <w:vAlign w:val="bottom"/>
            <w:tcBorders>
              <w:bottom w:val="single" w:sz="8" w:color="CCEEFF"/>
            </w:tcBorders>
            <w:vMerge w:val="continue"/>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(260,835)</w:t>
            </w:r>
          </w:p>
        </w:tc>
        <w:tc>
          <w:tcPr>
            <w:tcW w:w="140" w:type="dxa"/>
            <w:vAlign w:val="bottom"/>
            <w:tcBorders>
              <w:bottom w:val="single" w:sz="8" w:color="CCEEFF"/>
            </w:tcBorders>
            <w:vMerge w:val="continue"/>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22,815</w:t>
            </w:r>
          </w:p>
        </w:tc>
        <w:tc>
          <w:tcPr>
            <w:tcW w:w="16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(9,009)</w:t>
            </w:r>
          </w:p>
        </w:tc>
        <w:tc>
          <w:tcPr>
            <w:tcW w:w="140" w:type="dxa"/>
            <w:vAlign w:val="bottom"/>
            <w:tcBorders>
              <w:bottom w:val="single" w:sz="8" w:color="CCEEFF"/>
            </w:tcBorders>
            <w:vMerge w:val="continue"/>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(47,570)</w:t>
            </w:r>
          </w:p>
        </w:tc>
        <w:tc>
          <w:tcPr>
            <w:tcW w:w="140" w:type="dxa"/>
            <w:vAlign w:val="bottom"/>
            <w:tcBorders>
              <w:bottom w:val="single" w:sz="8" w:color="CCEEFF"/>
            </w:tcBorders>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(6,641)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(14,437,104)</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(20,719,753)</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(22,401,709)</w:t>
            </w:r>
          </w:p>
        </w:tc>
        <w:tc>
          <w:tcPr>
            <w:tcW w:w="1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(10,230,560)</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(11,744,834)</w:t>
            </w:r>
          </w:p>
        </w:tc>
        <w:tc>
          <w:tcPr>
            <w:tcW w:w="1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(1,639,515)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 comprehensive income/(loss)</w:t>
            </w: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5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Change in unrealized gains/(losses) related to available-for-sale debt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746,336</w:t>
            </w:r>
          </w:p>
        </w:tc>
        <w:tc>
          <w:tcPr>
            <w:tcW w:w="14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(770,560)</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 net of tax</w:t>
            </w: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2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 net of nil tax</w:t>
            </w: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717,274</w:t>
            </w:r>
          </w:p>
        </w:tc>
        <w:tc>
          <w:tcPr>
            <w:tcW w:w="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11,514</w:t>
            </w:r>
          </w:p>
        </w:tc>
        <w:tc>
          <w:tcPr>
            <w:tcW w:w="1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149,668</w:t>
            </w:r>
          </w:p>
        </w:tc>
        <w:tc>
          <w:tcPr>
            <w:tcW w:w="1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96,951</w:t>
            </w:r>
          </w:p>
        </w:tc>
        <w:tc>
          <w:tcPr>
            <w:tcW w:w="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260,479</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36,361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other comprehensive income/(loss)</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1,463,610</w:t>
            </w:r>
          </w:p>
        </w:tc>
        <w:tc>
          <w:tcPr>
            <w:tcW w:w="14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(759,046)</w:t>
            </w:r>
          </w:p>
        </w:tc>
        <w:tc>
          <w:tcPr>
            <w:tcW w:w="14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149,668</w:t>
            </w:r>
          </w:p>
        </w:tc>
        <w:tc>
          <w:tcPr>
            <w:tcW w:w="1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96,951</w:t>
            </w:r>
          </w:p>
        </w:tc>
        <w:tc>
          <w:tcPr>
            <w:tcW w:w="14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260,479</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36,361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comprehensive loss</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(12,973,494)</w:t>
            </w:r>
          </w:p>
        </w:tc>
        <w:tc>
          <w:tcPr>
            <w:tcW w:w="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(21,478,799)</w:t>
            </w:r>
          </w:p>
        </w:tc>
        <w:tc>
          <w:tcPr>
            <w:tcW w:w="1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(22,252,041)</w:t>
            </w:r>
          </w:p>
        </w:tc>
        <w:tc>
          <w:tcPr>
            <w:tcW w:w="1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(10,133,609)</w:t>
            </w:r>
          </w:p>
        </w:tc>
        <w:tc>
          <w:tcPr>
            <w:tcW w:w="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(11,484,355)</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(1,603,154)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Accretion on redeemable non-controlling interests to redemption value</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(279,355)</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(303,163)</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(347,516)</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(162,546)</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(292,864)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(40,882)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loss/(profit) attributable to non-controlling interests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157,014</w:t>
            </w:r>
          </w:p>
        </w:tc>
        <w:tc>
          <w:tcPr>
            <w:tcW w:w="14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(124,051)</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91,533</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8,818</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5,330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(income)/loss attributable to non-controlling interests</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(151,299)</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156,026</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 loss attributable to ordinary shareholders of NIO Inc.</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(13,247,134)</w:t>
            </w:r>
          </w:p>
        </w:tc>
        <w:tc>
          <w:tcPr>
            <w:tcW w:w="1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(21,749,987)</w:t>
            </w:r>
          </w:p>
        </w:tc>
        <w:tc>
          <w:tcPr>
            <w:tcW w:w="1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(22,508,024)</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(10,287,337)</w:t>
            </w:r>
          </w:p>
        </w:tc>
        <w:tc>
          <w:tcPr>
            <w:tcW w:w="1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(11,771,889)</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(1,643,292)</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1"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currently generate revenues from vehicle sales and other sales.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1" w:name="page52"/>
    <w:bookmarkEnd w:id="51"/>
    <w:p>
      <w:pPr>
        <w:ind w:left="340" w:hanging="332"/>
        <w:spacing w:after="0"/>
        <w:tabs>
          <w:tab w:leader="none" w:pos="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compensation expenses were allocated in cost of sales and operating expenses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66,914</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83,972</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71,779</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28,451</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27,868</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3,890</w:t>
            </w:r>
          </w:p>
        </w:tc>
      </w:tr>
      <w:tr>
        <w:trPr>
          <w:trHeight w:val="148"/>
        </w:trPr>
        <w:tc>
          <w:tcPr>
            <w:tcW w:w="4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 expenses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1,323,370</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1,517,206</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1,296,136</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536,093</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569,667</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79,522</w:t>
            </w:r>
          </w:p>
        </w:tc>
      </w:tr>
      <w:tr>
        <w:trPr>
          <w:trHeight w:val="149"/>
        </w:trPr>
        <w:tc>
          <w:tcPr>
            <w:tcW w:w="45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905,612</w:t>
            </w:r>
          </w:p>
        </w:tc>
        <w:tc>
          <w:tcPr>
            <w:tcW w:w="1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767,863</w:t>
            </w:r>
          </w:p>
        </w:tc>
        <w:tc>
          <w:tcPr>
            <w:tcW w:w="1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560,597</w:t>
            </w:r>
          </w:p>
        </w:tc>
        <w:tc>
          <w:tcPr>
            <w:tcW w:w="1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227,620</w:t>
            </w:r>
          </w:p>
        </w:tc>
        <w:tc>
          <w:tcPr>
            <w:tcW w:w="14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299,579</w:t>
            </w:r>
          </w:p>
        </w:tc>
        <w:tc>
          <w:tcPr>
            <w:tcW w:w="1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41,820</w:t>
            </w:r>
          </w:p>
        </w:tc>
      </w:tr>
      <w:tr>
        <w:trPr>
          <w:trHeight w:val="142"/>
        </w:trPr>
        <w:tc>
          <w:tcPr>
            <w:tcW w:w="4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2,295,896</w:t>
            </w:r>
          </w:p>
        </w:tc>
        <w:tc>
          <w:tcPr>
            <w:tcW w:w="16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2,369,041</w:t>
            </w:r>
          </w:p>
        </w:tc>
        <w:tc>
          <w:tcPr>
            <w:tcW w:w="16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1,928,512</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792,164</w:t>
            </w:r>
          </w:p>
        </w:tc>
        <w:tc>
          <w:tcPr>
            <w:tcW w:w="14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897,114</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125,232</w:t>
            </w:r>
          </w:p>
        </w:tc>
      </w:tr>
      <w:tr>
        <w:trPr>
          <w:trHeight w:val="20"/>
        </w:trPr>
        <w:tc>
          <w:tcPr>
            <w:tcW w:w="2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r>
    </w:tbl>
    <w:p>
      <w:pPr>
        <w:spacing w:after="0" w:line="72" w:lineRule="exact"/>
        <w:rPr>
          <w:sz w:val="20"/>
          <w:szCs w:val="20"/>
          <w:color w:val="auto"/>
        </w:rPr>
      </w:pPr>
    </w:p>
    <w:p>
      <w:pPr>
        <w:jc w:val="both"/>
        <w:ind w:left="340" w:hanging="332"/>
        <w:spacing w:after="0" w:line="236" w:lineRule="auto"/>
        <w:tabs>
          <w:tab w:leader="none" w:pos="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sales mainly consist of revenues from (a) parts, accessories and after-sales vehicle services, including repair, maintenance, service package, extended warranty services and other vehicle services, (b) provision of power solutions, including sale of charging piles, provision of battery charging and swapping services, battery upgrade service, BaaS battery buy-out service and other power solution services, (c) others, which mainly consist of revenues from sales of used cars, auto financing services, technical services, lifestyle product merchandise, automotive regulatory credits and other products and services.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 Compared to Six Months Ended June 30,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revenues increased by 13.5% from RMB27,354.6 million in the six months ended June 30, 2024 to RMB31,043.4 million (US$4,333.5 million) in the six months ended June 30, 2025, primarily attributable to (i) an increase in vehicle sales by RMB2,014.5 million, as a result of an increase in vehicle delivery volume by 30.6% from 87,426 vehicles in the six months ended June 30, 2024 to 114,150 vehicles in the six months ended June 30, 2025, partially offset by lower average selling prices as the commencement of deliveries of ONVO L60 and FIREFLY shifted the starting manufacturer’s suggested retail price (MSRP) range of our mainstream models in China from RMB 298,000–358,000 to RMB 119,800–358,000, and (ii) an increase in other revenues by RMB1,621.2 million from sales of used cars, provision of technical research and development services, sales of parts, accessories and after-sales vehicle services, and provision of power solutions, as a result of the continued growth in the number of our users.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0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cost of sales increased by 12.1% from RMB25,178.2 million in the six months ended June 30, 2024 to RMB28,226.3 million (US$3,940.2 million) in the six months ended June 30, 2025, primarily attributable to (i) an increase in cost of vehicle sales by RMB2,012.2 million, as a result of an increase in vehicle delivery volume by 30.6%, partially offset by changes in our product mix and lower material cost per vehicle, (ii) an increase in cost of used car sales by RMB672.5 million, as a result of increased used car sales volume, and (iii) an increase in cost of provision of power solutions by RMB300.3 million, as a result of higher depreciation and operating cost from the increased investment in our power network.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gross profit increased by 29.4% from RMB2,176.4 million in the six months ended June 30, 2024 to RMB2,817.1 million (US$393.2 million) in the six months ended June 30, 2025. The increase of gross profit compared to the six months ended June 30, 2024 was mainly driven by (i) the increase in profit from sales of parts, accessories and after-sales vehicle services of RMB310.3 million, and (ii) the increase in profit from provision of technical research and development services of RMB214.4 million.</w:t>
      </w:r>
    </w:p>
    <w:p>
      <w:pPr>
        <w:spacing w:after="0" w:line="1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margin in the six months ended June 30, 2025 was 9.1%, compared with 8.0% in the six months ended June 30, 2024. The increase of gross margin as compared to the six months ended June 30, 2024 was mainly driven by the increase of other sales margin.</w:t>
      </w:r>
    </w:p>
    <w:p>
      <w:pPr>
        <w:spacing w:after="0" w:line="1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Vehicle margin in the six months ended June 30, 2025 was 10.3%, compared with 11.1% in the six months ended June 30, 2024. Vehicle margin is the margin of new vehicle sales, which is calculated based on revenues and cost of sales derived from new vehicle sales only. The decrease of vehicle margin as compared to the six months ended June 30, 2024 was mainly driven by changes in our product mix, which is partially offset by decreased material cost per vehicle.</w:t>
      </w:r>
    </w:p>
    <w:p>
      <w:pPr>
        <w:spacing w:after="0" w:line="1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sales margin in the six months ended June 30, 2025 was 2.8%, compared with negative 15.1% in the six months ended June 30, 2024, which was mainly driven by (i) positive margin effect from the provision of power solutions and sales of parts, accessories and after-sales vehicle services due to the growing number of users, and (ii) positive mix effect driven by the increase in revenue from the provision of technical research and development services.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by 1.7% from RMB6,082.7 million in the six months ended June 30, 2024 to RMB6,188.4 million (US$863.9 million) in the six months ended June 30, 2025, primarily due to increased design and development costs of RMB188.7 million and increased personnel costs in research and development functions of RMB79.1 million resulting from different stages of development for new products and technologies, partially offset by the decreased depreciation and amortization expenses of RMB133.7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by 23.9% from RMB6,754.3 million in the six months ended June 30, 2024 to RMB8,365.7 million (US$1,167.8 million) in the six months ended June 30, 2025, primarily due to (i) increased employee compensation expense of RMB1,004.2 million driven by an increase in sales functions personnel, and (ii) increased marketing and promotional expenses of RMB346.1 million due to the increase in sales and marketing activities for new brands and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Operations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foregoing, we incurred a loss from operations of RMB11,327.0 million (US$1,581.2 million) in the six months ended June 30, 2025, representing an increase of 6.8% as compared to a loss of RMB10,603.4 million in the six months ended June 30,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investment income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recorded interest and investment income of RMB280.7 million (US$39.2 million) in the six months ended June 30, 2025, representing a decrease of 60.7% as compared to RMB713.5 million in the six months ended June 30, 2024, primarily due to the decrease in cash and cash equivalents.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interest expenses increased from RMB347.0 million in the six months ended June 30, 2024 to RMB457.6 million (US$63.9 million) in the six months ended June 30, 2025, primarily due to the increase in other financing arrangements.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of Loss of Equity Investees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recorded share of loss of equity investees of RMB380.9 million (US$53.2 million) in the six months ended June 30, 2025, as compared to share of loss of equity investees of RMB93.1 million in the six months ended June 30, 2024, primarily due to the share of losses recorded from our equity investments measured under equity method in the six months ended June 30,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recorded other income of RMB202.1 million (US$28.2 million) in the six months ended June 30, 2025, compared with other income of RMB119.7 million in the six months ended June 30, 2024, primarily due to an increase in foreign exchange gain of RMB50.1 million from the revaluation impact of overseas Renminbi-related assets as a result of the appreciation of Renminbi against U.S. dollars in the six months ended June 30,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As a result of the foregoing, we incurred a net loss of RMB11,744.8 million (US$1,639.5 million) in the six months ended June 30, 2025, representing an increase of 14.8% as compared to a net loss of RMB10,230.6 million in the six months ended June 30, 2024.</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and Working Capital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had net cash used in operating activities of RMB10,027.8 million in the six months ended June 30, 2024, and net cash used in operating activities of RMB10,926.4 million (US$1,525.3 million) in the six months ended June 30, 2025.</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June 30, 2025, we had a total of RMB27,139.2 million (US$3,788.5 million) in cash and cash equivalents, restricted cash (including non-current restricted cash) and short-term investments. As of June 30, 2025, 81.1% of our cash and cash equivalents and restricted cash (including non-current restricted cash) and short-term investments were denominated in Renminbi and held in PRC and Hong Kong and the other cash and cash equivalents and restricted cash (including non-current restricted cash) and short-term investments were mainly denominated in US$ and held in the PRC, Hong Kong and the United States. Our cash and cash equivalents consist primarily of cash on hand, time deposits and highly liquid investments placed with banks, which are unrestricted as to withdrawal and use, and which have original maturities of three months or less.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53" w:name="page54"/>
    <w:bookmarkEnd w:id="5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June 30, 2025, we had bank credit quotas with an aggregate amount of RMB66,912.2 million (US$9,340.6 million), which consists of non-collateral based bank credit quotas of RMB10,029.1 million (US$1,400.0 million) and collateral-based bank credit quotas of RMB56,883.1 million (US$7,940.6 million). Out of the total non-collateral based bank credit quotas, RMB4,151.5 million (US$579.5 million), RMB2,200.1 million (US$307.1 million), and RMB584.0 million (US$81.5 million) were used for bank borrowing, issuance of letters of guarantee, and bank’s acceptance notes, respectively. Out of the total collateral-based bank credit quotas, RMB2,086.4 million (US$291.2 million) and RMB16,236.9 million (US$2,266.6 million) were used for issuance of letters of guarantee and bank’s acceptance notes, respectively.</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2025, we had RMB6,231.0 million (US$869.8 million) and RMB9,113.2 million (US$1,272.2 million) in total short-term and long-term borrowings outstanding, respectively. The borrowings outstanding primarily consisted of the 2029 Notes and 2030 Notes, portions of the asset-backed notes, and our short-term and long-term bank debt.</w:t>
      </w:r>
    </w:p>
    <w:p>
      <w:pPr>
        <w:spacing w:after="0" w:line="1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September and October 2023, we issued US$575 million aggregate principal amount of 3.875% convertible senior notes due 2029, or the 2029 Notes, and US$575 million aggregate principal amount of 4.625% convertible senior notes due 2030, or the 2030 Notes. Holders of the 2029 Notes and 2030 Notes may require us to repurchase all or any portion of their 2029 Notes and 2030 Notes for cash on October 15, 2027, in the case of the 2029 Notes, and October 15, 2028, in the case of 2030 Notes, or in the event of certain fundamental changes, at a repurchase price equal to 100% of the principal amount of the 2029 Notes or the 2030 Notes to be repurchased plus accrued and unpaid interest, if any, to, but excluding, the repurchase date. In addition, on or after October 22, 2027, in the case of the 2029 Notes, and October 22, 2028, in the case of the 2030 Notes, until the 20th scheduled trading day immediately prior to the relevant maturity date, we may redeem all or part of the 2029 Notes and 2030 Notes, as applicable for cash subject to certain conditions, at a redemption price equal to 100% of the principal amount of the 2029 Notes or the 2030 Notes to be redeemed, plus accrued and unpaid interest, if any, to, but excluding, the optional redemption date.</w:t>
      </w:r>
    </w:p>
    <w:p>
      <w:pPr>
        <w:spacing w:after="0" w:line="1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in January 2021, we issued US$750 million aggregate principal amount of 0.00% convertible senior notes due 2026, or the 2026 Notes, and US$750 million aggregate principal amount of 0.50% convertible senior notes due 2027, or the 2027 Notes. Following a series of repurchase or exchange transactions, substantially all of the 2026 Notes and 2027 Notes that were originally issued have been repurchased or exchanged. As of June 30, 2025, an aggregate principal amount of US$1.1 million of the 2026 Notes and 2027 Notes remained outstanding.</w:t>
      </w:r>
    </w:p>
    <w:p>
      <w:pPr>
        <w:spacing w:after="0" w:line="1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the outstanding principal amount of the 2026 Notes, the 2027 Notes, the 2029 Notes and the 2030 Notes, and the highest conversion rate under each indenture, the maximum number of ADSs that would be issued in connection with the outstanding convertible notes is approximately 134.5 million.</w:t>
      </w:r>
    </w:p>
    <w:p>
      <w:pPr>
        <w:spacing w:after="0" w:line="1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have been proceeds from issuances of equity securities, our notes offerings, our bank credit quotas and cash flow from business operations. We have been applying a variety of methods to manage our working capital. We use just-in-time, pull-production system to control the inventory level of the components. Meanwhile, payment methods for our suppliers can be a combination of cash and notes payable.</w:t>
      </w:r>
    </w:p>
    <w:p>
      <w:pPr>
        <w:spacing w:after="0" w:line="13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We have been incurring losses since inception. We incurred operating cash outflow for the six months ended June 30, 2025; our current liabilities exceeded current assets as of June 30, 2025 and we had negative shareholders’ equity as of June 30, 2025. Therefore, our ability to continue as a going concern is largely dependent on the successful implementation of our management’s business plan to mitigate these adverse conditions, which includes growing our revenue by increasing the sales volume of electric vehicles from existing and new vehicle models, continuing to optimize operation efficiency to improve operating cash flows, maintaining a reasonable working capital turnover rate by managing collection of receivables and settlement of payables, and raising funds from banks under available credit quotas and other sources when needed. We have prepared a cash flows forecast covering the twelve months from the date of issuance of the unaudited interim condensed consolidated financial statements after giving consideration to our business plan as noted above and the evaluation of the probability of the successful implementation of such business plan. We have assessed the uncertainties as to the successful execution of such business plan and concluded it is probable that the business plan will be effectively implemented, and our available cash and cash equivalents, restricted cash and short-term investments, cash generated from operating activities and funds from available credit quotas and other sources will be sufficient to support our continuous operations and necessary capital expenditures, and to meet our payment obligations when liabilities fall due within the twelve months from the date of issuance of the unaudited interim condensed consolidated financial statements.</w:t>
      </w:r>
    </w:p>
    <w:p>
      <w:pPr>
        <w:spacing w:after="0" w:line="16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However, we may decide to enhance our liquidity position or increase our cash reserve for future expansions and acquisitions through additional capital and/or finance funding.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334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0" w:type="dxa"/>
            <w:vAlign w:val="bottom"/>
            <w:gridSpan w:val="7"/>
          </w:tcPr>
          <w:p>
            <w:pPr>
              <w:ind w:left="7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4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3400" w:type="dxa"/>
            <w:vAlign w:val="bottom"/>
          </w:tcPr>
          <w:p>
            <w:pPr>
              <w:spacing w:after="0"/>
              <w:rPr>
                <w:sz w:val="12"/>
                <w:szCs w:val="12"/>
                <w:color w:val="auto"/>
              </w:rPr>
            </w:pPr>
          </w:p>
        </w:tc>
        <w:tc>
          <w:tcPr>
            <w:tcW w:w="92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98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98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98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100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r>
      <w:tr>
        <w:trPr>
          <w:trHeight w:val="128"/>
        </w:trPr>
        <w:tc>
          <w:tcPr>
            <w:tcW w:w="3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20" w:type="dxa"/>
            <w:vAlign w:val="bottom"/>
            <w:gridSpan w:val="3"/>
          </w:tcPr>
          <w:p>
            <w:pPr>
              <w:jc w:val="right"/>
              <w:ind w:right="53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4"/>
        </w:trPr>
        <w:tc>
          <w:tcPr>
            <w:tcW w:w="3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Summary of Consolidated Cash Flow</w:t>
            </w: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38"/>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Data:</w:t>
            </w: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3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cash used in operating activities before</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movements in working capital</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(8,116,982)</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(14,466,984)</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(11,461,099)</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(5,690,156)</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(5,782,054)</w:t>
            </w:r>
          </w:p>
        </w:tc>
        <w:tc>
          <w:tcPr>
            <w:tcW w:w="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(807,144)</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4,250,974</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13,085,438</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3,611,931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(4,337,614)</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(5,144,389)</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(718,129)</w:t>
            </w:r>
          </w:p>
        </w:tc>
        <w:tc>
          <w:tcPr>
            <w:tcW w:w="20" w:type="dxa"/>
            <w:vAlign w:val="bottom"/>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(3,866,008)</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(1,381,546)</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(7,849,168)</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(10,027,770)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(10,926,443)</w:t>
            </w: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(1,525,273)</w:t>
            </w:r>
          </w:p>
        </w:tc>
        <w:tc>
          <w:tcPr>
            <w:tcW w:w="20" w:type="dxa"/>
            <w:vAlign w:val="bottom"/>
          </w:tcPr>
          <w:p>
            <w:pPr>
              <w:spacing w:after="0"/>
              <w:rPr>
                <w:sz w:val="18"/>
                <w:szCs w:val="18"/>
                <w:color w:val="auto"/>
              </w:rPr>
            </w:pPr>
          </w:p>
        </w:tc>
      </w:tr>
      <w:tr>
        <w:trPr>
          <w:trHeight w:val="198"/>
        </w:trPr>
        <w:tc>
          <w:tcPr>
            <w:tcW w:w="3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cash provided by/(used in) investing</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activities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10,385,017</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(10,885,375)</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(4,958,493)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827,188</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516,797</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72,142</w:t>
            </w:r>
          </w:p>
        </w:tc>
        <w:tc>
          <w:tcPr>
            <w:tcW w:w="20" w:type="dxa"/>
            <w:vAlign w:val="bottom"/>
          </w:tcPr>
          <w:p>
            <w:pPr>
              <w:spacing w:after="0"/>
              <w:rPr>
                <w:sz w:val="20"/>
                <w:szCs w:val="20"/>
                <w:color w:val="auto"/>
              </w:rPr>
            </w:pPr>
          </w:p>
        </w:tc>
      </w:tr>
      <w:tr>
        <w:trPr>
          <w:trHeight w:val="198"/>
        </w:trPr>
        <w:tc>
          <w:tcPr>
            <w:tcW w:w="3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cash (used in)/provided by financing</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activities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(1,616,384)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27,662,881</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1,772,483</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(1,246,702)</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(917,821)</w:t>
            </w:r>
          </w:p>
        </w:tc>
        <w:tc>
          <w:tcPr>
            <w:tcW w:w="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(128,123)</w:t>
            </w:r>
          </w:p>
        </w:tc>
      </w:tr>
      <w:tr>
        <w:trPr>
          <w:trHeight w:val="198"/>
        </w:trPr>
        <w:tc>
          <w:tcPr>
            <w:tcW w:w="3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Effects of exchange rate changes on cash,</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equivalents and restricted cash</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(121,896)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70,254</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161,039</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267,670</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29,899</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20" w:type="dxa"/>
            <w:vAlign w:val="bottom"/>
          </w:tcPr>
          <w:p>
            <w:pPr>
              <w:spacing w:after="0"/>
              <w:rPr>
                <w:sz w:val="20"/>
                <w:szCs w:val="20"/>
                <w:color w:val="auto"/>
              </w:rPr>
            </w:pPr>
          </w:p>
        </w:tc>
      </w:tr>
      <w:tr>
        <w:trPr>
          <w:trHeight w:val="198"/>
        </w:trPr>
        <w:tc>
          <w:tcPr>
            <w:tcW w:w="3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increase/(decrease) in cash, cash</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4,780,729</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15,466,214</w:t>
            </w: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(10,874,139)</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(10,179,614)</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(11,297,568)</w:t>
            </w:r>
          </w:p>
        </w:tc>
        <w:tc>
          <w:tcPr>
            <w:tcW w:w="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(1,577,079)</w:t>
            </w:r>
          </w:p>
        </w:tc>
      </w:tr>
      <w:tr>
        <w:trPr>
          <w:trHeight w:val="178"/>
        </w:trPr>
        <w:tc>
          <w:tcPr>
            <w:tcW w:w="34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Cash, cash equivalents and restricted cash at</w:t>
            </w: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4"/>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of the year/period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18,374,564</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23,155,293</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38,621,507</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38,621,507</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27,747,368</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3,873,383</w:t>
            </w:r>
          </w:p>
        </w:tc>
        <w:tc>
          <w:tcPr>
            <w:tcW w:w="20" w:type="dxa"/>
            <w:vAlign w:val="bottom"/>
          </w:tcPr>
          <w:p>
            <w:pPr>
              <w:spacing w:after="0"/>
              <w:rPr>
                <w:sz w:val="20"/>
                <w:szCs w:val="20"/>
                <w:color w:val="auto"/>
              </w:rPr>
            </w:pPr>
          </w:p>
        </w:tc>
      </w:tr>
      <w:tr>
        <w:trPr>
          <w:trHeight w:val="198"/>
        </w:trPr>
        <w:tc>
          <w:tcPr>
            <w:tcW w:w="3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cash equivalents and restricted cash at</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end of the year/period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23,155,293</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38,621,507</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27,747,368</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28,441,893</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16,449,800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2,296,304</w:t>
            </w:r>
          </w:p>
        </w:tc>
        <w:tc>
          <w:tcPr>
            <w:tcW w:w="2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increased by RMB898.6 million to RMB10,926.4 million (US$1,525.3 million) for the six months ended June 30, 2025 from RMB10,027.8 million for the six months ended June 30, 2024. The increase can be attributable to an increase in net loss excluding non-cash and non-operating items of RMB91.8 million and a cash outflow from changes in net operating assets and liabilities of RMB806.8 million. The increase in net loss excluding non-cash and non-operating items was lower than the increase in net loss, primarily due to changes in non-cash and non-operating items such as depreciation and amortization and amortization of right-of-use assets as a result of increased expenditure on long-lived assets. The cash outflow from changes in net operating assets and liabilities was primarily attributable to (i) the decrease in cash inflows by RMB4,104.1 million from movements of trade and notes receivable and amounts due from related parties, mainly due to a one-off cash inflow in the six months ended June 30, 2024 from derecognition of transferred assets under asset-backed securitization arrangements, and increased sales volume and (ii) the increase in cash outflows by RMB2,253.0 million from an increase in inventories, partially offset by (iii) the decrease in cash outflows by RMB5,504.6 million from movements of trade and notes payable. These changes in inventories and trade notes payable were attributable to the increased purchasing and production activities resulting from our business growth.</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decreased by RMB310.4 million to RMB516.8 million (US$72.1 million) for the six months ended June 30, 2025 from RMB827.2 million for the six months ended June 30, 2024. The decrease was mainly due to a decrease in net cash inflows of RMB2,033.8 million from the purchases and sale of short-term investments as a result of our cash and investment management strategy, partially offset by a decrease in cash investment in capital expenditure of RMB1,652.5 million which was attributable to the timing effect according to payment schedule.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decreased by RMB328.9 million to RMB917.8 million (US$128.1 million) for the six months ended June 30, 2025 from RMB1,246.7 million for the six months ended June 30, 2024. The decrease was mainly due to</w:t>
      </w:r>
    </w:p>
    <w:p>
      <w:pPr>
        <w:jc w:val="both"/>
        <w:ind w:firstLine="8"/>
        <w:spacing w:after="0" w:line="253" w:lineRule="auto"/>
        <w:tabs>
          <w:tab w:leader="none" w:pos="21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inflows of RMB3,684.9 million from the issuance of ordinary shares, (ii) a decrease in cash outflows of RMB589.8 million from repurchase and repayments of convertible senior notes, partially offset by (iii) a decrease in cash inflows of RMB3,268.2 million from proceeds from borrowings and capital injection from redeemable non-controlling interests as well as (iv) an increase in cash outflows of RMB641.3 million due to repayments of borrowings. These changes were attributable to our cash management strategy for financing activities based on cash requirements.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material cash requirements as of June 30, 2025 primarily include our capital commitments, operating and financing lease obligations, short-term and long-term borrowings, and convertible notes, as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00" w:type="dxa"/>
            <w:vAlign w:val="bottom"/>
          </w:tcPr>
          <w:p>
            <w:pPr>
              <w:spacing w:after="0"/>
              <w:rPr>
                <w:sz w:val="10"/>
                <w:szCs w:val="10"/>
                <w:color w:val="auto"/>
              </w:rPr>
            </w:pPr>
          </w:p>
        </w:tc>
        <w:tc>
          <w:tcPr>
            <w:tcW w:w="90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vMerge w:val="restart"/>
          </w:tcPr>
          <w:p>
            <w:pPr>
              <w:spacing w:after="0"/>
              <w:rPr>
                <w:sz w:val="10"/>
                <w:szCs w:val="10"/>
                <w:color w:val="auto"/>
              </w:rPr>
            </w:pPr>
          </w:p>
        </w:tc>
        <w:tc>
          <w:tcPr>
            <w:tcW w:w="106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Less than 1</w:t>
            </w:r>
          </w:p>
        </w:tc>
        <w:tc>
          <w:tcPr>
            <w:tcW w:w="8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60" w:type="dxa"/>
            <w:vAlign w:val="bottom"/>
            <w:vMerge w:val="restart"/>
          </w:tcPr>
          <w:p>
            <w:pPr>
              <w:spacing w:after="0"/>
              <w:rPr>
                <w:sz w:val="10"/>
                <w:szCs w:val="10"/>
                <w:color w:val="auto"/>
              </w:rPr>
            </w:pPr>
          </w:p>
        </w:tc>
        <w:tc>
          <w:tcPr>
            <w:tcW w:w="84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40" w:type="dxa"/>
            <w:vAlign w:val="bottom"/>
            <w:vMerge w:val="restart"/>
          </w:tcPr>
          <w:p>
            <w:pPr>
              <w:spacing w:after="0"/>
              <w:rPr>
                <w:sz w:val="10"/>
                <w:szCs w:val="10"/>
                <w:color w:val="auto"/>
              </w:rPr>
            </w:pPr>
          </w:p>
        </w:tc>
        <w:tc>
          <w:tcPr>
            <w:tcW w:w="8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More than 5</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9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128"/>
        </w:trPr>
        <w:tc>
          <w:tcPr>
            <w:tcW w:w="5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RMB thousands)</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commitments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5,009,848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5,001,095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16,460,555</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2,632,294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4,043,510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2,706,279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7,078,472</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2,478,951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158,320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292,964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263,021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1,764,646</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Short-term and long-term borrowings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5,232,910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4,569,340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578,570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borrowings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130,453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98,733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Convertible notes with principal and interest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9,305,539</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356,420</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4,737,737</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4,211,382</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38,618,256</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12,816,202</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9,690,503</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7,268,433</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8,843,118</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capital commitments are commitments in relation to the purchase of property and equipment including leasehold improvements.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operating and finance lease obligations consist of leases in relation to certain manufacturing plant, offices and buildings and other properties for our sales and service network.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short-term and long-term borrowings represent borrowings with maturity from eleven months to seven years.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convertible notes that remained outstanding as of June 30, 2025 represented (i) the 2026 Notes with outstanding principal amount of US$912,000 as of June 30, 2025, which will mature in February 2026, (ii) the 2027 Notes with outstanding principal amount of US$213,000 as of June 30, 2025, which will mature in February 2027, (iii) the 2029 Notes with outstanding principal amount of US$575.0 million as of June 30, 2025, which will mature in October 2029 and (iv) the 2030 Notes with outstanding principal amount of US$575.0 million as of June 30, 2025, which will mature in October 2030.</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intend to fund our existing and future material cash requirements with our existing cash balance. We will continue to make cash commitments, including capital expenditures, to support the growth of our business.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Other than those shown above, we did not have any significant capital and other commitments, long-term obligations, mortgages or guarantees as of June 30, 2025. As of June 30, 2025, save as disclosed in our unaudited interim condensed consolidated financial statements included in Exhibit 99.1 to our current report on Form 6-K furnished to the SEC on September 10, 2025, we did not have significant contingent liabilities. As of June 30, 2025, save as disclosed in this section, we did not have any significant bank overdrafts, loans and other similar indebtedness, liabilities under acceptances or acceptance credits, debentures, mortgages, purchase commitments or other outstanding material contingent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six months ended June 30, 2025, our capital expenditures were mainly used for the acquisition of property, plant and equipment which consisted primarily of charging and battery swap equipment, mold and tooling, production facilities, IT equipment, research and development equipment, leasehold improvements mainly for NIO Houses and NIO Spaces, delivery and servicing centers, Power Swap Stations and laboratories as well as equity investments. We made capital expenditures of RMB2,971.2 million (US$414.8 million) in the six months ended June 30, 2025, respectively. We expect our capital expenditures to continue to be significant in the foreseeable future as we expand our business, and that our level of capital expenditures will be significantly affected by user demand for our products and services. The fact that we have a limited operating history means we have limited historical data on the demand for our products and services. As a result, our future capital requirements may be uncertain and actual capital requirements may be different from those we currently anticipate. To the extent the proceeds of securities we have issued and cash flows from our business activities are insufficient to fund future capital requirements, we may need to seek equity or debt financing. We will continue to make capital expenditures to support the expected growth of our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1."/>
      <w:numFmt w:val="decimal"/>
      <w:start w:val="2"/>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3"/>
    </w:lvl>
  </w:abstractNum>
  <w:abstractNum w:abstractNumId="4">
    <w:nsid w:val="109CF92E"/>
    <w:multiLevelType w:val="hybridMultilevel"/>
    <w:lvl w:ilvl="0">
      <w:lvlJc w:val="left"/>
      <w:lvlText w:val="%1."/>
      <w:numFmt w:val="decimal"/>
      <w:start w:val="4"/>
    </w:lvl>
  </w:abstractNum>
  <w:abstractNum w:abstractNumId="5">
    <w:nsid w:val="DED7263"/>
    <w:multiLevelType w:val="hybridMultilevel"/>
    <w:lvl w:ilvl="0">
      <w:lvlJc w:val="left"/>
      <w:lvlText w:val="%1."/>
      <w:numFmt w:val="decimal"/>
      <w:start w:val="6"/>
    </w:lvl>
  </w:abstractNum>
  <w:abstractNum w:abstractNumId="6">
    <w:nsid w:val="7FDCC233"/>
    <w:multiLevelType w:val="hybridMultilevel"/>
    <w:lvl w:ilvl="0">
      <w:lvlJc w:val="left"/>
      <w:lvlText w:val="%1."/>
      <w:numFmt w:val="decimal"/>
      <w:start w:val="7"/>
    </w:lvl>
  </w:abstractNum>
  <w:abstractNum w:abstractNumId="7">
    <w:nsid w:val="1BEFD79F"/>
    <w:multiLevelType w:val="hybridMultilevel"/>
    <w:lvl w:ilvl="0">
      <w:lvlJc w:val="left"/>
      <w:lvlText w:val="%1."/>
      <w:numFmt w:val="decimal"/>
      <w:start w:val="8"/>
    </w:lvl>
  </w:abstractNum>
  <w:abstractNum w:abstractNumId="8">
    <w:nsid w:val="41A7C4C9"/>
    <w:multiLevelType w:val="hybridMultilevel"/>
    <w:lvl w:ilvl="0">
      <w:lvlJc w:val="left"/>
      <w:lvlText w:val="%1."/>
      <w:numFmt w:val="decimal"/>
      <w:start w:val="9"/>
    </w:lvl>
  </w:abstractNum>
  <w:abstractNum w:abstractNumId="9">
    <w:nsid w:val="6B68079A"/>
    <w:multiLevelType w:val="hybridMultilevel"/>
    <w:lvl w:ilvl="0">
      <w:lvlJc w:val="left"/>
      <w:lvlText w:val="%1."/>
      <w:numFmt w:val="decimal"/>
      <w:start w:val="10"/>
    </w:lvl>
  </w:abstractNum>
  <w:abstractNum w:abstractNumId="10">
    <w:nsid w:val="4E6AFB66"/>
    <w:multiLevelType w:val="hybridMultilevel"/>
    <w:lvl w:ilvl="0">
      <w:lvlJc w:val="left"/>
      <w:lvlText w:val="%1."/>
      <w:numFmt w:val="decimal"/>
      <w:start w:val="12"/>
    </w:lvl>
  </w:abstractNum>
  <w:abstractNum w:abstractNumId="11">
    <w:nsid w:val="25E45D32"/>
    <w:multiLevelType w:val="hybridMultilevel"/>
    <w:lvl w:ilvl="0">
      <w:lvlJc w:val="left"/>
      <w:lvlText w:val="%1."/>
      <w:numFmt w:val="decimal"/>
      <w:start w:val="15"/>
    </w:lvl>
  </w:abstractNum>
  <w:abstractNum w:abstractNumId="12">
    <w:nsid w:val="519B500D"/>
    <w:multiLevelType w:val="hybridMultilevel"/>
    <w:lvl w:ilvl="0">
      <w:lvlJc w:val="left"/>
      <w:lvlText w:val="%1."/>
      <w:numFmt w:val="decimal"/>
      <w:start w:val="17"/>
    </w:lvl>
  </w:abstractNum>
  <w:abstractNum w:abstractNumId="13">
    <w:nsid w:val="431BD7B7"/>
    <w:multiLevelType w:val="hybridMultilevel"/>
    <w:lvl w:ilvl="0">
      <w:lvlJc w:val="left"/>
      <w:lvlText w:val="%1."/>
      <w:numFmt w:val="decimal"/>
      <w:start w:val="18"/>
    </w:lvl>
  </w:abstractNum>
  <w:abstractNum w:abstractNumId="14">
    <w:nsid w:val="3F2DBA31"/>
    <w:multiLevelType w:val="hybridMultilevel"/>
    <w:lvl w:ilvl="0">
      <w:lvlJc w:val="left"/>
      <w:lvlText w:val="%1."/>
      <w:numFmt w:val="decimal"/>
      <w:start w:val="19"/>
    </w:lvl>
  </w:abstractNum>
  <w:abstractNum w:abstractNumId="15">
    <w:nsid w:val="7C83E458"/>
    <w:multiLevelType w:val="hybridMultilevel"/>
    <w:lvl w:ilvl="0">
      <w:lvlJc w:val="left"/>
      <w:lvlText w:val="%1."/>
      <w:numFmt w:val="decimal"/>
      <w:start w:val="21"/>
    </w:lvl>
  </w:abstractNum>
  <w:abstractNum w:abstractNumId="16">
    <w:nsid w:val="257130A3"/>
    <w:multiLevelType w:val="hybridMultilevel"/>
    <w:lvl w:ilvl="0">
      <w:lvlJc w:val="left"/>
      <w:lvlText w:val="%1."/>
      <w:numFmt w:val="decimal"/>
      <w:start w:val="23"/>
    </w:lvl>
  </w:abstractNum>
  <w:abstractNum w:abstractNumId="17">
    <w:nsid w:val="62BBD95A"/>
    <w:multiLevelType w:val="hybridMultilevel"/>
    <w:lvl w:ilvl="0">
      <w:lvlJc w:val="left"/>
      <w:lvlText w:val="%1."/>
      <w:numFmt w:val="decimal"/>
      <w:start w:val="24"/>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2"/>
    </w:lvl>
  </w:abstractNum>
  <w:abstractNum w:abstractNumId="20">
    <w:nsid w:val="333AB105"/>
    <w:multiLevelType w:val="hybridMultilevel"/>
    <w:lvl w:ilvl="0">
      <w:lvlJc w:val="left"/>
      <w:lvlText w:val="(%1)"/>
      <w:numFmt w:val="decimal"/>
      <w:start w:val="3"/>
    </w:lvl>
  </w:abstractNum>
  <w:abstractNum w:abstractNumId="21">
    <w:nsid w:val="721DA31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2025-09-10T05:57:33Z</dcterms:created>
  <dcterms:modified xsi:type="dcterms:W3CDTF">2025-09-10T05:57:33Z</dcterms:modified>
</cp:coreProperties>
</file>