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9"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November 2025</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001-38638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32"/>
          <w:szCs w:val="32"/>
          <w:b w:val="1"/>
          <w:bCs w:val="1"/>
          <w:color w:val="auto"/>
        </w:rPr>
        <w:t>NIO Inc.</w:t>
      </w:r>
    </w:p>
    <w:p>
      <w:pPr>
        <w:spacing w:after="0" w:line="45"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Building 19, No. 1355, Caobao Road, Minhang District</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Shanghai, 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84" w:lineRule="exact"/>
        <w:rPr>
          <w:sz w:val="24"/>
          <w:szCs w:val="24"/>
          <w:color w:val="auto"/>
        </w:rPr>
      </w:pPr>
    </w:p>
    <w:p>
      <w:pPr>
        <w:ind w:left="4580"/>
        <w:spacing w:after="0" w:line="207" w:lineRule="exact"/>
        <w:rPr>
          <w:sz w:val="20"/>
          <w:szCs w:val="20"/>
          <w:color w:val="auto"/>
        </w:rPr>
      </w:pPr>
      <w:r>
        <w:rPr>
          <w:rFonts w:ascii="Times New Roman" w:cs="Times New Roman" w:eastAsia="Times New Roman" w:hAnsi="Times New Roman"/>
          <w:sz w:val="18"/>
          <w:szCs w:val="18"/>
          <w:color w:val="auto"/>
        </w:rPr>
        <w:t>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497840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72"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880" w:type="dxa"/>
            <w:vAlign w:val="bottom"/>
            <w:gridSpan w:val="2"/>
          </w:tcPr>
          <w:p>
            <w:pPr>
              <w:ind w:left="35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13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9880" w:type="dxa"/>
            <w:vAlign w:val="bottom"/>
            <w:gridSpan w:val="2"/>
          </w:tcPr>
          <w:p>
            <w:pPr>
              <w:ind w:left="45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1"/>
        </w:trPr>
        <w:tc>
          <w:tcPr>
            <w:tcW w:w="1360" w:type="dxa"/>
            <w:vAlign w:val="bottom"/>
            <w:gridSpan w:val="3"/>
          </w:tcPr>
          <w:p>
            <w:pPr>
              <w:jc w:val="center"/>
              <w:ind w:right="600"/>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NIO Inc. Reports Unaudited Third Quarter 2025 Financial Results</w:t>
            </w:r>
          </w:p>
        </w:tc>
      </w:tr>
      <w:tr>
        <w:trPr>
          <w:trHeight w:val="453"/>
        </w:trPr>
        <w:tc>
          <w:tcPr>
            <w:tcW w:w="420" w:type="dxa"/>
            <w:vAlign w:val="bottom"/>
            <w:tcBorders>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780" w:type="dxa"/>
            <w:vAlign w:val="bottom"/>
            <w:tcBorders>
              <w:top w:val="single" w:sz="8" w:color="0000EE"/>
              <w:bottom w:val="single" w:sz="8" w:color="auto"/>
            </w:tcBorders>
          </w:tcPr>
          <w:p>
            <w:pPr>
              <w:spacing w:after="0"/>
              <w:rPr>
                <w:sz w:val="24"/>
                <w:szCs w:val="24"/>
                <w:color w:val="auto"/>
              </w:rPr>
            </w:pPr>
          </w:p>
        </w:tc>
        <w:tc>
          <w:tcPr>
            <w:tcW w:w="5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5640" w:type="dxa"/>
        <w:tblCellMar>
          <w:top w:w="0" w:type="dxa"/>
          <w:left w:w="0" w:type="dxa"/>
          <w:bottom w:w="0" w:type="dxa"/>
          <w:right w:w="0" w:type="dxa"/>
        </w:tblCellMar>
      </w:tblPr>
      <w:tr>
        <w:trPr>
          <w:trHeight w:val="238"/>
        </w:trPr>
        <w:tc>
          <w:tcPr>
            <w:tcW w:w="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6"/>
              </w:rPr>
              <w:t>NIO Inc.</w:t>
            </w:r>
          </w:p>
        </w:tc>
        <w:tc>
          <w:tcPr>
            <w:tcW w:w="200" w:type="dxa"/>
            <w:vAlign w:val="bottom"/>
          </w:tcPr>
          <w:p>
            <w:pPr>
              <w:spacing w:after="0"/>
              <w:rPr>
                <w:sz w:val="20"/>
                <w:szCs w:val="20"/>
                <w:color w:val="auto"/>
              </w:rPr>
            </w:pPr>
          </w:p>
        </w:tc>
        <w:tc>
          <w:tcPr>
            <w:tcW w:w="4720" w:type="dxa"/>
            <w:vAlign w:val="bottom"/>
          </w:tcPr>
          <w:p>
            <w:pPr>
              <w:spacing w:after="0"/>
              <w:rPr>
                <w:sz w:val="20"/>
                <w:szCs w:val="20"/>
                <w:color w:val="auto"/>
              </w:rPr>
            </w:pPr>
          </w:p>
        </w:tc>
      </w:tr>
      <w:tr>
        <w:trPr>
          <w:trHeight w:val="432"/>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Yu Qu</w:t>
            </w:r>
          </w:p>
        </w:tc>
      </w:tr>
      <w:tr>
        <w:trPr>
          <w:trHeight w:val="191"/>
        </w:trPr>
        <w:tc>
          <w:tcPr>
            <w:tcW w:w="6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20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color w:val="auto"/>
              </w:rPr>
              <w:t>:</w:t>
            </w:r>
          </w:p>
        </w:tc>
        <w:tc>
          <w:tcPr>
            <w:tcW w:w="4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Yu Qu</w:t>
            </w: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NIO Inc. Reports Unaudited Third Quarter 2025 Financial Results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Quarterly Total Revenues Reached RMB21,793.9 million (US$3,061.4 million)</w:t>
      </w:r>
      <w:r>
        <w:rPr>
          <w:rFonts w:ascii="Times New Roman" w:cs="Times New Roman" w:eastAsia="Times New Roman" w:hAnsi="Times New Roman"/>
          <w:sz w:val="29"/>
          <w:szCs w:val="29"/>
          <w:b w:val="1"/>
          <w:bCs w:val="1"/>
          <w:i w:val="1"/>
          <w:iCs w:val="1"/>
          <w:color w:val="auto"/>
          <w:vertAlign w:val="superscript"/>
        </w:rPr>
        <w:t>i</w:t>
      </w:r>
    </w:p>
    <w:p>
      <w:pPr>
        <w:jc w:val="center"/>
        <w:spacing w:after="0"/>
        <w:rPr>
          <w:sz w:val="20"/>
          <w:szCs w:val="20"/>
          <w:color w:val="auto"/>
        </w:rPr>
      </w:pPr>
      <w:r>
        <w:rPr>
          <w:rFonts w:ascii="Times New Roman" w:cs="Times New Roman" w:eastAsia="Times New Roman" w:hAnsi="Times New Roman"/>
          <w:sz w:val="18"/>
          <w:szCs w:val="18"/>
          <w:i w:val="1"/>
          <w:iCs w:val="1"/>
          <w:color w:val="auto"/>
        </w:rPr>
        <w:t>Quarterly Vehicle Deliveries were 87,071 units</w:t>
      </w:r>
    </w:p>
    <w:p>
      <w:pPr>
        <w:spacing w:after="0" w:line="2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SHANGHAI, China, November 25, 2025 (GLOBE NEWSWIRE) -- NIO Inc. (NYSE: NIO; HKEX: 9866; SGX: NIO) (“NIO” or the “Company”), a pioneer and a leading company in the global smart electric vehicle market, today announced its unaudited financial results for the third quarter ended September 30,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Operating Highlights for the Third Quarter of 2025</w:t>
      </w:r>
    </w:p>
    <w:p>
      <w:pPr>
        <w:spacing w:after="0" w:line="225" w:lineRule="exact"/>
        <w:rPr>
          <w:sz w:val="20"/>
          <w:szCs w:val="20"/>
          <w:color w:val="auto"/>
        </w:rPr>
      </w:pPr>
    </w:p>
    <w:p>
      <w:pPr>
        <w:jc w:val="both"/>
        <w:ind w:left="340" w:hanging="332"/>
        <w:spacing w:after="0" w:line="26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Vehicle deliveries </w:t>
      </w:r>
      <w:r>
        <w:rPr>
          <w:rFonts w:ascii="Times New Roman" w:cs="Times New Roman" w:eastAsia="Times New Roman" w:hAnsi="Times New Roman"/>
          <w:sz w:val="18"/>
          <w:szCs w:val="18"/>
          <w:color w:val="auto"/>
        </w:rPr>
        <w:t>were 87,071 in the third quarter of 2025, representing an increase of 40.8% from the third quarter of 2024, and an increase of 20.8%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the second quarter of 2025. The deliveries consisted of 36,928 vehicles from the Company’s premium smart electric vehicle brand NIO, 37,656 vehicles from the Company’s family-oriented smart electric vehicle brand ONVO, and 12,487 vehicles from the Company’s small smart high-end electric car brand FIREFLY.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Key Operating Results</w:t>
            </w: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2380" w:type="dxa"/>
            <w:vAlign w:val="bottom"/>
          </w:tcPr>
          <w:p>
            <w:pPr>
              <w:spacing w:after="0"/>
              <w:rPr>
                <w:sz w:val="24"/>
                <w:szCs w:val="24"/>
                <w:color w:val="auto"/>
              </w:rPr>
            </w:pPr>
          </w:p>
        </w:tc>
        <w:tc>
          <w:tcPr>
            <w:tcW w:w="144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2025 Q3</w:t>
            </w: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2025 Q2</w:t>
            </w: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2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2025 Q1</w:t>
            </w:r>
          </w:p>
        </w:tc>
        <w:tc>
          <w:tcPr>
            <w:tcW w:w="202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2024 Q4</w:t>
            </w:r>
          </w:p>
        </w:tc>
      </w:tr>
      <w:tr>
        <w:trPr>
          <w:trHeight w:val="209"/>
        </w:trPr>
        <w:tc>
          <w:tcPr>
            <w:tcW w:w="2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Deliveries</w:t>
            </w:r>
          </w:p>
        </w:tc>
        <w:tc>
          <w:tcPr>
            <w:tcW w:w="14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87,071</w:t>
            </w:r>
          </w:p>
        </w:tc>
        <w:tc>
          <w:tcPr>
            <w:tcW w:w="36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72,056</w:t>
            </w:r>
          </w:p>
        </w:tc>
        <w:tc>
          <w:tcPr>
            <w:tcW w:w="32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42,094</w:t>
            </w:r>
          </w:p>
        </w:tc>
        <w:tc>
          <w:tcPr>
            <w:tcW w:w="3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72,689</w:t>
            </w:r>
          </w:p>
        </w:tc>
        <w:tc>
          <w:tcPr>
            <w:tcW w:w="100" w:type="dxa"/>
            <w:vAlign w:val="bottom"/>
            <w:tcBorders>
              <w:top w:val="single" w:sz="8" w:color="CCEEFF"/>
            </w:tcBorders>
            <w:shd w:val="clear" w:color="auto" w:fill="CCEEFF"/>
          </w:tcPr>
          <w:p>
            <w:pPr>
              <w:spacing w:after="0"/>
              <w:rPr>
                <w:sz w:val="18"/>
                <w:szCs w:val="18"/>
                <w:color w:val="auto"/>
              </w:rPr>
            </w:pPr>
          </w:p>
        </w:tc>
      </w:tr>
      <w:tr>
        <w:trPr>
          <w:trHeight w:val="432"/>
        </w:trPr>
        <w:tc>
          <w:tcPr>
            <w:tcW w:w="2380" w:type="dxa"/>
            <w:vAlign w:val="bottom"/>
          </w:tcPr>
          <w:p>
            <w:pPr>
              <w:spacing w:after="0"/>
              <w:rPr>
                <w:sz w:val="24"/>
                <w:szCs w:val="24"/>
                <w:color w:val="auto"/>
              </w:rPr>
            </w:pPr>
          </w:p>
        </w:tc>
        <w:tc>
          <w:tcPr>
            <w:tcW w:w="1440" w:type="dxa"/>
            <w:vAlign w:val="bottom"/>
          </w:tcPr>
          <w:p>
            <w:pPr>
              <w:ind w:left="700"/>
              <w:spacing w:after="0"/>
              <w:rPr>
                <w:sz w:val="20"/>
                <w:szCs w:val="20"/>
                <w:color w:val="auto"/>
              </w:rPr>
            </w:pPr>
            <w:r>
              <w:rPr>
                <w:rFonts w:ascii="Times New Roman" w:cs="Times New Roman" w:eastAsia="Times New Roman" w:hAnsi="Times New Roman"/>
                <w:sz w:val="18"/>
                <w:szCs w:val="18"/>
                <w:b w:val="1"/>
                <w:bCs w:val="1"/>
                <w:color w:val="auto"/>
              </w:rPr>
              <w:t>2024 Q3</w:t>
            </w: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2024 Q2</w:t>
            </w: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2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2024 Q1</w:t>
            </w:r>
          </w:p>
        </w:tc>
        <w:tc>
          <w:tcPr>
            <w:tcW w:w="2020" w:type="dxa"/>
            <w:vAlign w:val="bottom"/>
            <w:gridSpan w:val="2"/>
          </w:tcPr>
          <w:p>
            <w:pPr>
              <w:ind w:left="640"/>
              <w:spacing w:after="0"/>
              <w:rPr>
                <w:sz w:val="20"/>
                <w:szCs w:val="20"/>
                <w:color w:val="auto"/>
              </w:rPr>
            </w:pPr>
            <w:r>
              <w:rPr>
                <w:rFonts w:ascii="Times New Roman" w:cs="Times New Roman" w:eastAsia="Times New Roman" w:hAnsi="Times New Roman"/>
                <w:sz w:val="18"/>
                <w:szCs w:val="18"/>
                <w:b w:val="1"/>
                <w:bCs w:val="1"/>
                <w:color w:val="auto"/>
              </w:rPr>
              <w:t>2023 Q4</w:t>
            </w:r>
          </w:p>
        </w:tc>
      </w:tr>
      <w:tr>
        <w:trPr>
          <w:trHeight w:val="210"/>
        </w:trPr>
        <w:tc>
          <w:tcPr>
            <w:tcW w:w="2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Deliveries</w:t>
            </w:r>
          </w:p>
        </w:tc>
        <w:tc>
          <w:tcPr>
            <w:tcW w:w="14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61,855</w:t>
            </w:r>
          </w:p>
        </w:tc>
        <w:tc>
          <w:tcPr>
            <w:tcW w:w="36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57,373</w:t>
            </w:r>
          </w:p>
        </w:tc>
        <w:tc>
          <w:tcPr>
            <w:tcW w:w="32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30,053</w:t>
            </w:r>
          </w:p>
        </w:tc>
        <w:tc>
          <w:tcPr>
            <w:tcW w:w="3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50,045</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Financial Highlights for the Third Quarter of 2025</w:t>
      </w:r>
    </w:p>
    <w:p>
      <w:pPr>
        <w:spacing w:after="0" w:line="225" w:lineRule="exact"/>
        <w:rPr>
          <w:sz w:val="20"/>
          <w:szCs w:val="20"/>
          <w:color w:val="auto"/>
        </w:rPr>
      </w:pPr>
    </w:p>
    <w:p>
      <w:pPr>
        <w:ind w:left="340" w:right="20" w:hanging="332"/>
        <w:spacing w:after="0" w:line="286"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Vehicle sales </w:t>
      </w:r>
      <w:r>
        <w:rPr>
          <w:rFonts w:ascii="Times New Roman" w:cs="Times New Roman" w:eastAsia="Times New Roman" w:hAnsi="Times New Roman"/>
          <w:sz w:val="18"/>
          <w:szCs w:val="18"/>
          <w:color w:val="auto"/>
        </w:rPr>
        <w:t>were RMB19,202.3 million (US$2,697.3 million) in the third quarter of 2025, representing an increase of 15.0% from the third quarter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2024 and an increase of 19.0% from the second quarter of 2025.</w:t>
      </w:r>
    </w:p>
    <w:p>
      <w:pPr>
        <w:spacing w:after="0" w:line="14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b w:val="1"/>
          <w:bCs w:val="1"/>
          <w:color w:val="auto"/>
        </w:rPr>
        <w:t>Vehicle margin</w:t>
      </w:r>
      <w:r>
        <w:rPr>
          <w:rFonts w:ascii="Times New Roman" w:cs="Times New Roman" w:eastAsia="Times New Roman" w:hAnsi="Times New Roman"/>
          <w:sz w:val="29"/>
          <w:szCs w:val="29"/>
          <w:color w:val="auto"/>
          <w:vertAlign w:val="superscript"/>
        </w:rPr>
        <w:t>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14.7% in the third quarter of 2025, compared with 13.1% in the third quarter of 2024 and 10.3% in the second quarter of 2025.</w:t>
      </w:r>
    </w:p>
    <w:p>
      <w:pPr>
        <w:spacing w:after="0" w:line="77" w:lineRule="exact"/>
        <w:rPr>
          <w:rFonts w:ascii="Times New Roman" w:cs="Times New Roman" w:eastAsia="Times New Roman" w:hAnsi="Times New Roman"/>
          <w:sz w:val="36"/>
          <w:szCs w:val="36"/>
          <w:color w:val="auto"/>
          <w:vertAlign w:val="superscript"/>
        </w:rPr>
      </w:pPr>
    </w:p>
    <w:p>
      <w:pPr>
        <w:ind w:left="340" w:hanging="332"/>
        <w:spacing w:after="0" w:line="279"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Total revenues </w:t>
      </w:r>
      <w:r>
        <w:rPr>
          <w:rFonts w:ascii="Times New Roman" w:cs="Times New Roman" w:eastAsia="Times New Roman" w:hAnsi="Times New Roman"/>
          <w:sz w:val="18"/>
          <w:szCs w:val="18"/>
          <w:color w:val="auto"/>
        </w:rPr>
        <w:t>were RMB21,793.9 million (US$3,061.4 million) in the third quarter of 2025, representing an increase of 16.7% from the third quarter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2024 and an increase of 14.7% from the second quarter of 2025.</w:t>
      </w:r>
    </w:p>
    <w:p>
      <w:pPr>
        <w:spacing w:after="0" w:line="38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 w:name="page5"/>
    <w:bookmarkEnd w:id="4"/>
    <w:p>
      <w:pPr>
        <w:ind w:left="340" w:right="20" w:hanging="332"/>
        <w:spacing w:after="0" w:line="286"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Gross profit </w:t>
      </w:r>
      <w:r>
        <w:rPr>
          <w:rFonts w:ascii="Times New Roman" w:cs="Times New Roman" w:eastAsia="Times New Roman" w:hAnsi="Times New Roman"/>
          <w:sz w:val="18"/>
          <w:szCs w:val="18"/>
          <w:color w:val="auto"/>
        </w:rPr>
        <w:t>was RMB3,024.6 million (US$424.9 million) in the third quarter of 2025, representing an increase of 50.7% from the third quarter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2024 and an increase of 59.4% from the second quarter of 2025.</w:t>
      </w:r>
    </w:p>
    <w:p>
      <w:pPr>
        <w:spacing w:after="0" w:line="15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Gross margin </w:t>
      </w:r>
      <w:r>
        <w:rPr>
          <w:rFonts w:ascii="Times New Roman" w:cs="Times New Roman" w:eastAsia="Times New Roman" w:hAnsi="Times New Roman"/>
          <w:sz w:val="18"/>
          <w:szCs w:val="18"/>
          <w:color w:val="auto"/>
        </w:rPr>
        <w:t>was 13.9% in the third quarter of 2025, compared with 10.7% in the third quarter of 2024 and 10.0% in the second quarter of 2025.</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Loss from operations </w:t>
      </w:r>
      <w:r>
        <w:rPr>
          <w:rFonts w:ascii="Times New Roman" w:cs="Times New Roman" w:eastAsia="Times New Roman" w:hAnsi="Times New Roman"/>
          <w:sz w:val="18"/>
          <w:szCs w:val="18"/>
          <w:color w:val="auto"/>
        </w:rPr>
        <w:t>was RMB3,521.5 million (US$494.7 million) in the third quarter of 2025, representing a decrease of 32.8% from the third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of 2024 and a decrease of 28.3% from the second quarter of 2025. Excluding share-based compensation expenses and organizational optimization charges, adjusted loss from operations (non-GAAP) was RMB2,776.1 million (US$390.0 million) in the third quarter of 2025, representing a decrease of 39.5% from the third quarter of 2024 and a decrease of 31.3% from the second quarter of 2025.</w:t>
      </w:r>
    </w:p>
    <w:p>
      <w:pPr>
        <w:spacing w:after="0" w:line="176" w:lineRule="exact"/>
        <w:rPr>
          <w:rFonts w:ascii="Times New Roman" w:cs="Times New Roman" w:eastAsia="Times New Roman" w:hAnsi="Times New Roman"/>
          <w:sz w:val="18"/>
          <w:szCs w:val="18"/>
          <w:color w:val="auto"/>
        </w:rPr>
      </w:pPr>
    </w:p>
    <w:p>
      <w:pPr>
        <w:jc w:val="both"/>
        <w:ind w:left="340" w:hanging="332"/>
        <w:spacing w:after="0" w:line="262"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18"/>
          <w:szCs w:val="18"/>
          <w:color w:val="auto"/>
        </w:rPr>
        <w:t>was RMB3,480.5 million (US$488.9 million) in the third quarter of 2025, representing a decrease of 31.2% from the third quarter of 2024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decrease of 30.3% from the second quarter of 2025. Excluding share-based compensation expenses and organizational optimization charges, adjusted net loss (non-GAAP) was RMB2,735.1 million (US$384.2 million) in the third quarter of 2025, representing a decrease of 38.0% from the third quarter of 2024 and a decrease of 33.7% from the second quarter of 2025.</w:t>
      </w:r>
    </w:p>
    <w:p>
      <w:pPr>
        <w:spacing w:after="0" w:line="176"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and cash equivalents, restricted cash, short-term investment and long-term time deposits </w:t>
      </w:r>
      <w:r>
        <w:rPr>
          <w:rFonts w:ascii="Times New Roman" w:cs="Times New Roman" w:eastAsia="Times New Roman" w:hAnsi="Times New Roman"/>
          <w:sz w:val="18"/>
          <w:szCs w:val="18"/>
          <w:color w:val="auto"/>
        </w:rPr>
        <w:t>were RMB36.7 billion (US$5.1 billion)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September 30, 2025.</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Key Financial Results for the Third Quarter of 2025</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(in RMB million, except for percentage)</w:t>
            </w:r>
          </w:p>
        </w:tc>
        <w:tc>
          <w:tcPr>
            <w:tcW w:w="1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99"/>
        </w:trPr>
        <w:tc>
          <w:tcPr>
            <w:tcW w:w="3460" w:type="dxa"/>
            <w:vAlign w:val="bottom"/>
          </w:tcPr>
          <w:p>
            <w:pPr>
              <w:spacing w:after="0"/>
              <w:rPr>
                <w:sz w:val="24"/>
                <w:szCs w:val="24"/>
                <w:color w:val="auto"/>
              </w:rPr>
            </w:pPr>
          </w:p>
        </w:tc>
        <w:tc>
          <w:tcPr>
            <w:tcW w:w="15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2025 Q3</w:t>
            </w:r>
          </w:p>
        </w:tc>
        <w:tc>
          <w:tcPr>
            <w:tcW w:w="160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2025 Q2</w:t>
            </w:r>
          </w:p>
        </w:tc>
        <w:tc>
          <w:tcPr>
            <w:tcW w:w="2400" w:type="dxa"/>
            <w:vAlign w:val="bottom"/>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2024 Q3</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Change</w:t>
            </w:r>
            <w:r>
              <w:rPr>
                <w:rFonts w:ascii="Times New Roman" w:cs="Times New Roman" w:eastAsia="Times New Roman" w:hAnsi="Times New Roman"/>
                <w:sz w:val="29"/>
                <w:szCs w:val="29"/>
                <w:b w:val="1"/>
                <w:bCs w:val="1"/>
                <w:color w:val="auto"/>
                <w:vertAlign w:val="superscript"/>
              </w:rPr>
              <w:t>iii</w:t>
            </w: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09"/>
        </w:trPr>
        <w:tc>
          <w:tcPr>
            <w:tcW w:w="346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QoQ</w:t>
            </w:r>
          </w:p>
        </w:tc>
        <w:tc>
          <w:tcPr>
            <w:tcW w:w="1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YoY</w:t>
            </w:r>
          </w:p>
        </w:tc>
        <w:tc>
          <w:tcPr>
            <w:tcW w:w="180" w:type="dxa"/>
            <w:vAlign w:val="bottom"/>
          </w:tcPr>
          <w:p>
            <w:pPr>
              <w:spacing w:after="0"/>
              <w:rPr>
                <w:sz w:val="18"/>
                <w:szCs w:val="18"/>
                <w:color w:val="auto"/>
              </w:rPr>
            </w:pP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 Sales</w:t>
            </w:r>
          </w:p>
        </w:tc>
        <w:tc>
          <w:tcPr>
            <w:tcW w:w="15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19,202.3</w:t>
            </w:r>
          </w:p>
        </w:tc>
        <w:tc>
          <w:tcPr>
            <w:tcW w:w="16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16,136.1</w:t>
            </w:r>
          </w:p>
        </w:tc>
        <w:tc>
          <w:tcPr>
            <w:tcW w:w="15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16,697.6</w:t>
            </w:r>
          </w:p>
        </w:tc>
        <w:tc>
          <w:tcPr>
            <w:tcW w:w="8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19.0%</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15.0%</w:t>
            </w: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Vehicle Margin</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14.7%</w:t>
            </w: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10.3%</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13.1%</w:t>
            </w:r>
          </w:p>
        </w:tc>
        <w:tc>
          <w:tcPr>
            <w:tcW w:w="820" w:type="dxa"/>
            <w:vAlign w:val="bottom"/>
          </w:tcPr>
          <w:p>
            <w:pPr>
              <w:spacing w:after="0"/>
              <w:rPr>
                <w:sz w:val="18"/>
                <w:szCs w:val="18"/>
                <w:color w:val="auto"/>
              </w:rPr>
            </w:pPr>
          </w:p>
        </w:tc>
        <w:tc>
          <w:tcPr>
            <w:tcW w:w="11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440bp</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160bp</w:t>
            </w:r>
          </w:p>
        </w:tc>
      </w:tr>
      <w:tr>
        <w:trPr>
          <w:trHeight w:val="216"/>
        </w:trPr>
        <w:tc>
          <w:tcPr>
            <w:tcW w:w="3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5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21,793.9</w:t>
            </w:r>
          </w:p>
        </w:tc>
        <w:tc>
          <w:tcPr>
            <w:tcW w:w="16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19,008.7</w:t>
            </w:r>
          </w:p>
        </w:tc>
        <w:tc>
          <w:tcPr>
            <w:tcW w:w="15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18,673.5</w:t>
            </w:r>
          </w:p>
        </w:tc>
        <w:tc>
          <w:tcPr>
            <w:tcW w:w="820" w:type="dxa"/>
            <w:vAlign w:val="bottom"/>
          </w:tcPr>
          <w:p>
            <w:pPr>
              <w:spacing w:after="0"/>
              <w:rPr>
                <w:sz w:val="18"/>
                <w:szCs w:val="18"/>
                <w:color w:val="auto"/>
              </w:rPr>
            </w:pPr>
          </w:p>
        </w:tc>
        <w:tc>
          <w:tcPr>
            <w:tcW w:w="116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14.7%</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16.7%</w:t>
            </w: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5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3,024.6</w:t>
            </w:r>
          </w:p>
        </w:tc>
        <w:tc>
          <w:tcPr>
            <w:tcW w:w="16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1,897.5</w:t>
            </w:r>
          </w:p>
        </w:tc>
        <w:tc>
          <w:tcPr>
            <w:tcW w:w="15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2,007.4</w:t>
            </w:r>
          </w:p>
        </w:tc>
        <w:tc>
          <w:tcPr>
            <w:tcW w:w="8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59.4%</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50.7%</w:t>
            </w: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13.9%</w:t>
            </w: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w:t>
            </w:r>
          </w:p>
        </w:tc>
        <w:tc>
          <w:tcPr>
            <w:tcW w:w="820" w:type="dxa"/>
            <w:vAlign w:val="bottom"/>
          </w:tcPr>
          <w:p>
            <w:pPr>
              <w:spacing w:after="0"/>
              <w:rPr>
                <w:sz w:val="18"/>
                <w:szCs w:val="18"/>
                <w:color w:val="auto"/>
              </w:rPr>
            </w:pPr>
          </w:p>
        </w:tc>
        <w:tc>
          <w:tcPr>
            <w:tcW w:w="11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390bp</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320bp</w:t>
            </w:r>
          </w:p>
        </w:tc>
      </w:tr>
      <w:tr>
        <w:trPr>
          <w:trHeight w:val="216"/>
        </w:trPr>
        <w:tc>
          <w:tcPr>
            <w:tcW w:w="3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(3,521.5)</w:t>
            </w: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(4,908.9)</w:t>
            </w:r>
          </w:p>
        </w:tc>
        <w:tc>
          <w:tcPr>
            <w:tcW w:w="15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(5,237.8)</w:t>
            </w:r>
          </w:p>
        </w:tc>
        <w:tc>
          <w:tcPr>
            <w:tcW w:w="820" w:type="dxa"/>
            <w:vAlign w:val="bottom"/>
          </w:tcPr>
          <w:p>
            <w:pPr>
              <w:spacing w:after="0"/>
              <w:rPr>
                <w:sz w:val="18"/>
                <w:szCs w:val="18"/>
                <w:color w:val="auto"/>
              </w:rPr>
            </w:pPr>
          </w:p>
        </w:tc>
        <w:tc>
          <w:tcPr>
            <w:tcW w:w="116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98"/>
              </w:rPr>
              <w:t>-28.3%</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-32.8%</w:t>
            </w:r>
          </w:p>
        </w:tc>
      </w:tr>
      <w:tr>
        <w:trPr>
          <w:trHeight w:val="198"/>
        </w:trPr>
        <w:tc>
          <w:tcPr>
            <w:tcW w:w="34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Adjusted Loss from Operations (non-</w:t>
            </w:r>
          </w:p>
        </w:tc>
        <w:tc>
          <w:tcPr>
            <w:tcW w:w="1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34"/>
        </w:trPr>
        <w:tc>
          <w:tcPr>
            <w:tcW w:w="3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GAAP)</w:t>
            </w: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(2,776.1)</w:t>
            </w:r>
          </w:p>
        </w:tc>
        <w:tc>
          <w:tcPr>
            <w:tcW w:w="16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(4,040.8)</w:t>
            </w:r>
          </w:p>
        </w:tc>
        <w:tc>
          <w:tcPr>
            <w:tcW w:w="15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(4,590.7)</w:t>
            </w:r>
          </w:p>
        </w:tc>
        <w:tc>
          <w:tcPr>
            <w:tcW w:w="82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98"/>
              </w:rPr>
              <w:t>-31.3%</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-39.5%</w:t>
            </w:r>
          </w:p>
        </w:tc>
      </w:tr>
      <w:tr>
        <w:trPr>
          <w:trHeight w:val="216"/>
        </w:trPr>
        <w:tc>
          <w:tcPr>
            <w:tcW w:w="3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5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(3,480.5)</w:t>
            </w:r>
          </w:p>
        </w:tc>
        <w:tc>
          <w:tcPr>
            <w:tcW w:w="16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(4,994.8)</w:t>
            </w:r>
          </w:p>
        </w:tc>
        <w:tc>
          <w:tcPr>
            <w:tcW w:w="15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(5,059.7)</w:t>
            </w:r>
          </w:p>
        </w:tc>
        <w:tc>
          <w:tcPr>
            <w:tcW w:w="8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98"/>
              </w:rPr>
              <w:t>-30.3%</w:t>
            </w: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-31.2%</w:t>
            </w:r>
          </w:p>
        </w:tc>
      </w:tr>
      <w:tr>
        <w:trPr>
          <w:trHeight w:val="234"/>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Adjusted Net Loss (non-GAAP)</w:t>
            </w:r>
          </w:p>
        </w:tc>
        <w:tc>
          <w:tcPr>
            <w:tcW w:w="15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(2,735.1)</w:t>
            </w:r>
          </w:p>
        </w:tc>
        <w:tc>
          <w:tcPr>
            <w:tcW w:w="1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(4,126.7)</w:t>
            </w:r>
          </w:p>
        </w:tc>
        <w:tc>
          <w:tcPr>
            <w:tcW w:w="15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(4,412.6)</w:t>
            </w:r>
          </w:p>
        </w:tc>
        <w:tc>
          <w:tcPr>
            <w:tcW w:w="820" w:type="dxa"/>
            <w:vAlign w:val="bottom"/>
          </w:tcPr>
          <w:p>
            <w:pPr>
              <w:spacing w:after="0"/>
              <w:rPr>
                <w:sz w:val="20"/>
                <w:szCs w:val="20"/>
                <w:color w:val="auto"/>
              </w:rPr>
            </w:pPr>
          </w:p>
        </w:tc>
        <w:tc>
          <w:tcPr>
            <w:tcW w:w="116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98"/>
              </w:rPr>
              <w:t>-33.7%</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-38.0%</w:t>
            </w:r>
          </w:p>
        </w:tc>
      </w:tr>
      <w:tr>
        <w:trPr>
          <w:trHeight w:val="630"/>
        </w:trPr>
        <w:tc>
          <w:tcPr>
            <w:tcW w:w="34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1240"/>
          </w:cols>
          <w:pgMar w:left="320" w:top="90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Deliveries in October 2025</w:t>
      </w:r>
    </w:p>
    <w:p>
      <w:pPr>
        <w:spacing w:after="0" w:line="229" w:lineRule="exact"/>
        <w:rPr>
          <w:sz w:val="20"/>
          <w:szCs w:val="20"/>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delivered 40,397 vehicles in October 2025. As of October 31, 2025, the Company had delivered 241,618 vehicles in 2025, with cumulative deliveries reaching 913,182.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Completion of Equity Offering</w:t>
      </w:r>
    </w:p>
    <w:p>
      <w:pPr>
        <w:spacing w:after="0" w:line="229" w:lineRule="exact"/>
        <w:rPr>
          <w:sz w:val="20"/>
          <w:szCs w:val="20"/>
          <w:color w:val="auto"/>
        </w:rPr>
      </w:pPr>
    </w:p>
    <w:p>
      <w:pPr>
        <w:jc w:val="both"/>
        <w:ind w:left="660" w:right="2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17, 2025, the Company completed its US$1.16 billion registered offering relating to a total of 209,090,918 Class A ordinary shares, which consisted of an offering of American depositary shares, each representing one Class A ordinary share, and an offering of Class A ordinary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Issuance for Share Incentive Plans</w:t>
      </w:r>
    </w:p>
    <w:p>
      <w:pPr>
        <w:spacing w:after="0" w:line="229" w:lineRule="exact"/>
        <w:rPr>
          <w:sz w:val="20"/>
          <w:szCs w:val="20"/>
          <w:color w:val="auto"/>
        </w:rPr>
      </w:pPr>
    </w:p>
    <w:p>
      <w:pPr>
        <w:jc w:val="both"/>
        <w:ind w:left="660" w:hanging="328"/>
        <w:spacing w:after="0" w:line="312" w:lineRule="auto"/>
        <w:tabs>
          <w:tab w:leader="none" w:pos="6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October 22, 2025, the Company issued 55,000,000 Class A ordinary shares to Deutsche Bank Trust Company Americas, the depositary of the Company’s ADS program, to facilitate future exercise of options and other share incentive awards under the share incentive plans of the Company.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CEO and CFO Comments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third quarter of 2025, the Company delivered 87,071 smart electric vehicles, representing a year-over-year increase of 40.8%. The strong momentum was driven by the all-around competitiveness of our NIO, ONVO, and FIREFLY brand offerings, which continue to resonate with users across their respective market segments,” said William Bin Li, founder, chairman, and chief executive officer of NIO. “We are working closely with supply chain partners to ramp up production and expect total deliveries in the fourth quarter to reach between 120,000 and 125,000 units, reflecting a year-on-year increase of 65.1% to 72.0% and setting a new quarterly record.”</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All-New NIO ES8 has set the fastest record for delivering over 10,000 units among BEVs priced above RMB400,000 in China, while the ONVO L90 has remained the top-selling large BEV SUV for three consecutive months, and FIREFLY has quickly secured a leading position in the small smart high-end electric car market since its first deliveries. Underpinned by our core smart EV technologies, a complementary multi-brand product portfolio, a comprehensive and convenient battery swapping and charging network, as well as a vibrant and growing user community, the Company has entered a new cycle of accelerated growth,” added William Bin Li.</w:t>
      </w:r>
    </w:p>
    <w:p>
      <w:pPr>
        <w:spacing w:after="0" w:line="39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both"/>
        <w:spacing w:after="0" w:line="255" w:lineRule="auto"/>
        <w:rPr>
          <w:sz w:val="20"/>
          <w:szCs w:val="20"/>
          <w:color w:val="auto"/>
        </w:rPr>
      </w:pPr>
      <w:r>
        <w:rPr>
          <w:rFonts w:ascii="Times New Roman" w:cs="Times New Roman" w:eastAsia="Times New Roman" w:hAnsi="Times New Roman"/>
          <w:sz w:val="18"/>
          <w:szCs w:val="18"/>
          <w:color w:val="auto"/>
        </w:rPr>
        <w:t>“Through continuous cost optimization and a greater contribution from higher-margin vehicle deliveries, our vehicle gross margin sequentially improved to 14.7% in Q3 2025, and the overall gross margin reached the highest level in the past three years, underscoring the enhanced profitability of our products and services,” added Stanley Yu Qu, NIO’s chief financial officer. “Our continued efforts on operational efficiency improvement across R&amp;D, sales and service also drove a quarter-on-quarter reduction of over 30% in non-GAAP operating losses, continuing the positive trend from the first half of 2025. Furthermore, the business generated positive operating cash flow and positive results of operating cashflow net off the capital expenditures during the quarter. Bolstered further by the US$1.16 billion equity offering, our strengthened balance sheet provides a solid foundation for the path toward sustained, long-term growth.”</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Financial Results for the Third Quarter of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225" w:lineRule="exact"/>
        <w:rPr>
          <w:sz w:val="20"/>
          <w:szCs w:val="20"/>
          <w:color w:val="auto"/>
        </w:rPr>
      </w:pPr>
    </w:p>
    <w:p>
      <w:pPr>
        <w:ind w:left="660" w:hanging="328"/>
        <w:spacing w:after="0" w:line="28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Total revenues </w:t>
      </w:r>
      <w:r>
        <w:rPr>
          <w:rFonts w:ascii="Times New Roman" w:cs="Times New Roman" w:eastAsia="Times New Roman" w:hAnsi="Times New Roman"/>
          <w:sz w:val="18"/>
          <w:szCs w:val="18"/>
          <w:color w:val="auto"/>
        </w:rPr>
        <w:t>in the third quarter of 2025 were RMB21,793.9 million (US$3,061.4 million), representing an increase of 16.7% from the third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of 2024 and an increase of 14.7% from the second quarter of 2025.</w:t>
      </w:r>
    </w:p>
    <w:p>
      <w:pPr>
        <w:spacing w:after="0" w:line="154"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Vehicle sales </w:t>
      </w:r>
      <w:r>
        <w:rPr>
          <w:rFonts w:ascii="Times New Roman" w:cs="Times New Roman" w:eastAsia="Times New Roman" w:hAnsi="Times New Roman"/>
          <w:sz w:val="18"/>
          <w:szCs w:val="18"/>
          <w:color w:val="auto"/>
        </w:rPr>
        <w:t>in the third quarter of 2025 were RMB19,202.3 million (US$2,697.3 million), representing an increase of 15.0% from the third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of 2024 and an increase of 19.0% from the second quarter of 2025. The increase in vehicle sales over the third quarter of 2024 was mainly due to an increase in delivery volume, partially offset by the lower average selling price as a result of changes in product mix. The increase in vehicle sales over the second quarter of 2025 was mainly attributable to an increase in delivery volume.</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Other sales </w:t>
      </w:r>
      <w:r>
        <w:rPr>
          <w:rFonts w:ascii="Times New Roman" w:cs="Times New Roman" w:eastAsia="Times New Roman" w:hAnsi="Times New Roman"/>
          <w:sz w:val="18"/>
          <w:szCs w:val="18"/>
          <w:color w:val="auto"/>
        </w:rPr>
        <w:t>in the third quarter of 2025 were RMB2,591.6 million (US$364.0 million), representing an increase of 31.2% from the third quarter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2024 and a decrease of 9.8% from the second quarter of 2025. The increase in other sales over the third quarter of 2024 was mainly due to i) the increase in revenues from sales of used cars and technical research and development services, and ii) the increase in sales of parts, accessories and after-sales vehicle services as a result of the continued growth in the number of users. The decrease in other sales over the second quarter of 2025 was mainly due to the decrease in revenues from sales of used cars and technical research and development services, partially offset by the increase in sales of parts, accessories and after-sales vehicle services, and provision of power solutions, as a result of the continued growth in the number of users.</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Cost of Sales and Gross Margin</w:t>
      </w:r>
    </w:p>
    <w:p>
      <w:pPr>
        <w:spacing w:after="0" w:line="225" w:lineRule="exact"/>
        <w:rPr>
          <w:sz w:val="20"/>
          <w:szCs w:val="20"/>
          <w:color w:val="auto"/>
        </w:rPr>
      </w:pPr>
    </w:p>
    <w:p>
      <w:pPr>
        <w:jc w:val="both"/>
        <w:ind w:left="660" w:hanging="328"/>
        <w:spacing w:after="0" w:line="268"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Cost of sales </w:t>
      </w:r>
      <w:r>
        <w:rPr>
          <w:rFonts w:ascii="Times New Roman" w:cs="Times New Roman" w:eastAsia="Times New Roman" w:hAnsi="Times New Roman"/>
          <w:sz w:val="18"/>
          <w:szCs w:val="18"/>
          <w:color w:val="auto"/>
        </w:rPr>
        <w:t>in the third quarter of 2025 was RMB18,769.3 million (US$2,636.5 million), representing an increase of 12.6% from the third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of 2024 and an increase of 9.7% from the second quarter of 2025. The increase in cost of sales over the third quarter of 2024 and the second quarter of 2025 was mainly attributable to the increased delivery volume, partially offset by the decreased material cost per vehicle.</w:t>
      </w:r>
    </w:p>
    <w:p>
      <w:pPr>
        <w:spacing w:after="0" w:line="170"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Gross profit </w:t>
      </w:r>
      <w:r>
        <w:rPr>
          <w:rFonts w:ascii="Times New Roman" w:cs="Times New Roman" w:eastAsia="Times New Roman" w:hAnsi="Times New Roman"/>
          <w:sz w:val="18"/>
          <w:szCs w:val="18"/>
          <w:color w:val="auto"/>
        </w:rPr>
        <w:t>in the third quarter of 2025 was RMB3,024.6 million (US$424.9 million), representing an increase of 50.7% from the third quarter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2024 and an increase of 59.4% from the second quarter of 2025.</w:t>
      </w:r>
    </w:p>
    <w:p>
      <w:pPr>
        <w:spacing w:after="0" w:line="154"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Gross margin </w:t>
      </w:r>
      <w:r>
        <w:rPr>
          <w:rFonts w:ascii="Times New Roman" w:cs="Times New Roman" w:eastAsia="Times New Roman" w:hAnsi="Times New Roman"/>
          <w:sz w:val="18"/>
          <w:szCs w:val="18"/>
          <w:color w:val="auto"/>
        </w:rPr>
        <w:t>in the third quarter of 2025 was 13.9%, compared with 10.7% in the third quarter of 2024 and 10.0% in the second quarter of 2025.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increase in gross margin over the third quarter of 2024 was mainly attributable to the i) increased vehicle margin, and ii) the increase in the gross margin of sales of parts, accessories and after-sales vehicle services as a result of cost reduction and efficiency improvement. The increase in gross margin over the second quarter of 2025 was mainly attributable to the increased vehicle margin.</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Vehicle margin </w:t>
      </w:r>
      <w:r>
        <w:rPr>
          <w:rFonts w:ascii="Times New Roman" w:cs="Times New Roman" w:eastAsia="Times New Roman" w:hAnsi="Times New Roman"/>
          <w:sz w:val="18"/>
          <w:szCs w:val="18"/>
          <w:color w:val="auto"/>
        </w:rPr>
        <w:t>in the third quarter of 2025 was 14.7%, compared with 13.1% in the third quarter of 2024 and 10.3% in the second quarter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2025. The increase in vehicle margin from the third quarter of 2024 and the second quarter of 2025 was mainly attributable to decreased material cost per unit, which is primarily driven by the Company’s comprehensive cost reduction efforts.</w:t>
      </w:r>
    </w:p>
    <w:p>
      <w:pPr>
        <w:spacing w:after="0" w:line="3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25" w:lineRule="exact"/>
        <w:rPr>
          <w:sz w:val="20"/>
          <w:szCs w:val="20"/>
          <w:color w:val="auto"/>
        </w:rPr>
      </w:pPr>
    </w:p>
    <w:p>
      <w:pPr>
        <w:jc w:val="both"/>
        <w:ind w:left="660" w:hanging="328"/>
        <w:spacing w:after="0" w:line="25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Research and development expenses </w:t>
      </w:r>
      <w:r>
        <w:rPr>
          <w:rFonts w:ascii="Times New Roman" w:cs="Times New Roman" w:eastAsia="Times New Roman" w:hAnsi="Times New Roman"/>
          <w:sz w:val="18"/>
          <w:szCs w:val="18"/>
          <w:color w:val="auto"/>
        </w:rPr>
        <w:t>in the third quarter of 2025 were RMB2,390.6 million (US$335.8 million), representing a decrease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28.0% from the third quarter of 2024 and a decrease of 20.5% from the second quarter of 2025. Excluding share-based compensation expenses and organizational optimization charges, research and development expenses (non-GAAP) were RMB1,938.9 million (US$272.4 million), representing a decrease of 33.2% from the third quarter of 2024 and a decrease of 22.1% from the second quarter of 2025. The decrease in research and development expenses over the third quarter of 2024 and the second quarter of 2025 was mainly due to the decreased personnel costs in research and development functions primarily as a result of organizational optimization, and the decreased design and development costs resulting from different stages of development for new products and technologies.</w:t>
      </w:r>
    </w:p>
    <w:p>
      <w:pPr>
        <w:spacing w:after="0" w:line="182"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Selling, general and administrative expenses </w:t>
      </w:r>
      <w:r>
        <w:rPr>
          <w:rFonts w:ascii="Times New Roman" w:cs="Times New Roman" w:eastAsia="Times New Roman" w:hAnsi="Times New Roman"/>
          <w:sz w:val="18"/>
          <w:szCs w:val="18"/>
          <w:color w:val="auto"/>
        </w:rPr>
        <w:t>in the third quarter of 2025 were RMB4,184.7 million (US$587.8 million), representing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 of 1.8% from the third quarter of 2024 and an increase of 5.5% from the second quarter of 2025. Excluding share-based compensation expenses and organizational optimization charges, selling, general and administrative expenses (non-GAAP) were RMB3,933.1 million (US$552.5 million), representing an increase of 0.8% from the third quarter of 2024 and an increase of 6.8% from the second quarter of 2025. Selling, general and administrative expenses remained relatively stable compared with the third quarter of 2024. The increase in selling, general and administrative expenses over the second quarter of 2025 was mainly attributable to the increase in sales and marketing activities associated with new product launches.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p>
      <w:pPr>
        <w:spacing w:after="0" w:line="225" w:lineRule="exact"/>
        <w:rPr>
          <w:sz w:val="20"/>
          <w:szCs w:val="20"/>
          <w:color w:val="auto"/>
        </w:rPr>
      </w:pPr>
    </w:p>
    <w:p>
      <w:pPr>
        <w:jc w:val="both"/>
        <w:ind w:left="660" w:hanging="328"/>
        <w:spacing w:after="0" w:line="181" w:lineRule="auto"/>
        <w:tabs>
          <w:tab w:leader="none" w:pos="660" w:val="left"/>
        </w:tabs>
        <w:numPr>
          <w:ilvl w:val="0"/>
          <w:numId w:val="10"/>
        </w:numPr>
        <w:rPr>
          <w:rFonts w:ascii="Times New Roman" w:cs="Times New Roman" w:eastAsia="Times New Roman" w:hAnsi="Times New Roman"/>
          <w:sz w:val="48"/>
          <w:szCs w:val="48"/>
          <w:color w:val="auto"/>
          <w:vertAlign w:val="subscript"/>
        </w:rPr>
      </w:pPr>
      <w:r>
        <w:rPr>
          <w:rFonts w:ascii="Times New Roman" w:cs="Times New Roman" w:eastAsia="Times New Roman" w:hAnsi="Times New Roman"/>
          <w:sz w:val="18"/>
          <w:szCs w:val="18"/>
          <w:b w:val="1"/>
          <w:bCs w:val="1"/>
          <w:color w:val="auto"/>
        </w:rPr>
        <w:t xml:space="preserve">Loss from operations </w:t>
      </w:r>
      <w:r>
        <w:rPr>
          <w:rFonts w:ascii="Times New Roman" w:cs="Times New Roman" w:eastAsia="Times New Roman" w:hAnsi="Times New Roman"/>
          <w:sz w:val="18"/>
          <w:szCs w:val="18"/>
          <w:color w:val="auto"/>
        </w:rPr>
        <w:t>in the third quarter of 2025 was RMB3,521.5 million (US$494.7 million), representing a decrease of 32.8% from the third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of 2024 and a decrease of 28.3% from the second quarter of 2025. Excluding share-based compensation expenses and organizational optimization charges, adjusted loss from operations (non-GAAP) was RMB2,776.1 million (US$390.0 million) in the third quarter of 2025, representing a decrease of 39.5% from the third quarter of 2024 and a decrease of 31.3% from second quarter of 2025.</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and Earnings Per Share/ADS</w:t>
      </w:r>
    </w:p>
    <w:p>
      <w:pPr>
        <w:spacing w:after="0" w:line="225" w:lineRule="exact"/>
        <w:rPr>
          <w:sz w:val="20"/>
          <w:szCs w:val="20"/>
          <w:color w:val="auto"/>
        </w:rPr>
      </w:pPr>
    </w:p>
    <w:p>
      <w:pPr>
        <w:jc w:val="both"/>
        <w:ind w:left="660" w:hanging="328"/>
        <w:spacing w:after="0" w:line="26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18"/>
          <w:szCs w:val="18"/>
          <w:color w:val="auto"/>
        </w:rPr>
        <w:t>in the third quarter of 2025 was RMB3,480.5 million (US$488.9 million), representing a decrease of 31.2% from the third quarter of 2024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 decrease of 30.3% from the second quarter of 2025. Excluding share-based compensation expenses and organizational optimization charges, adjusted net loss (non-GAAP) was RMB2,735.1 million (US$384.2 million) in the third quarter of 2025, representing a decrease of 38.0% from the third quarter of 2024 and a decrease of 33.7% from the second quarter of 2025.</w:t>
      </w:r>
    </w:p>
    <w:p>
      <w:pPr>
        <w:spacing w:after="0" w:line="3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both"/>
        <w:ind w:left="660" w:hanging="328"/>
        <w:spacing w:after="0" w:line="26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loss attributable to NIO’s ordinary shareholders </w:t>
      </w:r>
      <w:r>
        <w:rPr>
          <w:rFonts w:ascii="Times New Roman" w:cs="Times New Roman" w:eastAsia="Times New Roman" w:hAnsi="Times New Roman"/>
          <w:sz w:val="18"/>
          <w:szCs w:val="18"/>
          <w:color w:val="auto"/>
        </w:rPr>
        <w:t>in the third quarter of 2025 was RMB3,660.8 million (US$514.2 million), representing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decrease of 28.8% from the third quarter of 2024 and a decrease of 28.8% from the second quarter of 2025. Excluding share-based compensation expenses, organizational optimization charges and accretion on redeemable non-controlling interests to redemption value, adjusted net loss attributable to NIO’s ordinary shareholders (non-GAAP) was RMB2,760.0 million (US$387.7 million) in the third quarter of 2025.</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Basic and diluted net loss per ordinary share/ADS </w:t>
      </w:r>
      <w:r>
        <w:rPr>
          <w:rFonts w:ascii="Times New Roman" w:cs="Times New Roman" w:eastAsia="Times New Roman" w:hAnsi="Times New Roman"/>
          <w:sz w:val="18"/>
          <w:szCs w:val="18"/>
          <w:color w:val="auto"/>
        </w:rPr>
        <w:t>in the third quarter of 2025 were both RMB1.51 (US$0.21), compared with RMB2.50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third quarter of 2024 and RMB2.31 in the second quarter of 2025. Excluding share-based compensation expenses, organizational optimization charges and accretion on redeemable non-controlling interests to redemption value, adjusted basic and diluted net loss per share/ADS (non-GAAP) were both RMB1.14 (US$0.15), compared with RMB2.14 in the third quarter of 2024 and RMB1.85 in the second quarter of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w:t>
      </w:r>
    </w:p>
    <w:p>
      <w:pPr>
        <w:spacing w:after="0" w:line="225" w:lineRule="exact"/>
        <w:rPr>
          <w:sz w:val="20"/>
          <w:szCs w:val="20"/>
          <w:color w:val="auto"/>
        </w:rPr>
      </w:pPr>
    </w:p>
    <w:p>
      <w:pPr>
        <w:jc w:val="both"/>
        <w:ind w:left="660" w:hanging="328"/>
        <w:spacing w:after="0" w:line="254"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Balance of cash and cash equivalents, restricted cash, short-term investment and long-term time deposits </w:t>
      </w:r>
      <w:r>
        <w:rPr>
          <w:rFonts w:ascii="Times New Roman" w:cs="Times New Roman" w:eastAsia="Times New Roman" w:hAnsi="Times New Roman"/>
          <w:sz w:val="18"/>
          <w:szCs w:val="18"/>
          <w:color w:val="auto"/>
        </w:rPr>
        <w:t>was RMB36.7 billion (US$5.1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billion) as of September 30, 2025. We have been incurring loss since inception. Although we generated positive operating cash flows for the third quarter ended September 30, 2025, we had negative operating cash flows in the first two quarters of 2025 and our current liabilities exceeded current assets as of September 30, 2025. Based on our going concern and liquidity assessment, which considers our business plan including revenue growth from the sales of existing and new vehicle models, continuous optimization of operation efficiency to improve operating cash flows, working capital management, the ability to raise funds from banks under available credit quotas and other sources when needed, and uncertainties as to the successful execution of our business plan, we believe that our financial resources, including our available cash and cash equivalents, restricted cash and short-term investments, cash generated from operating activities and funds from available credit quotas and other sources will be sufficient to support our continuous operations in the ordinary course of business for the next twelve months.</w:t>
      </w: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Business Outlook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fourth quarter of 2025, the Company expects:</w:t>
      </w:r>
    </w:p>
    <w:p>
      <w:pPr>
        <w:spacing w:after="0" w:line="221" w:lineRule="exact"/>
        <w:rPr>
          <w:sz w:val="20"/>
          <w:szCs w:val="20"/>
          <w:color w:val="auto"/>
        </w:rPr>
      </w:pPr>
    </w:p>
    <w:p>
      <w:pPr>
        <w:ind w:left="660" w:hanging="328"/>
        <w:spacing w:after="0" w:line="28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Deliveries of vehicles </w:t>
      </w:r>
      <w:r>
        <w:rPr>
          <w:rFonts w:ascii="Times New Roman" w:cs="Times New Roman" w:eastAsia="Times New Roman" w:hAnsi="Times New Roman"/>
          <w:sz w:val="18"/>
          <w:szCs w:val="18"/>
          <w:color w:val="auto"/>
        </w:rPr>
        <w:t>to be between 120,000 and 125,000 vehicles, representing an increase of approximately 65.1% to 72.0% from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quarter of 2024.</w:t>
      </w:r>
    </w:p>
    <w:p>
      <w:pPr>
        <w:spacing w:after="0" w:line="154"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Total revenues </w:t>
      </w:r>
      <w:r>
        <w:rPr>
          <w:rFonts w:ascii="Times New Roman" w:cs="Times New Roman" w:eastAsia="Times New Roman" w:hAnsi="Times New Roman"/>
          <w:sz w:val="18"/>
          <w:szCs w:val="18"/>
          <w:color w:val="auto"/>
        </w:rPr>
        <w:t>to be between RMB32,758 million (US$4,602 million) and RMB34,039 million (US$4,781 million), representing an increase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approximately 66.3% to 72.8% from the same quarter of 2024.</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business outlook reflects the Company’s current and preliminary view on the business situation and market condition, which is subject to change.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Conference Call</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management will host an earnings conference call at 7:00 AM U.S. Eastern Time on November 25, 2025 (8:00 PM Beijing/Hong Kong/Singapore Time on November 25,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live and archived webcast of the conference call will be available on the Company’s investor relations website at</w:t>
      </w:r>
      <w:r>
        <w:rPr>
          <w:rFonts w:ascii="Times New Roman" w:cs="Times New Roman" w:eastAsia="Times New Roman" w:hAnsi="Times New Roman"/>
          <w:sz w:val="18"/>
          <w:szCs w:val="18"/>
          <w:u w:val="single" w:color="auto"/>
          <w:color w:val="auto"/>
        </w:rPr>
        <w:t> https://ir.nio.com/news-events/events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participants who wish to join the conference using dial-in numbers, please register in advance using the link provided below and dial in 10 minutes prior to the call. Dial-in numbers, passcode and unique access PIN would be provided upon registering.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https://s1.c-conf.com/diamondpass/10051455-lh4ms9.html</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A replay of the conference call will be accessible by phone at the following numbers, until December 2, 2025:</w:t>
      </w:r>
    </w:p>
    <w:p>
      <w:pPr>
        <w:spacing w:after="0" w:line="26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9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+1-855-883-1031</w:t>
            </w:r>
          </w:p>
        </w:tc>
      </w:tr>
      <w:tr>
        <w:trPr>
          <w:trHeight w:val="270"/>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Hong Kong, China:</w:t>
            </w:r>
          </w:p>
        </w:tc>
        <w:tc>
          <w:tcPr>
            <w:tcW w:w="190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8"/>
              </w:rPr>
              <w:t>+852-800-930-639</w:t>
            </w:r>
          </w:p>
        </w:tc>
      </w:tr>
      <w:tr>
        <w:trPr>
          <w:trHeight w:val="270"/>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Mainland, China:</w:t>
            </w:r>
          </w:p>
        </w:tc>
        <w:tc>
          <w:tcPr>
            <w:tcW w:w="190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8"/>
              </w:rPr>
              <w:t>+86-400-1209-216</w:t>
            </w:r>
          </w:p>
        </w:tc>
      </w:tr>
      <w:tr>
        <w:trPr>
          <w:trHeight w:val="270"/>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Singapore:</w:t>
            </w:r>
          </w:p>
        </w:tc>
        <w:tc>
          <w:tcPr>
            <w:tcW w:w="190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8"/>
              </w:rPr>
              <w:t>+65-800-1013-223</w:t>
            </w:r>
          </w:p>
        </w:tc>
      </w:tr>
      <w:tr>
        <w:trPr>
          <w:trHeight w:val="270"/>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9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+61-7-3107-6325</w:t>
            </w:r>
          </w:p>
        </w:tc>
      </w:tr>
      <w:tr>
        <w:trPr>
          <w:trHeight w:val="270"/>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Replay PIN:</w:t>
            </w:r>
          </w:p>
        </w:tc>
        <w:tc>
          <w:tcPr>
            <w:tcW w:w="19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10051455</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About NIO Inc.</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NIO Inc. is a pioneer and a leading company in the global smart electric vehicle market. Founded in November 2014, NIO aspires to shape a sustainable and brighter future with the mission of “Blue Sky Coming”. NIO envisions itself as a user enterprise where innovative technology meets experience excellence. NIO designs, develops, manufactures and sells smart electric vehicles, driving innovations in next-generation core technologies. NIO distinguishes itself through continuous technological breakthroughs and innovations, exceptional products and services, and a community for shared growth. NIO provides premium smart electric vehicles under the NIO brand, family-oriented smart electric vehicles through the ONVO brand, and small smart high-end electric cars with the FIREFLY brand.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Safe Harbor Statement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statements that may constitute “forward-looking” statements pursuant to the “safe harbor” provisions of the U.S. Private Securities Litigation Reform Act of 1995. These forward-looking statements can be identified by terminology such as “will,” “expects,” “anticipates,” “aims,” “future,” “intends,” “plans,” “believes,” “estimates,” “likely to” and similar statements. NIO may also make written or oral forward-looking statements in its periodic reports to the U.S. Securities and Exchange Commission (the “SEC”), in its annual report to shareholders, in announcements, circulars or other publications made on the websites of each of The Stock Exchange of Hong Kong Limited (the “SEHK”) and the Singapore Exchange Securities Trading Limited (the “SGX-ST”), in press releases and other written materials and in oral statements made by its officers, directors or employees to third parties. Statements that are not historical facts, including statements about NIO’s beliefs, plans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NIO’s strategies; NIO’s future business development, financial condition and results of operations; NIO’s ability to develop and manufacture vehicles of sufficient quality and appeal to customers on schedule and on a large scale; its ability to ensure and expand manufacturing capacities including establishing and maintaining partnerships with third parties; its ability to provide convenient and comprehensive power solutions to its customers; the viability, growth potential and prospects of the battery swapping, BaaS, and NIO Assisted and Intelligent Driving and its subscription services; its ability to improve the technologies or develop alternative technologies in meeting evolving market demand and industry development; NIO’s ability to satisfy the mandated safety standards relating to motor vehicles; its ability to secure supply of raw materials or other components used in its vehicles; its ability to secure sufficient reservations and sales of its vehicles; its ability to control costs associated with its operations; its ability to build its current and future brands; general economic and business conditions globally and in China and assumptions underlying or related to any of the foregoing. Further information regarding these and other risks is included in NIO’s filings with the SEC and the announcements and filings on the websites of each of the SEHK and SGX-ST. All information provided in this press release is as of the date of this press release, and NIO does not undertake any obligation to update any forward-looking statement, except as required under applicable law.</w:t>
      </w: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Non-GAAP Disclosure</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uses non-GAAP measures, such as adjusted cost of sales (non-GAAP), adjusted research and development expenses (non-GAAP), adjusted selling, general and administrative expenses (non-GAAP), adjusted loss from operations (non-GAAP), adjusted net loss (non-GAAP), adjusted net loss attributable to ordinary shareholders (non-GAAP) and adjusted basic and diluted net loss per share/ADS (non-GAAP), in evaluating its operating results and for financial and operational decision-making purposes. The Company defines adjusted cost of sales (non-GAAP), adjusted research and development expenses (non-GAAP), adjusted selling, general and administrative expenses (non-GAAP) and adjusted loss from operations (non-GAAP) and adjusted net loss (non-GAAP) as cost of sales, research and development expenses, selling, general and administrative expenses, loss from operations and net loss excluding share-based compensation expenses and organizational optimization charges. The Company defines adjusted net loss attributable to ordinary shareholders (non-GAAP), adjusted basic and diluted net loss per share/ADS (non-GAAP) as net loss attributable to ordinary shareholders and basic and diluted net loss per share/ADS excluding share-based compensation expenses, organizational optimization charges and accretion on redeemable non-controlling interests to redemption value. By excluding the impact of share-based compensation expenses, organizational optimization charges and accretion on redeemable non-controlling interests to redemption value, which are either non-cash or not indicative of the Company’s ordinary or ongoing operations due to their size or nature, the Company believes that the non-GAAP financial measures help identify underlying trends in its business and enhance the overall understanding of the Company’s past performance and future prospects. The Company also believes that the non-GAAP financial measures allow for greater visibility with respect to key metrics used by the Company’s management in its financial and operational decision-making.</w:t>
      </w: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jc w:val="both"/>
        <w:spacing w:after="0" w:line="258" w:lineRule="auto"/>
        <w:rPr>
          <w:sz w:val="20"/>
          <w:szCs w:val="20"/>
          <w:color w:val="auto"/>
        </w:rPr>
      </w:pPr>
      <w:r>
        <w:rPr>
          <w:rFonts w:ascii="Times New Roman" w:cs="Times New Roman" w:eastAsia="Times New Roman" w:hAnsi="Times New Roman"/>
          <w:sz w:val="18"/>
          <w:szCs w:val="18"/>
          <w:color w:val="auto"/>
        </w:rPr>
        <w:t>The non-GAAP financial measures are not presented in accordance with U.S. GAAP and may be different from non-GAAP methods of accounting and reporting used by other companies. The non-GAAP financial measures have limitations as analytical tools and when assessing the Company’s operating performance, investors should not consider them in isolation, or as a substitute for net loss or other consolidated statements of comprehensive loss data prepared in accordance with U.S. GAAP. The Company encourages investors and others to review its financial information in its entirety and not rely on a single financial measure.</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mitigates these limitations by reconciling the non-GAAP financial measures to the most comparable U.S. GAAP performance measures, all of which should be considered when evaluating the Company’s performance.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more information on the non-GAAP financial measures, please see the table captioned “Unaudited Reconciliation of GAAP and Non-GAAP Results” set forth at the end of this press release.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Exchange Rate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announcement contains translations of certain Renminbi amounts into U.S. dollars at specified rates solely for the convenience of the reader. Unless otherwise stated, all translations from Renminbi to U.S. dollars were made at the rate of RMB7.1190 to US$1.00, the noon buying rate in effect on September 30, 2025 in the H.10 statistical release of the Federal Reserve Board. The Company makes no representation that the Renminbi or U.S. dollars amounts referred could be converted into U.S. dollars or Renminbi, as the case may be, at any particular rate or at all.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please visit: http://ir.nio.com.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ir@nio.com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Relations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global.press@nio.com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NIO</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NIO INC.</w:t>
            </w:r>
          </w:p>
        </w:tc>
        <w:tc>
          <w:tcPr>
            <w:tcW w:w="10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tc>
        <w:tc>
          <w:tcPr>
            <w:tcW w:w="10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(All amounts in thousands)</w:t>
            </w:r>
          </w:p>
        </w:tc>
        <w:tc>
          <w:tcPr>
            <w:tcW w:w="10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6"/>
        </w:trPr>
        <w:tc>
          <w:tcPr>
            <w:tcW w:w="5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50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8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00" w:type="dxa"/>
            <w:vAlign w:val="bottom"/>
            <w:gridSpan w:val="2"/>
          </w:tcPr>
          <w:p>
            <w:pPr>
              <w:spacing w:after="0"/>
              <w:rPr>
                <w:sz w:val="19"/>
                <w:szCs w:val="19"/>
                <w:color w:val="auto"/>
              </w:rPr>
            </w:pPr>
          </w:p>
        </w:tc>
      </w:tr>
      <w:tr>
        <w:trPr>
          <w:trHeight w:val="210"/>
        </w:trPr>
        <w:tc>
          <w:tcPr>
            <w:tcW w:w="5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6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RMB</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RMB</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Borders>
              <w:top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gridSpan w:val="2"/>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19,328,920</w:t>
            </w:r>
          </w:p>
        </w:tc>
        <w:tc>
          <w:tcPr>
            <w:tcW w:w="1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9,270,823</w:t>
            </w:r>
          </w:p>
        </w:tc>
        <w:tc>
          <w:tcPr>
            <w:tcW w:w="1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1,302,265</w:t>
            </w:r>
          </w:p>
        </w:tc>
        <w:tc>
          <w:tcPr>
            <w:tcW w:w="8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6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8,320,728</w:t>
            </w:r>
          </w:p>
        </w:tc>
        <w:tc>
          <w:tcPr>
            <w:tcW w:w="18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12,447,786</w:t>
            </w:r>
          </w:p>
        </w:tc>
        <w:tc>
          <w:tcPr>
            <w:tcW w:w="1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1,748,530</w:t>
            </w:r>
          </w:p>
        </w:tc>
        <w:tc>
          <w:tcPr>
            <w:tcW w:w="8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26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14,137,566</w:t>
            </w:r>
          </w:p>
        </w:tc>
        <w:tc>
          <w:tcPr>
            <w:tcW w:w="1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14,835,336</w:t>
            </w:r>
          </w:p>
        </w:tc>
        <w:tc>
          <w:tcPr>
            <w:tcW w:w="1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2,083,907</w:t>
            </w:r>
          </w:p>
        </w:tc>
        <w:tc>
          <w:tcPr>
            <w:tcW w:w="8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Trade and notes receivables</w:t>
            </w:r>
          </w:p>
        </w:tc>
        <w:tc>
          <w:tcPr>
            <w:tcW w:w="26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1,676,246</w:t>
            </w:r>
          </w:p>
        </w:tc>
        <w:tc>
          <w:tcPr>
            <w:tcW w:w="18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1,304,186</w:t>
            </w:r>
          </w:p>
        </w:tc>
        <w:tc>
          <w:tcPr>
            <w:tcW w:w="1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183,198</w:t>
            </w:r>
          </w:p>
        </w:tc>
        <w:tc>
          <w:tcPr>
            <w:tcW w:w="8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26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7,702,404</w:t>
            </w:r>
          </w:p>
        </w:tc>
        <w:tc>
          <w:tcPr>
            <w:tcW w:w="1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13,248,324</w:t>
            </w:r>
          </w:p>
        </w:tc>
        <w:tc>
          <w:tcPr>
            <w:tcW w:w="1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1,860,981</w:t>
            </w:r>
          </w:p>
        </w:tc>
        <w:tc>
          <w:tcPr>
            <w:tcW w:w="8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Inventory</w:t>
            </w:r>
          </w:p>
        </w:tc>
        <w:tc>
          <w:tcPr>
            <w:tcW w:w="26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7,087,223</w:t>
            </w:r>
          </w:p>
        </w:tc>
        <w:tc>
          <w:tcPr>
            <w:tcW w:w="18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7,477,682</w:t>
            </w:r>
          </w:p>
        </w:tc>
        <w:tc>
          <w:tcPr>
            <w:tcW w:w="1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1,050,384</w:t>
            </w:r>
          </w:p>
        </w:tc>
        <w:tc>
          <w:tcPr>
            <w:tcW w:w="80" w:type="dxa"/>
            <w:vAlign w:val="bottom"/>
          </w:tcPr>
          <w:p>
            <w:pPr>
              <w:spacing w:after="0"/>
              <w:rPr>
                <w:sz w:val="18"/>
                <w:szCs w:val="18"/>
                <w:color w:val="auto"/>
              </w:rPr>
            </w:pPr>
          </w:p>
        </w:tc>
      </w:tr>
      <w:tr>
        <w:trPr>
          <w:trHeight w:val="229"/>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26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3,632,956</w:t>
            </w:r>
          </w:p>
        </w:tc>
        <w:tc>
          <w:tcPr>
            <w:tcW w:w="1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4,475,189</w:t>
            </w:r>
          </w:p>
        </w:tc>
        <w:tc>
          <w:tcPr>
            <w:tcW w:w="1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628,626</w:t>
            </w:r>
          </w:p>
        </w:tc>
        <w:tc>
          <w:tcPr>
            <w:tcW w:w="80" w:type="dxa"/>
            <w:vAlign w:val="bottom"/>
            <w:shd w:val="clear" w:color="auto" w:fill="CCEEFF"/>
          </w:tcPr>
          <w:p>
            <w:pPr>
              <w:spacing w:after="0"/>
              <w:rPr>
                <w:sz w:val="19"/>
                <w:szCs w:val="19"/>
                <w:color w:val="auto"/>
              </w:rPr>
            </w:pPr>
          </w:p>
        </w:tc>
      </w:tr>
      <w:tr>
        <w:trPr>
          <w:trHeight w:val="210"/>
        </w:trPr>
        <w:tc>
          <w:tcPr>
            <w:tcW w:w="5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040" w:type="dxa"/>
            <w:vAlign w:val="bottom"/>
            <w:tcBorders>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61,886,043</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63,059,326</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8,857,891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09"/>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10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Long-term restricted cash</w:t>
            </w:r>
          </w:p>
        </w:tc>
        <w:tc>
          <w:tcPr>
            <w:tcW w:w="26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97,720</w:t>
            </w:r>
          </w:p>
        </w:tc>
        <w:tc>
          <w:tcPr>
            <w:tcW w:w="18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92,105</w:t>
            </w:r>
          </w:p>
        </w:tc>
        <w:tc>
          <w:tcPr>
            <w:tcW w:w="1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12,938</w:t>
            </w:r>
          </w:p>
        </w:tc>
        <w:tc>
          <w:tcPr>
            <w:tcW w:w="8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6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25,892,904</w:t>
            </w:r>
          </w:p>
        </w:tc>
        <w:tc>
          <w:tcPr>
            <w:tcW w:w="1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26,771,798</w:t>
            </w:r>
          </w:p>
        </w:tc>
        <w:tc>
          <w:tcPr>
            <w:tcW w:w="1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3,760,612</w:t>
            </w:r>
          </w:p>
        </w:tc>
        <w:tc>
          <w:tcPr>
            <w:tcW w:w="8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6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29,648</w:t>
            </w:r>
          </w:p>
        </w:tc>
        <w:tc>
          <w:tcPr>
            <w:tcW w:w="18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29,648</w:t>
            </w:r>
          </w:p>
        </w:tc>
        <w:tc>
          <w:tcPr>
            <w:tcW w:w="1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4,165</w:t>
            </w:r>
          </w:p>
        </w:tc>
        <w:tc>
          <w:tcPr>
            <w:tcW w:w="8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use rights, net</w:t>
            </w:r>
          </w:p>
        </w:tc>
        <w:tc>
          <w:tcPr>
            <w:tcW w:w="26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201,995</w:t>
            </w:r>
          </w:p>
        </w:tc>
        <w:tc>
          <w:tcPr>
            <w:tcW w:w="1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198,017</w:t>
            </w:r>
          </w:p>
        </w:tc>
        <w:tc>
          <w:tcPr>
            <w:tcW w:w="1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27,815</w:t>
            </w:r>
          </w:p>
        </w:tc>
        <w:tc>
          <w:tcPr>
            <w:tcW w:w="8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26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3,126,007</w:t>
            </w:r>
          </w:p>
        </w:tc>
        <w:tc>
          <w:tcPr>
            <w:tcW w:w="18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2,148,380</w:t>
            </w:r>
          </w:p>
        </w:tc>
        <w:tc>
          <w:tcPr>
            <w:tcW w:w="1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301,781</w:t>
            </w:r>
          </w:p>
        </w:tc>
        <w:tc>
          <w:tcPr>
            <w:tcW w:w="8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 operating lease</w:t>
            </w:r>
          </w:p>
        </w:tc>
        <w:tc>
          <w:tcPr>
            <w:tcW w:w="26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12,797,158</w:t>
            </w:r>
          </w:p>
        </w:tc>
        <w:tc>
          <w:tcPr>
            <w:tcW w:w="1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12,038,043</w:t>
            </w:r>
          </w:p>
        </w:tc>
        <w:tc>
          <w:tcPr>
            <w:tcW w:w="1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1,690,974</w:t>
            </w:r>
          </w:p>
        </w:tc>
        <w:tc>
          <w:tcPr>
            <w:tcW w:w="80" w:type="dxa"/>
            <w:vAlign w:val="bottom"/>
            <w:shd w:val="clear" w:color="auto" w:fill="CCEEFF"/>
          </w:tcPr>
          <w:p>
            <w:pPr>
              <w:spacing w:after="0"/>
              <w:rPr>
                <w:sz w:val="18"/>
                <w:szCs w:val="18"/>
                <w:color w:val="auto"/>
              </w:rPr>
            </w:pPr>
          </w:p>
        </w:tc>
      </w:tr>
      <w:tr>
        <w:trPr>
          <w:trHeight w:val="229"/>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6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3,573,137</w:t>
            </w:r>
          </w:p>
        </w:tc>
        <w:tc>
          <w:tcPr>
            <w:tcW w:w="18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7,706,757</w:t>
            </w:r>
          </w:p>
        </w:tc>
        <w:tc>
          <w:tcPr>
            <w:tcW w:w="1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1,082,562</w:t>
            </w:r>
          </w:p>
        </w:tc>
        <w:tc>
          <w:tcPr>
            <w:tcW w:w="80" w:type="dxa"/>
            <w:vAlign w:val="bottom"/>
          </w:tcPr>
          <w:p>
            <w:pPr>
              <w:spacing w:after="0"/>
              <w:rPr>
                <w:sz w:val="19"/>
                <w:szCs w:val="19"/>
                <w:color w:val="auto"/>
              </w:rPr>
            </w:pPr>
          </w:p>
        </w:tc>
      </w:tr>
      <w:tr>
        <w:trPr>
          <w:trHeight w:val="210"/>
        </w:trPr>
        <w:tc>
          <w:tcPr>
            <w:tcW w:w="5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0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45,718,569</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48,984,748</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6,880,847</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63"/>
        </w:trPr>
        <w:tc>
          <w:tcPr>
            <w:tcW w:w="5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4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107,604,612</w:t>
            </w:r>
          </w:p>
        </w:tc>
        <w:tc>
          <w:tcPr>
            <w:tcW w:w="16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112,044,074</w:t>
            </w:r>
          </w:p>
        </w:tc>
        <w:tc>
          <w:tcPr>
            <w:tcW w:w="16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15,738,738</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197"/>
        </w:trPr>
        <w:tc>
          <w:tcPr>
            <w:tcW w:w="50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10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borrowings</w:t>
            </w:r>
          </w:p>
        </w:tc>
        <w:tc>
          <w:tcPr>
            <w:tcW w:w="26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5,729,561</w:t>
            </w:r>
          </w:p>
        </w:tc>
        <w:tc>
          <w:tcPr>
            <w:tcW w:w="1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4,983,469</w:t>
            </w:r>
          </w:p>
        </w:tc>
        <w:tc>
          <w:tcPr>
            <w:tcW w:w="1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700,024</w:t>
            </w:r>
          </w:p>
        </w:tc>
        <w:tc>
          <w:tcPr>
            <w:tcW w:w="8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Trade and notes payable</w:t>
            </w:r>
          </w:p>
        </w:tc>
        <w:tc>
          <w:tcPr>
            <w:tcW w:w="26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34,387,266</w:t>
            </w:r>
          </w:p>
        </w:tc>
        <w:tc>
          <w:tcPr>
            <w:tcW w:w="18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39,547,732</w:t>
            </w:r>
          </w:p>
        </w:tc>
        <w:tc>
          <w:tcPr>
            <w:tcW w:w="1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5,555,237</w:t>
            </w:r>
          </w:p>
        </w:tc>
        <w:tc>
          <w:tcPr>
            <w:tcW w:w="8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due to related parties, current</w:t>
            </w:r>
          </w:p>
        </w:tc>
        <w:tc>
          <w:tcPr>
            <w:tcW w:w="26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409,363</w:t>
            </w:r>
          </w:p>
        </w:tc>
        <w:tc>
          <w:tcPr>
            <w:tcW w:w="1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763,945</w:t>
            </w:r>
          </w:p>
        </w:tc>
        <w:tc>
          <w:tcPr>
            <w:tcW w:w="1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107,311</w:t>
            </w:r>
          </w:p>
        </w:tc>
        <w:tc>
          <w:tcPr>
            <w:tcW w:w="8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Taxes payable</w:t>
            </w:r>
          </w:p>
        </w:tc>
        <w:tc>
          <w:tcPr>
            <w:tcW w:w="26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400,146</w:t>
            </w:r>
          </w:p>
        </w:tc>
        <w:tc>
          <w:tcPr>
            <w:tcW w:w="18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627,860</w:t>
            </w:r>
          </w:p>
        </w:tc>
        <w:tc>
          <w:tcPr>
            <w:tcW w:w="1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88,195</w:t>
            </w:r>
          </w:p>
        </w:tc>
        <w:tc>
          <w:tcPr>
            <w:tcW w:w="8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6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1,945,987</w:t>
            </w:r>
          </w:p>
        </w:tc>
        <w:tc>
          <w:tcPr>
            <w:tcW w:w="1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2,749,529</w:t>
            </w:r>
          </w:p>
        </w:tc>
        <w:tc>
          <w:tcPr>
            <w:tcW w:w="1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386,224</w:t>
            </w:r>
          </w:p>
        </w:tc>
        <w:tc>
          <w:tcPr>
            <w:tcW w:w="8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Current portion of long-term borrowings</w:t>
            </w:r>
          </w:p>
        </w:tc>
        <w:tc>
          <w:tcPr>
            <w:tcW w:w="26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3,397,622</w:t>
            </w:r>
          </w:p>
        </w:tc>
        <w:tc>
          <w:tcPr>
            <w:tcW w:w="18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932,832</w:t>
            </w:r>
          </w:p>
        </w:tc>
        <w:tc>
          <w:tcPr>
            <w:tcW w:w="1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131,034</w:t>
            </w:r>
          </w:p>
        </w:tc>
        <w:tc>
          <w:tcPr>
            <w:tcW w:w="80" w:type="dxa"/>
            <w:vAlign w:val="bottom"/>
          </w:tcPr>
          <w:p>
            <w:pPr>
              <w:spacing w:after="0"/>
              <w:rPr>
                <w:sz w:val="18"/>
                <w:szCs w:val="18"/>
                <w:color w:val="auto"/>
              </w:rPr>
            </w:pPr>
          </w:p>
        </w:tc>
      </w:tr>
      <w:tr>
        <w:trPr>
          <w:trHeight w:val="230"/>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Accruals and other liabilities</w:t>
            </w:r>
          </w:p>
        </w:tc>
        <w:tc>
          <w:tcPr>
            <w:tcW w:w="26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16,041,079</w:t>
            </w:r>
          </w:p>
        </w:tc>
        <w:tc>
          <w:tcPr>
            <w:tcW w:w="1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17,714,186</w:t>
            </w:r>
          </w:p>
        </w:tc>
        <w:tc>
          <w:tcPr>
            <w:tcW w:w="1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2,488,297</w:t>
            </w:r>
          </w:p>
        </w:tc>
        <w:tc>
          <w:tcPr>
            <w:tcW w:w="80" w:type="dxa"/>
            <w:vAlign w:val="bottom"/>
            <w:shd w:val="clear" w:color="auto" w:fill="CCEEFF"/>
          </w:tcPr>
          <w:p>
            <w:pPr>
              <w:spacing w:after="0"/>
              <w:rPr>
                <w:sz w:val="19"/>
                <w:szCs w:val="19"/>
                <w:color w:val="auto"/>
              </w:rPr>
            </w:pPr>
          </w:p>
        </w:tc>
      </w:tr>
      <w:tr>
        <w:trPr>
          <w:trHeight w:val="210"/>
        </w:trPr>
        <w:tc>
          <w:tcPr>
            <w:tcW w:w="5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040" w:type="dxa"/>
            <w:vAlign w:val="bottom"/>
            <w:tcBorders>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62,311,024</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67,319,553</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9,456,322</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0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Long-term borrowings</w:t>
            </w:r>
          </w:p>
        </w:tc>
        <w:tc>
          <w:tcPr>
            <w:tcW w:w="26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11,440,755</w:t>
            </w:r>
          </w:p>
        </w:tc>
        <w:tc>
          <w:tcPr>
            <w:tcW w:w="18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8,721,286</w:t>
            </w:r>
          </w:p>
        </w:tc>
        <w:tc>
          <w:tcPr>
            <w:tcW w:w="1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1,225,072</w:t>
            </w:r>
          </w:p>
        </w:tc>
        <w:tc>
          <w:tcPr>
            <w:tcW w:w="8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6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11,260,735</w:t>
            </w:r>
          </w:p>
        </w:tc>
        <w:tc>
          <w:tcPr>
            <w:tcW w:w="1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10,253,359</w:t>
            </w:r>
          </w:p>
        </w:tc>
        <w:tc>
          <w:tcPr>
            <w:tcW w:w="1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1,440,281</w:t>
            </w:r>
          </w:p>
        </w:tc>
        <w:tc>
          <w:tcPr>
            <w:tcW w:w="8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Amounts due to related parties, non-current</w:t>
            </w:r>
          </w:p>
        </w:tc>
        <w:tc>
          <w:tcPr>
            <w:tcW w:w="26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329,492</w:t>
            </w:r>
          </w:p>
        </w:tc>
        <w:tc>
          <w:tcPr>
            <w:tcW w:w="18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372,778</w:t>
            </w:r>
          </w:p>
        </w:tc>
        <w:tc>
          <w:tcPr>
            <w:tcW w:w="1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52,364</w:t>
            </w:r>
          </w:p>
        </w:tc>
        <w:tc>
          <w:tcPr>
            <w:tcW w:w="80" w:type="dxa"/>
            <w:vAlign w:val="bottom"/>
          </w:tcPr>
          <w:p>
            <w:pPr>
              <w:spacing w:after="0"/>
              <w:rPr>
                <w:sz w:val="18"/>
                <w:szCs w:val="18"/>
                <w:color w:val="auto"/>
              </w:rPr>
            </w:pPr>
          </w:p>
        </w:tc>
      </w:tr>
      <w:tr>
        <w:trPr>
          <w:trHeight w:val="216"/>
        </w:trPr>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6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127,467</w:t>
            </w:r>
          </w:p>
        </w:tc>
        <w:tc>
          <w:tcPr>
            <w:tcW w:w="1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118,543</w:t>
            </w:r>
          </w:p>
        </w:tc>
        <w:tc>
          <w:tcPr>
            <w:tcW w:w="1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16,652</w:t>
            </w:r>
          </w:p>
        </w:tc>
        <w:tc>
          <w:tcPr>
            <w:tcW w:w="80" w:type="dxa"/>
            <w:vAlign w:val="bottom"/>
            <w:shd w:val="clear" w:color="auto" w:fill="CCEEFF"/>
          </w:tcPr>
          <w:p>
            <w:pPr>
              <w:spacing w:after="0"/>
              <w:rPr>
                <w:sz w:val="18"/>
                <w:szCs w:val="18"/>
                <w:color w:val="auto"/>
              </w:rPr>
            </w:pPr>
          </w:p>
        </w:tc>
      </w:tr>
      <w:tr>
        <w:trPr>
          <w:trHeight w:val="230"/>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6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8,628,596</w:t>
            </w:r>
          </w:p>
        </w:tc>
        <w:tc>
          <w:tcPr>
            <w:tcW w:w="18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13,170,335</w:t>
            </w:r>
          </w:p>
        </w:tc>
        <w:tc>
          <w:tcPr>
            <w:tcW w:w="1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1,850,025</w:t>
            </w:r>
          </w:p>
        </w:tc>
        <w:tc>
          <w:tcPr>
            <w:tcW w:w="80" w:type="dxa"/>
            <w:vAlign w:val="bottom"/>
          </w:tcPr>
          <w:p>
            <w:pPr>
              <w:spacing w:after="0"/>
              <w:rPr>
                <w:sz w:val="19"/>
                <w:szCs w:val="19"/>
                <w:color w:val="auto"/>
              </w:rPr>
            </w:pPr>
          </w:p>
        </w:tc>
      </w:tr>
      <w:tr>
        <w:trPr>
          <w:trHeight w:val="210"/>
        </w:trPr>
        <w:tc>
          <w:tcPr>
            <w:tcW w:w="5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0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31,787,045</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32,636,301</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4,584,394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04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94,098,069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99,955,854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14,040,716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0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628"/>
        </w:trPr>
        <w:tc>
          <w:tcPr>
            <w:tcW w:w="50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r>
    </w:tbl>
    <w:p>
      <w:pPr>
        <w:sectPr>
          <w:pgSz w:w="11900" w:h="16838" w:orient="portrait"/>
          <w:cols w:equalWidth="0" w:num="1">
            <w:col w:w="11240"/>
          </w:cols>
          <w:pgMar w:left="320" w:top="1116" w:right="3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NIO INC.</w:t>
            </w:r>
          </w:p>
        </w:tc>
        <w:tc>
          <w:tcPr>
            <w:tcW w:w="76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tc>
        <w:tc>
          <w:tcPr>
            <w:tcW w:w="7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(All amounts in thousands)</w:t>
            </w:r>
          </w:p>
        </w:tc>
        <w:tc>
          <w:tcPr>
            <w:tcW w:w="7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6"/>
        </w:trPr>
        <w:tc>
          <w:tcPr>
            <w:tcW w:w="5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5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8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00" w:type="dxa"/>
            <w:vAlign w:val="bottom"/>
            <w:gridSpan w:val="2"/>
          </w:tcPr>
          <w:p>
            <w:pPr>
              <w:spacing w:after="0"/>
              <w:rPr>
                <w:sz w:val="19"/>
                <w:szCs w:val="19"/>
                <w:color w:val="auto"/>
              </w:rPr>
            </w:pPr>
          </w:p>
        </w:tc>
      </w:tr>
      <w:tr>
        <w:trPr>
          <w:trHeight w:val="209"/>
        </w:trPr>
        <w:tc>
          <w:tcPr>
            <w:tcW w:w="5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60" w:type="dxa"/>
            <w:vAlign w:val="bottom"/>
            <w:tcBorders>
              <w:top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RMB</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RMB</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Borders>
              <w:top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gridSpan w:val="2"/>
          </w:tcPr>
          <w:p>
            <w:pPr>
              <w:spacing w:after="0"/>
              <w:rPr>
                <w:sz w:val="18"/>
                <w:szCs w:val="18"/>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MEZZANINE EQUITY</w:t>
            </w:r>
          </w:p>
        </w:tc>
        <w:tc>
          <w:tcPr>
            <w:tcW w:w="7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9"/>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Redeemable non-controlling interests</w:t>
            </w:r>
          </w:p>
        </w:tc>
        <w:tc>
          <w:tcPr>
            <w:tcW w:w="23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7,441,997</w:t>
            </w:r>
          </w:p>
        </w:tc>
        <w:tc>
          <w:tcPr>
            <w:tcW w:w="18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8,390,230</w:t>
            </w:r>
          </w:p>
        </w:tc>
        <w:tc>
          <w:tcPr>
            <w:tcW w:w="1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1,178,569</w:t>
            </w:r>
          </w:p>
        </w:tc>
        <w:tc>
          <w:tcPr>
            <w:tcW w:w="80" w:type="dxa"/>
            <w:vAlign w:val="bottom"/>
          </w:tcPr>
          <w:p>
            <w:pPr>
              <w:spacing w:after="0"/>
              <w:rPr>
                <w:sz w:val="19"/>
                <w:szCs w:val="19"/>
                <w:color w:val="auto"/>
              </w:rPr>
            </w:pPr>
          </w:p>
        </w:tc>
      </w:tr>
      <w:tr>
        <w:trPr>
          <w:trHeight w:val="209"/>
        </w:trPr>
        <w:tc>
          <w:tcPr>
            <w:tcW w:w="5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mezzanine equity</w:t>
            </w:r>
          </w:p>
        </w:tc>
        <w:tc>
          <w:tcPr>
            <w:tcW w:w="76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7,441,997</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8,390,230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1,178,569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7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NIO Inc. shareholders’ equity</w:t>
            </w:r>
          </w:p>
        </w:tc>
        <w:tc>
          <w:tcPr>
            <w:tcW w:w="23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5,967,023</w:t>
            </w:r>
          </w:p>
        </w:tc>
        <w:tc>
          <w:tcPr>
            <w:tcW w:w="1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3,669,739</w:t>
            </w:r>
          </w:p>
        </w:tc>
        <w:tc>
          <w:tcPr>
            <w:tcW w:w="16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515,485</w:t>
            </w:r>
          </w:p>
        </w:tc>
        <w:tc>
          <w:tcPr>
            <w:tcW w:w="80" w:type="dxa"/>
            <w:vAlign w:val="bottom"/>
            <w:shd w:val="clear" w:color="auto" w:fill="CCEEFF"/>
          </w:tcPr>
          <w:p>
            <w:pPr>
              <w:spacing w:after="0"/>
              <w:rPr>
                <w:sz w:val="19"/>
                <w:szCs w:val="19"/>
                <w:color w:val="auto"/>
              </w:rPr>
            </w:pPr>
          </w:p>
        </w:tc>
      </w:tr>
      <w:tr>
        <w:trPr>
          <w:trHeight w:val="210"/>
        </w:trPr>
        <w:tc>
          <w:tcPr>
            <w:tcW w:w="5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760" w:type="dxa"/>
            <w:vAlign w:val="bottom"/>
            <w:tcBorders>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97,523</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28,251</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3,968</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09"/>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760" w:type="dxa"/>
            <w:vAlign w:val="bottom"/>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6,064,546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3,697,990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519,453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3"/>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mezzanine equity and shareholders’ equity</w:t>
            </w:r>
          </w:p>
        </w:tc>
        <w:tc>
          <w:tcPr>
            <w:tcW w:w="76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107,604,612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112,044,074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15,738,738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628"/>
        </w:trPr>
        <w:tc>
          <w:tcPr>
            <w:tcW w:w="53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r>
    </w:tbl>
    <w:p>
      <w:pPr>
        <w:sectPr>
          <w:pgSz w:w="11900" w:h="16838" w:orient="portrait"/>
          <w:cols w:equalWidth="0" w:num="1">
            <w:col w:w="11240"/>
          </w:cols>
          <w:pgMar w:left="320" w:top="90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NIO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Comprehensive Loss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amounts in thousands, except for share and per share/ADS data)</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20" w:type="dxa"/>
            <w:vAlign w:val="bottom"/>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5"/>
          </w:tcPr>
          <w:p>
            <w:pPr>
              <w:jc w:val="right"/>
              <w:ind w:right="78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520" w:type="dxa"/>
            <w:vAlign w:val="bottom"/>
          </w:tcPr>
          <w:p>
            <w:pPr>
              <w:spacing w:after="0"/>
              <w:rPr>
                <w:sz w:val="19"/>
                <w:szCs w:val="19"/>
                <w:color w:val="auto"/>
              </w:rPr>
            </w:pPr>
          </w:p>
        </w:tc>
        <w:tc>
          <w:tcPr>
            <w:tcW w:w="180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w w:val="98"/>
              </w:rPr>
              <w:t>September 30, 2024</w:t>
            </w:r>
          </w:p>
        </w:tc>
        <w:tc>
          <w:tcPr>
            <w:tcW w:w="13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June 30, 2025</w:t>
            </w:r>
          </w:p>
        </w:tc>
        <w:tc>
          <w:tcPr>
            <w:tcW w:w="1800" w:type="dxa"/>
            <w:vAlign w:val="bottom"/>
            <w:gridSpan w:val="3"/>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100" w:type="dxa"/>
            <w:vAlign w:val="bottom"/>
          </w:tcPr>
          <w:p>
            <w:pPr>
              <w:spacing w:after="0"/>
              <w:rPr>
                <w:sz w:val="19"/>
                <w:szCs w:val="19"/>
                <w:color w:val="auto"/>
              </w:rPr>
            </w:pPr>
          </w:p>
        </w:tc>
      </w:tr>
      <w:tr>
        <w:trPr>
          <w:trHeight w:val="210"/>
        </w:trPr>
        <w:tc>
          <w:tcPr>
            <w:tcW w:w="4520" w:type="dxa"/>
            <w:vAlign w:val="bottom"/>
          </w:tcPr>
          <w:p>
            <w:pPr>
              <w:spacing w:after="0"/>
              <w:rPr>
                <w:sz w:val="18"/>
                <w:szCs w:val="18"/>
                <w:color w:val="auto"/>
              </w:rPr>
            </w:pPr>
          </w:p>
        </w:tc>
        <w:tc>
          <w:tcPr>
            <w:tcW w:w="150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RMB</w:t>
            </w:r>
          </w:p>
        </w:tc>
        <w:tc>
          <w:tcPr>
            <w:tcW w:w="300" w:type="dxa"/>
            <w:vAlign w:val="bottom"/>
          </w:tcPr>
          <w:p>
            <w:pPr>
              <w:spacing w:after="0"/>
              <w:rPr>
                <w:sz w:val="18"/>
                <w:szCs w:val="18"/>
                <w:color w:val="auto"/>
              </w:rPr>
            </w:pPr>
          </w:p>
        </w:tc>
        <w:tc>
          <w:tcPr>
            <w:tcW w:w="120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RMB</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Borders>
              <w:top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RMB</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Borders>
              <w:top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Vehicle sales</w:t>
            </w:r>
          </w:p>
        </w:tc>
        <w:tc>
          <w:tcPr>
            <w:tcW w:w="180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16,697,558</w:t>
            </w:r>
          </w:p>
        </w:tc>
        <w:tc>
          <w:tcPr>
            <w:tcW w:w="13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16,136,114</w:t>
            </w:r>
          </w:p>
        </w:tc>
        <w:tc>
          <w:tcPr>
            <w:tcW w:w="1800" w:type="dxa"/>
            <w:vAlign w:val="bottom"/>
            <w:gridSpan w:val="3"/>
          </w:tcPr>
          <w:p>
            <w:pPr>
              <w:jc w:val="right"/>
              <w:ind w:right="101"/>
              <w:spacing w:after="0"/>
              <w:rPr>
                <w:sz w:val="20"/>
                <w:szCs w:val="20"/>
                <w:color w:val="auto"/>
              </w:rPr>
            </w:pPr>
            <w:r>
              <w:rPr>
                <w:rFonts w:ascii="Times New Roman" w:cs="Times New Roman" w:eastAsia="Times New Roman" w:hAnsi="Times New Roman"/>
                <w:sz w:val="18"/>
                <w:szCs w:val="18"/>
                <w:color w:val="auto"/>
              </w:rPr>
              <w:t>19,202,278</w:t>
            </w:r>
          </w:p>
        </w:tc>
        <w:tc>
          <w:tcPr>
            <w:tcW w:w="174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2,697,328</w:t>
            </w:r>
          </w:p>
        </w:tc>
      </w:tr>
      <w:tr>
        <w:trPr>
          <w:trHeight w:val="229"/>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sales</w:t>
            </w:r>
          </w:p>
        </w:tc>
        <w:tc>
          <w:tcPr>
            <w:tcW w:w="180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1,975,970</w:t>
            </w:r>
          </w:p>
        </w:tc>
        <w:tc>
          <w:tcPr>
            <w:tcW w:w="13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2,872,551</w:t>
            </w:r>
          </w:p>
        </w:tc>
        <w:tc>
          <w:tcPr>
            <w:tcW w:w="1800" w:type="dxa"/>
            <w:vAlign w:val="bottom"/>
            <w:gridSpan w:val="3"/>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2,591,597</w:t>
            </w:r>
          </w:p>
        </w:tc>
        <w:tc>
          <w:tcPr>
            <w:tcW w:w="174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364,039</w:t>
            </w:r>
          </w:p>
        </w:tc>
      </w:tr>
      <w:tr>
        <w:trPr>
          <w:trHeight w:val="210"/>
        </w:trPr>
        <w:tc>
          <w:tcPr>
            <w:tcW w:w="4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18,673,528</w:t>
            </w:r>
          </w:p>
        </w:tc>
        <w:tc>
          <w:tcPr>
            <w:tcW w:w="300" w:type="dxa"/>
            <w:vAlign w:val="bottom"/>
            <w:tcBorders>
              <w:bottom w:val="single" w:sz="8" w:color="CCEEFF"/>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19,008,665</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21,793,875</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3,061,367</w:t>
            </w:r>
          </w:p>
        </w:tc>
        <w:tc>
          <w:tcPr>
            <w:tcW w:w="100" w:type="dxa"/>
            <w:vAlign w:val="bottom"/>
            <w:tcBorders>
              <w:bottom w:val="single" w:sz="8" w:color="CCEEFF"/>
            </w:tcBorders>
          </w:tcPr>
          <w:p>
            <w:pPr>
              <w:spacing w:after="0"/>
              <w:rPr>
                <w:sz w:val="18"/>
                <w:szCs w:val="18"/>
                <w:color w:val="auto"/>
              </w:rPr>
            </w:pPr>
          </w:p>
        </w:tc>
      </w:tr>
      <w:tr>
        <w:trPr>
          <w:trHeight w:val="23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sales:</w:t>
            </w:r>
          </w:p>
        </w:tc>
        <w:tc>
          <w:tcPr>
            <w:tcW w:w="15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Vehicle sales</w:t>
            </w:r>
          </w:p>
        </w:tc>
        <w:tc>
          <w:tcPr>
            <w:tcW w:w="18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(14,516,999)</w:t>
            </w:r>
          </w:p>
        </w:tc>
        <w:tc>
          <w:tcPr>
            <w:tcW w:w="13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(14,473,222)</w:t>
            </w:r>
          </w:p>
        </w:tc>
        <w:tc>
          <w:tcPr>
            <w:tcW w:w="180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(16,378,772)</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(2,300,712)</w:t>
            </w:r>
          </w:p>
        </w:tc>
      </w:tr>
      <w:tr>
        <w:trPr>
          <w:trHeight w:val="229"/>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sales</w:t>
            </w:r>
          </w:p>
        </w:tc>
        <w:tc>
          <w:tcPr>
            <w:tcW w:w="18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(2,149,156)</w:t>
            </w:r>
          </w:p>
        </w:tc>
        <w:tc>
          <w:tcPr>
            <w:tcW w:w="13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(2,637,920)</w:t>
            </w:r>
          </w:p>
        </w:tc>
        <w:tc>
          <w:tcPr>
            <w:tcW w:w="180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(2,390,534)</w:t>
            </w:r>
          </w:p>
        </w:tc>
        <w:tc>
          <w:tcPr>
            <w:tcW w:w="1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(335,796)</w:t>
            </w:r>
          </w:p>
        </w:tc>
      </w:tr>
      <w:tr>
        <w:trPr>
          <w:trHeight w:val="209"/>
        </w:trPr>
        <w:tc>
          <w:tcPr>
            <w:tcW w:w="4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cost of sales</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(16,666,155</w:t>
            </w:r>
          </w:p>
        </w:tc>
        <w:tc>
          <w:tcPr>
            <w:tcW w:w="300" w:type="dxa"/>
            <w:vAlign w:val="bottom"/>
            <w:tcBorders>
              <w:bottom w:val="single" w:sz="8" w:color="CCEEFF"/>
            </w:tcBorders>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(17,111,142</w:t>
            </w:r>
          </w:p>
        </w:tc>
        <w:tc>
          <w:tcPr>
            <w:tcW w:w="180" w:type="dxa"/>
            <w:vAlign w:val="bottom"/>
            <w:tcBorders>
              <w:bottom w:val="single" w:sz="8" w:color="CCEEFF"/>
            </w:tcBorders>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Borders>
              <w:bottom w:val="single" w:sz="8" w:color="CCEEFF"/>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(18,769,306</w:t>
            </w:r>
          </w:p>
        </w:tc>
        <w:tc>
          <w:tcPr>
            <w:tcW w:w="180" w:type="dxa"/>
            <w:vAlign w:val="bottom"/>
            <w:tcBorders>
              <w:bottom w:val="single" w:sz="8" w:color="CCEEFF"/>
            </w:tcBorders>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tcBorders>
              <w:bottom w:val="single" w:sz="8" w:color="CCEEFF"/>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(2,636,508</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0"/>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2,007,373</w:t>
            </w:r>
          </w:p>
        </w:tc>
        <w:tc>
          <w:tcPr>
            <w:tcW w:w="3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1,897,523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3,024,569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424,859</w:t>
            </w:r>
          </w:p>
        </w:tc>
        <w:tc>
          <w:tcPr>
            <w:tcW w:w="100" w:type="dxa"/>
            <w:vAlign w:val="bottom"/>
            <w:shd w:val="clear" w:color="auto" w:fill="CCEEFF"/>
          </w:tcPr>
          <w:p>
            <w:pPr>
              <w:spacing w:after="0"/>
              <w:rPr>
                <w:sz w:val="18"/>
                <w:szCs w:val="18"/>
                <w:color w:val="auto"/>
              </w:rPr>
            </w:pPr>
          </w:p>
        </w:tc>
      </w:tr>
      <w:tr>
        <w:trPr>
          <w:trHeight w:val="209"/>
        </w:trPr>
        <w:tc>
          <w:tcPr>
            <w:tcW w:w="4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(3,318,740)</w:t>
            </w:r>
          </w:p>
        </w:tc>
        <w:tc>
          <w:tcPr>
            <w:tcW w:w="13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(3,007,032)</w:t>
            </w:r>
          </w:p>
        </w:tc>
        <w:tc>
          <w:tcPr>
            <w:tcW w:w="180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(2,390,604)</w:t>
            </w:r>
          </w:p>
        </w:tc>
        <w:tc>
          <w:tcPr>
            <w:tcW w:w="1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(335,806)</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8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(4,108,806)</w:t>
            </w:r>
          </w:p>
        </w:tc>
        <w:tc>
          <w:tcPr>
            <w:tcW w:w="13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(3,964,921)</w:t>
            </w:r>
          </w:p>
        </w:tc>
        <w:tc>
          <w:tcPr>
            <w:tcW w:w="180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(4,184,675)</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(587,818)</w:t>
            </w:r>
          </w:p>
        </w:tc>
      </w:tr>
      <w:tr>
        <w:trPr>
          <w:trHeight w:val="230"/>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income</w:t>
            </w:r>
          </w:p>
        </w:tc>
        <w:tc>
          <w:tcPr>
            <w:tcW w:w="180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182,406</w:t>
            </w:r>
          </w:p>
        </w:tc>
        <w:tc>
          <w:tcPr>
            <w:tcW w:w="13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165,572</w:t>
            </w:r>
          </w:p>
        </w:tc>
        <w:tc>
          <w:tcPr>
            <w:tcW w:w="1800" w:type="dxa"/>
            <w:vAlign w:val="bottom"/>
            <w:gridSpan w:val="3"/>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29,188</w:t>
            </w:r>
          </w:p>
        </w:tc>
        <w:tc>
          <w:tcPr>
            <w:tcW w:w="174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4,100</w:t>
            </w:r>
          </w:p>
        </w:tc>
      </w:tr>
      <w:tr>
        <w:trPr>
          <w:trHeight w:val="209"/>
        </w:trPr>
        <w:tc>
          <w:tcPr>
            <w:tcW w:w="4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(7,245,140</w:t>
            </w:r>
          </w:p>
        </w:tc>
        <w:tc>
          <w:tcPr>
            <w:tcW w:w="300" w:type="dxa"/>
            <w:vAlign w:val="bottom"/>
            <w:tcBorders>
              <w:bottom w:val="single" w:sz="8" w:color="CCEEFF"/>
            </w:tcBorders>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(6,806,381</w:t>
            </w:r>
          </w:p>
        </w:tc>
        <w:tc>
          <w:tcPr>
            <w:tcW w:w="180" w:type="dxa"/>
            <w:vAlign w:val="bottom"/>
            <w:tcBorders>
              <w:bottom w:val="single" w:sz="8" w:color="CCEEFF"/>
            </w:tcBorders>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Borders>
              <w:bottom w:val="single" w:sz="8" w:color="CCEEFF"/>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(6,546,091</w:t>
            </w:r>
          </w:p>
        </w:tc>
        <w:tc>
          <w:tcPr>
            <w:tcW w:w="180" w:type="dxa"/>
            <w:vAlign w:val="bottom"/>
            <w:tcBorders>
              <w:bottom w:val="single" w:sz="8" w:color="CCEEFF"/>
            </w:tcBorders>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tcBorders>
              <w:bottom w:val="single" w:sz="8" w:color="CCEEFF"/>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(919,524</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0"/>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(5,237,767)</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(4,908,858)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(3,521,522)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(494,665)</w:t>
            </w:r>
          </w:p>
        </w:tc>
        <w:tc>
          <w:tcPr>
            <w:tcW w:w="10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investment income</w:t>
            </w:r>
          </w:p>
        </w:tc>
        <w:tc>
          <w:tcPr>
            <w:tcW w:w="180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310,123</w:t>
            </w:r>
          </w:p>
        </w:tc>
        <w:tc>
          <w:tcPr>
            <w:tcW w:w="13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107,529</w:t>
            </w:r>
          </w:p>
        </w:tc>
        <w:tc>
          <w:tcPr>
            <w:tcW w:w="1800" w:type="dxa"/>
            <w:vAlign w:val="bottom"/>
            <w:gridSpan w:val="3"/>
          </w:tcPr>
          <w:p>
            <w:pPr>
              <w:jc w:val="right"/>
              <w:ind w:right="101"/>
              <w:spacing w:after="0"/>
              <w:rPr>
                <w:sz w:val="20"/>
                <w:szCs w:val="20"/>
                <w:color w:val="auto"/>
              </w:rPr>
            </w:pPr>
            <w:r>
              <w:rPr>
                <w:rFonts w:ascii="Times New Roman" w:cs="Times New Roman" w:eastAsia="Times New Roman" w:hAnsi="Times New Roman"/>
                <w:sz w:val="18"/>
                <w:szCs w:val="18"/>
                <w:color w:val="auto"/>
              </w:rPr>
              <w:t>354,396</w:t>
            </w:r>
          </w:p>
        </w:tc>
        <w:tc>
          <w:tcPr>
            <w:tcW w:w="174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49,782</w:t>
            </w: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expenses</w:t>
            </w:r>
          </w:p>
        </w:tc>
        <w:tc>
          <w:tcPr>
            <w:tcW w:w="18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(203,761)</w:t>
            </w:r>
          </w:p>
        </w:tc>
        <w:tc>
          <w:tcPr>
            <w:tcW w:w="13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(212,748)</w:t>
            </w:r>
          </w:p>
        </w:tc>
        <w:tc>
          <w:tcPr>
            <w:tcW w:w="180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(222,508)</w:t>
            </w:r>
          </w:p>
        </w:tc>
        <w:tc>
          <w:tcPr>
            <w:tcW w:w="1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(31,255)</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Share of losses of equity investees</w:t>
            </w:r>
          </w:p>
        </w:tc>
        <w:tc>
          <w:tcPr>
            <w:tcW w:w="18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(199,662)</w:t>
            </w:r>
          </w:p>
        </w:tc>
        <w:tc>
          <w:tcPr>
            <w:tcW w:w="13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(124,664)</w:t>
            </w:r>
          </w:p>
        </w:tc>
        <w:tc>
          <w:tcPr>
            <w:tcW w:w="180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(182,083)</w:t>
            </w: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(25,577)</w:t>
            </w:r>
          </w:p>
        </w:tc>
      </w:tr>
      <w:tr>
        <w:trPr>
          <w:trHeight w:val="230"/>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80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309,654</w:t>
            </w:r>
          </w:p>
        </w:tc>
        <w:tc>
          <w:tcPr>
            <w:tcW w:w="13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186,879</w:t>
            </w:r>
          </w:p>
        </w:tc>
        <w:tc>
          <w:tcPr>
            <w:tcW w:w="1800" w:type="dxa"/>
            <w:vAlign w:val="bottom"/>
            <w:gridSpan w:val="3"/>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148,261</w:t>
            </w:r>
          </w:p>
        </w:tc>
        <w:tc>
          <w:tcPr>
            <w:tcW w:w="174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20,826</w:t>
            </w:r>
          </w:p>
        </w:tc>
      </w:tr>
      <w:tr>
        <w:trPr>
          <w:trHeight w:val="210"/>
        </w:trPr>
        <w:tc>
          <w:tcPr>
            <w:tcW w:w="4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 expense</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(5,021,413)</w:t>
            </w:r>
          </w:p>
        </w:tc>
        <w:tc>
          <w:tcPr>
            <w:tcW w:w="300" w:type="dxa"/>
            <w:vAlign w:val="bottom"/>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(4,951,862)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(3,423,456)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(480,889)</w:t>
            </w:r>
          </w:p>
        </w:tc>
        <w:tc>
          <w:tcPr>
            <w:tcW w:w="100" w:type="dxa"/>
            <w:vAlign w:val="bottom"/>
          </w:tcPr>
          <w:p>
            <w:pPr>
              <w:spacing w:after="0"/>
              <w:rPr>
                <w:sz w:val="18"/>
                <w:szCs w:val="18"/>
                <w:color w:val="auto"/>
              </w:rPr>
            </w:pPr>
          </w:p>
        </w:tc>
      </w:tr>
      <w:tr>
        <w:trPr>
          <w:trHeight w:val="230"/>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80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(38,265)</w:t>
            </w:r>
          </w:p>
        </w:tc>
        <w:tc>
          <w:tcPr>
            <w:tcW w:w="13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(42,939)</w:t>
            </w:r>
          </w:p>
        </w:tc>
        <w:tc>
          <w:tcPr>
            <w:tcW w:w="180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(57,029)</w:t>
            </w:r>
          </w:p>
        </w:tc>
        <w:tc>
          <w:tcPr>
            <w:tcW w:w="1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(8,011)</w:t>
            </w:r>
          </w:p>
        </w:tc>
      </w:tr>
      <w:tr>
        <w:trPr>
          <w:trHeight w:val="20"/>
        </w:trPr>
        <w:tc>
          <w:tcPr>
            <w:tcW w:w="45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900" w:right="339" w:bottom="1440" w:gutter="0" w:footer="0" w:header="0"/>
        </w:sectPr>
      </w:pPr>
    </w:p>
    <w:p>
      <w:pPr>
        <w:spacing w:after="0"/>
        <w:rPr>
          <w:sz w:val="20"/>
          <w:szCs w:val="20"/>
          <w:color w:val="auto"/>
        </w:rPr>
      </w:pPr>
      <w:r>
        <w:rPr>
          <w:rFonts w:ascii="Times New Roman" w:cs="Times New Roman" w:eastAsia="Times New Roman" w:hAnsi="Times New Roman"/>
          <w:sz w:val="18"/>
          <w:szCs w:val="18"/>
          <w:b w:val="1"/>
          <w:bCs w:val="1"/>
          <w:color w:val="auto"/>
        </w:rPr>
        <w:t>Net loss</w:t>
      </w:r>
    </w:p>
    <w:p>
      <w:pPr>
        <w:spacing w:after="0" w:line="9" w:lineRule="exact"/>
        <w:rPr>
          <w:sz w:val="20"/>
          <w:szCs w:val="20"/>
          <w:color w:val="auto"/>
        </w:rPr>
      </w:pPr>
    </w:p>
    <w:p>
      <w:pPr>
        <w:ind w:left="180" w:right="280" w:hanging="161"/>
        <w:spacing w:after="0" w:line="250" w:lineRule="auto"/>
        <w:rPr>
          <w:sz w:val="20"/>
          <w:szCs w:val="20"/>
          <w:color w:val="auto"/>
        </w:rPr>
      </w:pPr>
      <w:r>
        <w:rPr>
          <w:rFonts w:ascii="Times New Roman" w:cs="Times New Roman" w:eastAsia="Times New Roman" w:hAnsi="Times New Roman"/>
          <w:sz w:val="18"/>
          <w:szCs w:val="18"/>
          <w:color w:val="auto"/>
        </w:rPr>
        <w:t>Accretion on redeemable non-controlling interests to redemption value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loss/(profit) attributable to non-controlling interests</w:t>
      </w:r>
    </w:p>
    <w:p>
      <w:pPr>
        <w:spacing w:after="0" w:line="9" w:lineRule="exact"/>
        <w:rPr>
          <w:sz w:val="20"/>
          <w:szCs w:val="20"/>
          <w:color w:val="auto"/>
        </w:rPr>
      </w:pPr>
    </w:p>
    <w:p>
      <w:pPr>
        <w:ind w:left="180" w:hanging="161"/>
        <w:spacing w:after="0" w:line="276" w:lineRule="auto"/>
        <w:rPr>
          <w:sz w:val="20"/>
          <w:szCs w:val="20"/>
          <w:color w:val="auto"/>
        </w:rPr>
      </w:pPr>
      <w:r>
        <w:rPr>
          <w:rFonts w:ascii="Times New Roman" w:cs="Times New Roman" w:eastAsia="Times New Roman" w:hAnsi="Times New Roman"/>
          <w:sz w:val="18"/>
          <w:szCs w:val="18"/>
          <w:b w:val="1"/>
          <w:bCs w:val="1"/>
          <w:color w:val="auto"/>
        </w:rPr>
        <w:t>Net loss attributable to ordinary shareholders of NIO Inc.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comprehensive (loss)/income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currency translation adjustment, net of nil tax</w:t>
      </w:r>
    </w:p>
    <w:p>
      <w:pPr>
        <w:spacing w:after="0" w:line="9" w:lineRule="exact"/>
        <w:rPr>
          <w:sz w:val="20"/>
          <w:szCs w:val="20"/>
          <w:color w:val="auto"/>
        </w:rPr>
      </w:pPr>
    </w:p>
    <w:p>
      <w:pPr>
        <w:ind w:right="1000"/>
        <w:spacing w:after="0" w:line="266" w:lineRule="auto"/>
        <w:rPr>
          <w:sz w:val="20"/>
          <w:szCs w:val="20"/>
          <w:color w:val="auto"/>
        </w:rPr>
      </w:pPr>
      <w:r>
        <w:rPr>
          <w:rFonts w:ascii="Times New Roman" w:cs="Times New Roman" w:eastAsia="Times New Roman" w:hAnsi="Times New Roman"/>
          <w:sz w:val="18"/>
          <w:szCs w:val="18"/>
          <w:b w:val="1"/>
          <w:bCs w:val="1"/>
          <w:color w:val="auto"/>
        </w:rPr>
        <w:t>Total other comprehensive (loss)/income Total comprehensive loss</w:t>
      </w:r>
    </w:p>
    <w:p>
      <w:pPr>
        <w:ind w:left="180" w:right="280" w:hanging="161"/>
        <w:spacing w:after="0" w:line="258" w:lineRule="auto"/>
        <w:rPr>
          <w:sz w:val="20"/>
          <w:szCs w:val="20"/>
          <w:color w:val="auto"/>
        </w:rPr>
      </w:pPr>
      <w:r>
        <w:rPr>
          <w:rFonts w:ascii="Times New Roman" w:cs="Times New Roman" w:eastAsia="Times New Roman" w:hAnsi="Times New Roman"/>
          <w:sz w:val="18"/>
          <w:szCs w:val="18"/>
          <w:color w:val="auto"/>
        </w:rPr>
        <w:t>Accretion on redeemable non-controlling interests to redemption value</w:t>
      </w:r>
    </w:p>
    <w:p>
      <w:pPr>
        <w:spacing w:after="0"/>
        <w:rPr>
          <w:sz w:val="20"/>
          <w:szCs w:val="20"/>
          <w:color w:val="auto"/>
        </w:rPr>
      </w:pPr>
      <w:r>
        <w:rPr>
          <w:rFonts w:ascii="Times New Roman" w:cs="Times New Roman" w:eastAsia="Times New Roman" w:hAnsi="Times New Roman"/>
          <w:sz w:val="18"/>
          <w:szCs w:val="18"/>
          <w:color w:val="auto"/>
        </w:rPr>
        <w:t>Net loss/(profit) attributable to non-controlling interests</w:t>
      </w:r>
    </w:p>
    <w:p>
      <w:pPr>
        <w:spacing w:after="0" w:line="9" w:lineRule="exact"/>
        <w:rPr>
          <w:sz w:val="20"/>
          <w:szCs w:val="20"/>
          <w:color w:val="auto"/>
        </w:rPr>
      </w:pPr>
    </w:p>
    <w:p>
      <w:pPr>
        <w:ind w:left="180" w:right="680" w:hanging="161"/>
        <w:spacing w:after="0" w:line="260" w:lineRule="auto"/>
        <w:rPr>
          <w:sz w:val="20"/>
          <w:szCs w:val="20"/>
          <w:color w:val="auto"/>
        </w:rPr>
      </w:pPr>
      <w:r>
        <w:rPr>
          <w:rFonts w:ascii="Times New Roman" w:cs="Times New Roman" w:eastAsia="Times New Roman" w:hAnsi="Times New Roman"/>
          <w:sz w:val="18"/>
          <w:szCs w:val="18"/>
          <w:b w:val="1"/>
          <w:bCs w:val="1"/>
          <w:color w:val="auto"/>
        </w:rPr>
        <w:t>Comprehensive loss attributable to ordinary shareholders of NIO Inc.</w:t>
      </w:r>
    </w:p>
    <w:p>
      <w:pPr>
        <w:spacing w:after="0" w:line="2" w:lineRule="exact"/>
        <w:rPr>
          <w:sz w:val="20"/>
          <w:szCs w:val="20"/>
          <w:color w:val="auto"/>
        </w:rPr>
      </w:pPr>
    </w:p>
    <w:p>
      <w:pPr>
        <w:ind w:left="180" w:right="140" w:hanging="161"/>
        <w:spacing w:after="0" w:line="278" w:lineRule="auto"/>
        <w:rPr>
          <w:sz w:val="20"/>
          <w:szCs w:val="20"/>
          <w:color w:val="auto"/>
        </w:rPr>
      </w:pPr>
      <w:r>
        <w:rPr>
          <w:rFonts w:ascii="Times New Roman" w:cs="Times New Roman" w:eastAsia="Times New Roman" w:hAnsi="Times New Roman"/>
          <w:sz w:val="17"/>
          <w:szCs w:val="17"/>
          <w:b w:val="1"/>
          <w:bCs w:val="1"/>
          <w:color w:val="auto"/>
        </w:rPr>
        <w:t>Weighted average number of ordinary shares/ADSs used in computing net loss per share/ADS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w:t>
      </w:r>
    </w:p>
    <w:p>
      <w:pPr>
        <w:spacing w:after="0" w:line="9" w:lineRule="exact"/>
        <w:rPr>
          <w:sz w:val="20"/>
          <w:szCs w:val="20"/>
          <w:color w:val="auto"/>
        </w:rPr>
      </w:pPr>
    </w:p>
    <w:p>
      <w:pPr>
        <w:ind w:left="180" w:right="440" w:hanging="161"/>
        <w:spacing w:after="0" w:line="250" w:lineRule="auto"/>
        <w:rPr>
          <w:sz w:val="20"/>
          <w:szCs w:val="20"/>
          <w:color w:val="auto"/>
        </w:rPr>
      </w:pPr>
      <w:r>
        <w:rPr>
          <w:rFonts w:ascii="Times New Roman" w:cs="Times New Roman" w:eastAsia="Times New Roman" w:hAnsi="Times New Roman"/>
          <w:sz w:val="18"/>
          <w:szCs w:val="18"/>
          <w:b w:val="1"/>
          <w:bCs w:val="1"/>
          <w:color w:val="auto"/>
        </w:rPr>
        <w:t>Net loss per share/ADS attributable to ordinary shareholders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8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(5,059,678)</w:t>
            </w:r>
          </w:p>
        </w:tc>
        <w:tc>
          <w:tcPr>
            <w:tcW w:w="15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(4,994,801)</w:t>
            </w:r>
          </w:p>
        </w:tc>
        <w:tc>
          <w:tcPr>
            <w:tcW w:w="18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(3,480,485)</w:t>
            </w:r>
          </w:p>
        </w:tc>
        <w:tc>
          <w:tcPr>
            <w:tcW w:w="15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(488,900)</w:t>
            </w:r>
          </w:p>
        </w:tc>
        <w:tc>
          <w:tcPr>
            <w:tcW w:w="0" w:type="dxa"/>
            <w:vAlign w:val="bottom"/>
          </w:tcPr>
          <w:p>
            <w:pPr>
              <w:spacing w:after="0"/>
              <w:rPr>
                <w:sz w:val="1"/>
                <w:szCs w:val="1"/>
                <w:color w:val="auto"/>
              </w:rPr>
            </w:pPr>
          </w:p>
        </w:tc>
      </w:tr>
      <w:tr>
        <w:trPr>
          <w:trHeight w:val="391"/>
        </w:trPr>
        <w:tc>
          <w:tcPr>
            <w:tcW w:w="18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(91,400)</w:t>
            </w:r>
          </w:p>
        </w:tc>
        <w:tc>
          <w:tcPr>
            <w:tcW w:w="15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(148,374)</w:t>
            </w:r>
          </w:p>
        </w:tc>
        <w:tc>
          <w:tcPr>
            <w:tcW w:w="18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(155,369)</w:t>
            </w:r>
          </w:p>
        </w:tc>
        <w:tc>
          <w:tcPr>
            <w:tcW w:w="1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(21,825)</w:t>
            </w:r>
          </w:p>
        </w:tc>
        <w:tc>
          <w:tcPr>
            <w:tcW w:w="0" w:type="dxa"/>
            <w:vAlign w:val="bottom"/>
          </w:tcPr>
          <w:p>
            <w:pPr>
              <w:spacing w:after="0"/>
              <w:rPr>
                <w:sz w:val="1"/>
                <w:szCs w:val="1"/>
                <w:color w:val="auto"/>
              </w:rPr>
            </w:pPr>
          </w:p>
        </w:tc>
      </w:tr>
      <w:tr>
        <w:trPr>
          <w:trHeight w:val="248"/>
        </w:trPr>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9,443</w:t>
            </w:r>
          </w:p>
        </w:tc>
        <w:tc>
          <w:tcPr>
            <w:tcW w:w="300" w:type="dxa"/>
            <w:vAlign w:val="bottom"/>
          </w:tcPr>
          <w:p>
            <w:pPr>
              <w:spacing w:after="0"/>
              <w:rPr>
                <w:sz w:val="21"/>
                <w:szCs w:val="21"/>
                <w:color w:val="auto"/>
              </w:rPr>
            </w:pPr>
          </w:p>
        </w:tc>
        <w:tc>
          <w:tcPr>
            <w:tcW w:w="150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1,868</w:t>
            </w:r>
          </w:p>
        </w:tc>
        <w:tc>
          <w:tcPr>
            <w:tcW w:w="18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(24,899)</w:t>
            </w:r>
          </w:p>
        </w:tc>
        <w:tc>
          <w:tcPr>
            <w:tcW w:w="1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(3,498)</w:t>
            </w:r>
          </w:p>
        </w:tc>
        <w:tc>
          <w:tcPr>
            <w:tcW w:w="0" w:type="dxa"/>
            <w:vAlign w:val="bottom"/>
          </w:tcPr>
          <w:p>
            <w:pPr>
              <w:spacing w:after="0"/>
              <w:rPr>
                <w:sz w:val="1"/>
                <w:szCs w:val="1"/>
                <w:color w:val="auto"/>
              </w:rPr>
            </w:pPr>
          </w:p>
        </w:tc>
      </w:tr>
      <w:tr>
        <w:trPr>
          <w:trHeight w:val="20"/>
        </w:trPr>
        <w:tc>
          <w:tcPr>
            <w:tcW w:w="1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20" w:type="dxa"/>
            <w:vAlign w:val="bottom"/>
            <w:gridSpan w:val="2"/>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8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(5,141,635)</w:t>
            </w:r>
          </w:p>
        </w:tc>
        <w:tc>
          <w:tcPr>
            <w:tcW w:w="15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(5,141,307)</w:t>
            </w:r>
          </w:p>
        </w:tc>
        <w:tc>
          <w:tcPr>
            <w:tcW w:w="18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(3,660,753)</w:t>
            </w:r>
          </w:p>
        </w:tc>
        <w:tc>
          <w:tcPr>
            <w:tcW w:w="15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(514,223)</w:t>
            </w:r>
          </w:p>
        </w:tc>
        <w:tc>
          <w:tcPr>
            <w:tcW w:w="0" w:type="dxa"/>
            <w:vAlign w:val="bottom"/>
          </w:tcPr>
          <w:p>
            <w:pPr>
              <w:spacing w:after="0"/>
              <w:rPr>
                <w:sz w:val="1"/>
                <w:szCs w:val="1"/>
                <w:color w:val="auto"/>
              </w:rPr>
            </w:pPr>
          </w:p>
        </w:tc>
      </w:tr>
      <w:tr>
        <w:trPr>
          <w:trHeight w:val="20"/>
        </w:trPr>
        <w:tc>
          <w:tcPr>
            <w:tcW w:w="1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vMerge w:val="restart"/>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vMerge w:val="restart"/>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vMerge w:val="restart"/>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40" w:type="dxa"/>
            <w:vAlign w:val="bottom"/>
            <w:gridSpan w:val="2"/>
            <w:vMerge w:val="restart"/>
          </w:tcPr>
          <w:p>
            <w:pPr>
              <w:jc w:val="right"/>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line="20" w:lineRule="exact"/>
              <w:rPr>
                <w:sz w:val="1"/>
                <w:szCs w:val="1"/>
                <w:color w:val="auto"/>
              </w:rPr>
            </w:pPr>
          </w:p>
        </w:tc>
      </w:tr>
      <w:tr>
        <w:trPr>
          <w:trHeight w:val="197"/>
        </w:trPr>
        <w:tc>
          <w:tcPr>
            <w:tcW w:w="15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(5,059,678</w:t>
            </w:r>
          </w:p>
        </w:tc>
        <w:tc>
          <w:tcPr>
            <w:tcW w:w="300" w:type="dxa"/>
            <w:vAlign w:val="bottom"/>
            <w:vMerge w:val="continue"/>
          </w:tcPr>
          <w:p>
            <w:pPr>
              <w:spacing w:after="0"/>
              <w:rPr>
                <w:sz w:val="17"/>
                <w:szCs w:val="17"/>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(4,994,801</w:t>
            </w:r>
          </w:p>
        </w:tc>
        <w:tc>
          <w:tcPr>
            <w:tcW w:w="300" w:type="dxa"/>
            <w:vAlign w:val="bottom"/>
            <w:vMerge w:val="continue"/>
          </w:tcPr>
          <w:p>
            <w:pPr>
              <w:spacing w:after="0"/>
              <w:rPr>
                <w:sz w:val="17"/>
                <w:szCs w:val="17"/>
                <w:color w:val="auto"/>
              </w:rPr>
            </w:pPr>
          </w:p>
        </w:tc>
        <w:tc>
          <w:tcPr>
            <w:tcW w:w="15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(3,480,485</w:t>
            </w:r>
          </w:p>
        </w:tc>
        <w:tc>
          <w:tcPr>
            <w:tcW w:w="320" w:type="dxa"/>
            <w:vAlign w:val="bottom"/>
            <w:vMerge w:val="continue"/>
          </w:tcPr>
          <w:p>
            <w:pPr>
              <w:spacing w:after="0"/>
              <w:rPr>
                <w:sz w:val="17"/>
                <w:szCs w:val="17"/>
                <w:color w:val="auto"/>
              </w:rPr>
            </w:pPr>
          </w:p>
        </w:tc>
        <w:tc>
          <w:tcPr>
            <w:tcW w:w="15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(488,900</w:t>
            </w:r>
          </w:p>
        </w:tc>
        <w:tc>
          <w:tcPr>
            <w:tcW w:w="20" w:type="dxa"/>
            <w:vAlign w:val="bottom"/>
            <w:tcBorders>
              <w:bottom w:val="single" w:sz="8" w:color="auto"/>
            </w:tcBorders>
            <w:vMerge w:val="continue"/>
          </w:tcPr>
          <w:p>
            <w:pPr>
              <w:spacing w:after="0"/>
              <w:rPr>
                <w:sz w:val="17"/>
                <w:szCs w:val="17"/>
                <w:color w:val="auto"/>
              </w:rPr>
            </w:pPr>
          </w:p>
        </w:tc>
        <w:tc>
          <w:tcPr>
            <w:tcW w:w="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18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(298,383)</w:t>
            </w:r>
          </w:p>
        </w:tc>
        <w:tc>
          <w:tcPr>
            <w:tcW w:w="150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184,568</w:t>
            </w:r>
          </w:p>
        </w:tc>
        <w:tc>
          <w:tcPr>
            <w:tcW w:w="18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(141,362)</w:t>
            </w:r>
          </w:p>
        </w:tc>
        <w:tc>
          <w:tcPr>
            <w:tcW w:w="1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(19,857)</w:t>
            </w:r>
          </w:p>
        </w:tc>
        <w:tc>
          <w:tcPr>
            <w:tcW w:w="0" w:type="dxa"/>
            <w:vAlign w:val="bottom"/>
          </w:tcPr>
          <w:p>
            <w:pPr>
              <w:spacing w:after="0"/>
              <w:rPr>
                <w:sz w:val="1"/>
                <w:szCs w:val="1"/>
                <w:color w:val="auto"/>
              </w:rPr>
            </w:pPr>
          </w:p>
        </w:tc>
      </w:tr>
      <w:tr>
        <w:trPr>
          <w:trHeight w:val="210"/>
        </w:trPr>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(298,383</w:t>
            </w:r>
          </w:p>
        </w:tc>
        <w:tc>
          <w:tcPr>
            <w:tcW w:w="300" w:type="dxa"/>
            <w:vAlign w:val="bottom"/>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184,568</w:t>
            </w:r>
          </w:p>
        </w:tc>
        <w:tc>
          <w:tcPr>
            <w:tcW w:w="300" w:type="dxa"/>
            <w:vAlign w:val="bottom"/>
          </w:tcPr>
          <w:p>
            <w:pPr>
              <w:spacing w:after="0"/>
              <w:rPr>
                <w:sz w:val="18"/>
                <w:szCs w:val="18"/>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(141,362</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540" w:type="dxa"/>
            <w:vAlign w:val="bottom"/>
            <w:tcBorders>
              <w:top w:val="single" w:sz="8" w:color="auto"/>
            </w:tcBorders>
            <w:gridSpan w:val="3"/>
          </w:tcPr>
          <w:p>
            <w:pPr>
              <w:jc w:val="right"/>
              <w:ind w:right="1"/>
              <w:spacing w:after="0"/>
              <w:rPr>
                <w:sz w:val="20"/>
                <w:szCs w:val="20"/>
                <w:color w:val="auto"/>
              </w:rPr>
            </w:pPr>
            <w:r>
              <w:rPr>
                <w:rFonts w:ascii="Times New Roman" w:cs="Times New Roman" w:eastAsia="Times New Roman" w:hAnsi="Times New Roman"/>
                <w:sz w:val="18"/>
                <w:szCs w:val="18"/>
                <w:b w:val="1"/>
                <w:bCs w:val="1"/>
                <w:color w:val="auto"/>
              </w:rPr>
              <w:t>(19,857</w:t>
            </w:r>
          </w:p>
        </w:tc>
        <w:tc>
          <w:tcPr>
            <w:tcW w:w="20" w:type="dxa"/>
            <w:vAlign w:val="bottom"/>
          </w:tcPr>
          <w:p>
            <w:pPr>
              <w:jc w:val="right"/>
              <w:spacing w:after="0"/>
              <w:rPr>
                <w:sz w:val="20"/>
                <w:szCs w:val="20"/>
                <w:color w:val="auto"/>
              </w:rPr>
            </w:pPr>
            <w:r>
              <w:rPr>
                <w:rFonts w:ascii="Times New Roman" w:cs="Times New Roman" w:eastAsia="Times New Roman" w:hAnsi="Times New Roman"/>
                <w:sz w:val="1"/>
                <w:szCs w:val="1"/>
                <w:b w:val="1"/>
                <w:bCs w:val="1"/>
                <w:color w:val="auto"/>
                <w:w w:val="4294967281"/>
              </w:rPr>
              <w:t>)</w:t>
            </w:r>
          </w:p>
        </w:tc>
        <w:tc>
          <w:tcPr>
            <w:tcW w:w="0" w:type="dxa"/>
            <w:vAlign w:val="bottom"/>
          </w:tcPr>
          <w:p>
            <w:pPr>
              <w:spacing w:after="0"/>
              <w:rPr>
                <w:sz w:val="1"/>
                <w:szCs w:val="1"/>
                <w:color w:val="auto"/>
              </w:rPr>
            </w:pPr>
          </w:p>
        </w:tc>
      </w:tr>
      <w:tr>
        <w:trPr>
          <w:trHeight w:val="210"/>
        </w:trPr>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(5,358,061</w:t>
            </w:r>
          </w:p>
        </w:tc>
        <w:tc>
          <w:tcPr>
            <w:tcW w:w="300" w:type="dxa"/>
            <w:vAlign w:val="bottom"/>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(4,810,233</w:t>
            </w:r>
          </w:p>
        </w:tc>
        <w:tc>
          <w:tcPr>
            <w:tcW w:w="300" w:type="dxa"/>
            <w:vAlign w:val="bottom"/>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(3,621,847</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5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(508,757</w:t>
            </w: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rPr>
                <w:sz w:val="1"/>
                <w:szCs w:val="1"/>
                <w:color w:val="auto"/>
              </w:rPr>
            </w:pPr>
          </w:p>
        </w:tc>
      </w:tr>
      <w:tr>
        <w:trPr>
          <w:trHeight w:val="394"/>
        </w:trPr>
        <w:tc>
          <w:tcPr>
            <w:tcW w:w="18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(91,400)</w:t>
            </w:r>
          </w:p>
        </w:tc>
        <w:tc>
          <w:tcPr>
            <w:tcW w:w="15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(148,374)</w:t>
            </w:r>
          </w:p>
        </w:tc>
        <w:tc>
          <w:tcPr>
            <w:tcW w:w="18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(155,369)</w:t>
            </w:r>
          </w:p>
        </w:tc>
        <w:tc>
          <w:tcPr>
            <w:tcW w:w="1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(21,825)</w:t>
            </w:r>
          </w:p>
        </w:tc>
        <w:tc>
          <w:tcPr>
            <w:tcW w:w="0" w:type="dxa"/>
            <w:vAlign w:val="bottom"/>
          </w:tcPr>
          <w:p>
            <w:pPr>
              <w:spacing w:after="0"/>
              <w:rPr>
                <w:sz w:val="1"/>
                <w:szCs w:val="1"/>
                <w:color w:val="auto"/>
              </w:rPr>
            </w:pPr>
          </w:p>
        </w:tc>
      </w:tr>
      <w:tr>
        <w:trPr>
          <w:trHeight w:val="234"/>
        </w:trPr>
        <w:tc>
          <w:tcPr>
            <w:tcW w:w="180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9,443</w:t>
            </w:r>
          </w:p>
        </w:tc>
        <w:tc>
          <w:tcPr>
            <w:tcW w:w="150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1,868</w:t>
            </w:r>
          </w:p>
        </w:tc>
        <w:tc>
          <w:tcPr>
            <w:tcW w:w="18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(24,899)</w:t>
            </w:r>
          </w:p>
        </w:tc>
        <w:tc>
          <w:tcPr>
            <w:tcW w:w="1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(3,498)</w:t>
            </w:r>
          </w:p>
        </w:tc>
        <w:tc>
          <w:tcPr>
            <w:tcW w:w="0" w:type="dxa"/>
            <w:vAlign w:val="bottom"/>
          </w:tcPr>
          <w:p>
            <w:pPr>
              <w:spacing w:after="0"/>
              <w:rPr>
                <w:sz w:val="1"/>
                <w:szCs w:val="1"/>
                <w:color w:val="auto"/>
              </w:rPr>
            </w:pPr>
          </w:p>
        </w:tc>
      </w:tr>
      <w:tr>
        <w:trPr>
          <w:trHeight w:val="459"/>
        </w:trPr>
        <w:tc>
          <w:tcPr>
            <w:tcW w:w="18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(5,440,018)</w:t>
            </w:r>
          </w:p>
        </w:tc>
        <w:tc>
          <w:tcPr>
            <w:tcW w:w="15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(4,956,739)</w:t>
            </w:r>
          </w:p>
        </w:tc>
        <w:tc>
          <w:tcPr>
            <w:tcW w:w="18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(3,802,115)</w:t>
            </w:r>
          </w:p>
        </w:tc>
        <w:tc>
          <w:tcPr>
            <w:tcW w:w="15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(534,080)</w:t>
            </w:r>
          </w:p>
        </w:tc>
        <w:tc>
          <w:tcPr>
            <w:tcW w:w="0" w:type="dxa"/>
            <w:vAlign w:val="bottom"/>
          </w:tcPr>
          <w:p>
            <w:pPr>
              <w:spacing w:after="0"/>
              <w:rPr>
                <w:sz w:val="1"/>
                <w:szCs w:val="1"/>
                <w:color w:val="auto"/>
              </w:rPr>
            </w:pPr>
          </w:p>
        </w:tc>
      </w:tr>
      <w:tr>
        <w:trPr>
          <w:trHeight w:val="20"/>
        </w:trPr>
        <w:tc>
          <w:tcPr>
            <w:tcW w:w="1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180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2,055,159,231</w:t>
            </w:r>
          </w:p>
        </w:tc>
        <w:tc>
          <w:tcPr>
            <w:tcW w:w="150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2,230,044,617</w:t>
            </w:r>
          </w:p>
        </w:tc>
        <w:tc>
          <w:tcPr>
            <w:tcW w:w="18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2,428,558,076</w:t>
            </w:r>
          </w:p>
        </w:tc>
        <w:tc>
          <w:tcPr>
            <w:tcW w:w="154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2,428,558,076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18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(2.50)</w:t>
            </w:r>
          </w:p>
        </w:tc>
        <w:tc>
          <w:tcPr>
            <w:tcW w:w="150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(2.31)</w:t>
            </w:r>
          </w:p>
        </w:tc>
        <w:tc>
          <w:tcPr>
            <w:tcW w:w="18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(1.51)</w:t>
            </w:r>
          </w:p>
        </w:tc>
        <w:tc>
          <w:tcPr>
            <w:tcW w:w="1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-2864485</wp:posOffset>
            </wp:positionH>
            <wp:positionV relativeFrom="paragraph">
              <wp:posOffset>-2990850</wp:posOffset>
            </wp:positionV>
            <wp:extent cx="7132320" cy="274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-2571115</wp:posOffset>
            </wp:positionV>
            <wp:extent cx="7132320" cy="3003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300355"/>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-2116455</wp:posOffset>
            </wp:positionV>
            <wp:extent cx="713232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-1824990</wp:posOffset>
            </wp:positionV>
            <wp:extent cx="713232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-1533525</wp:posOffset>
            </wp:positionV>
            <wp:extent cx="7132320" cy="274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-1122045</wp:posOffset>
            </wp:positionV>
            <wp:extent cx="7132320" cy="3003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300355"/>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-548005</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-2864485</wp:posOffset>
            </wp:positionH>
            <wp:positionV relativeFrom="paragraph">
              <wp:posOffset>-136525</wp:posOffset>
            </wp:positionV>
            <wp:extent cx="71323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00" w:space="420"/>
            <w:col w:w="6720"/>
          </w:cols>
          <w:pgMar w:left="320" w:top="900" w:right="339" w:bottom="1440" w:gutter="0" w:footer="0" w:header="0"/>
          <w:type w:val="continuous"/>
        </w:sectPr>
      </w:pPr>
    </w:p>
    <w:p>
      <w:pPr>
        <w:spacing w:after="0" w:line="214" w:lineRule="exact"/>
        <w:rPr>
          <w:sz w:val="20"/>
          <w:szCs w:val="20"/>
          <w:color w:val="auto"/>
        </w:rPr>
      </w:pPr>
    </w:p>
    <w:p>
      <w:pPr>
        <w:ind w:left="1102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NIO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Reconciliation of GAAP and Non-GAAP Results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amounts in thousands, except for share and per share/ADS data)</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920" w:type="dxa"/>
            <w:vAlign w:val="bottom"/>
            <w:tcBorders>
              <w:bottom w:val="single" w:sz="8" w:color="auto"/>
            </w:tcBorders>
            <w:gridSpan w:val="10"/>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 2025</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3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40" w:type="dxa"/>
            <w:vAlign w:val="bottom"/>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Accretion on</w:t>
            </w: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2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Organizational</w:t>
            </w:r>
          </w:p>
        </w:tc>
        <w:tc>
          <w:tcPr>
            <w:tcW w:w="40" w:type="dxa"/>
            <w:vAlign w:val="bottom"/>
          </w:tcPr>
          <w:p>
            <w:pPr>
              <w:spacing w:after="0"/>
              <w:rPr>
                <w:sz w:val="18"/>
                <w:szCs w:val="18"/>
                <w:color w:val="auto"/>
              </w:rPr>
            </w:pPr>
          </w:p>
        </w:tc>
        <w:tc>
          <w:tcPr>
            <w:tcW w:w="18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redeemable non-</w:t>
            </w:r>
          </w:p>
        </w:tc>
        <w:tc>
          <w:tcPr>
            <w:tcW w:w="13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Adjusted</w:t>
            </w:r>
          </w:p>
        </w:tc>
      </w:tr>
      <w:tr>
        <w:trPr>
          <w:trHeight w:val="216"/>
        </w:trPr>
        <w:tc>
          <w:tcPr>
            <w:tcW w:w="3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8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GAAP</w:t>
            </w:r>
          </w:p>
        </w:tc>
        <w:tc>
          <w:tcPr>
            <w:tcW w:w="148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Share-based</w:t>
            </w:r>
          </w:p>
        </w:tc>
        <w:tc>
          <w:tcPr>
            <w:tcW w:w="40" w:type="dxa"/>
            <w:vAlign w:val="bottom"/>
          </w:tcPr>
          <w:p>
            <w:pPr>
              <w:spacing w:after="0"/>
              <w:rPr>
                <w:sz w:val="18"/>
                <w:szCs w:val="18"/>
                <w:color w:val="auto"/>
              </w:rPr>
            </w:pPr>
          </w:p>
        </w:tc>
        <w:tc>
          <w:tcPr>
            <w:tcW w:w="152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optimization</w:t>
            </w:r>
          </w:p>
        </w:tc>
        <w:tc>
          <w:tcPr>
            <w:tcW w:w="40" w:type="dxa"/>
            <w:vAlign w:val="bottom"/>
          </w:tcPr>
          <w:p>
            <w:pPr>
              <w:spacing w:after="0"/>
              <w:rPr>
                <w:sz w:val="18"/>
                <w:szCs w:val="18"/>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controlling interests</w:t>
            </w: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Result</w:t>
            </w:r>
          </w:p>
        </w:tc>
      </w:tr>
      <w:tr>
        <w:trPr>
          <w:trHeight w:val="238"/>
        </w:trPr>
        <w:tc>
          <w:tcPr>
            <w:tcW w:w="3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8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Result</w:t>
            </w:r>
          </w:p>
        </w:tc>
        <w:tc>
          <w:tcPr>
            <w:tcW w:w="148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40" w:type="dxa"/>
            <w:vAlign w:val="bottom"/>
          </w:tcPr>
          <w:p>
            <w:pPr>
              <w:spacing w:after="0"/>
              <w:rPr>
                <w:sz w:val="20"/>
                <w:szCs w:val="20"/>
                <w:color w:val="auto"/>
              </w:rPr>
            </w:pPr>
          </w:p>
        </w:tc>
        <w:tc>
          <w:tcPr>
            <w:tcW w:w="152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charges</w:t>
            </w:r>
          </w:p>
        </w:tc>
        <w:tc>
          <w:tcPr>
            <w:tcW w:w="40" w:type="dxa"/>
            <w:vAlign w:val="bottom"/>
          </w:tcPr>
          <w:p>
            <w:pPr>
              <w:spacing w:after="0"/>
              <w:rPr>
                <w:sz w:val="20"/>
                <w:szCs w:val="20"/>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 redemption value</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(Non-GAAP)</w:t>
            </w:r>
          </w:p>
        </w:tc>
      </w:tr>
      <w:tr>
        <w:trPr>
          <w:trHeight w:val="209"/>
        </w:trPr>
        <w:tc>
          <w:tcPr>
            <w:tcW w:w="3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320" w:type="dxa"/>
            <w:vAlign w:val="bottom"/>
          </w:tcPr>
          <w:p>
            <w:pPr>
              <w:spacing w:after="0"/>
              <w:rPr>
                <w:sz w:val="18"/>
                <w:szCs w:val="18"/>
                <w:color w:val="auto"/>
              </w:rPr>
            </w:pP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100" w:type="dxa"/>
            <w:vAlign w:val="bottom"/>
          </w:tcPr>
          <w:p>
            <w:pPr>
              <w:spacing w:after="0"/>
              <w:rPr>
                <w:sz w:val="18"/>
                <w:szCs w:val="18"/>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5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(18,769,306)</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15,988</w:t>
            </w:r>
          </w:p>
        </w:tc>
        <w:tc>
          <w:tcPr>
            <w:tcW w:w="156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26,129</w:t>
            </w:r>
          </w:p>
        </w:tc>
        <w:tc>
          <w:tcPr>
            <w:tcW w:w="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(18,727,189)</w:t>
            </w:r>
          </w:p>
        </w:tc>
      </w:tr>
      <w:tr>
        <w:trPr>
          <w:trHeight w:val="216"/>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5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(2,390,604)</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279,090</w:t>
            </w:r>
          </w:p>
        </w:tc>
        <w:tc>
          <w:tcPr>
            <w:tcW w:w="156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172,594</w:t>
            </w:r>
          </w:p>
        </w:tc>
        <w:tc>
          <w:tcPr>
            <w:tcW w:w="40" w:type="dxa"/>
            <w:vAlign w:val="bottom"/>
          </w:tcPr>
          <w:p>
            <w:pPr>
              <w:spacing w:after="0"/>
              <w:rPr>
                <w:sz w:val="18"/>
                <w:szCs w:val="18"/>
                <w:color w:val="auto"/>
              </w:rPr>
            </w:pPr>
          </w:p>
        </w:tc>
        <w:tc>
          <w:tcPr>
            <w:tcW w:w="1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(1,938,920)</w:t>
            </w:r>
          </w:p>
        </w:tc>
      </w:tr>
      <w:tr>
        <w:trPr>
          <w:trHeight w:val="198"/>
        </w:trPr>
        <w:tc>
          <w:tcPr>
            <w:tcW w:w="34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Selling, general and administrative</w:t>
            </w:r>
          </w:p>
        </w:tc>
        <w:tc>
          <w:tcPr>
            <w:tcW w:w="1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8"/>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w:t>
            </w:r>
          </w:p>
        </w:tc>
        <w:tc>
          <w:tcPr>
            <w:tcW w:w="15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(4,184,675)</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154,467</w:t>
            </w:r>
          </w:p>
        </w:tc>
        <w:tc>
          <w:tcPr>
            <w:tcW w:w="156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97,113</w:t>
            </w:r>
          </w:p>
        </w:tc>
        <w:tc>
          <w:tcPr>
            <w:tcW w:w="40" w:type="dxa"/>
            <w:vAlign w:val="bottom"/>
            <w:shd w:val="clear" w:color="auto" w:fill="CCEEFF"/>
          </w:tcPr>
          <w:p>
            <w:pPr>
              <w:spacing w:after="0"/>
              <w:rPr>
                <w:sz w:val="21"/>
                <w:szCs w:val="21"/>
                <w:color w:val="auto"/>
              </w:rPr>
            </w:pPr>
          </w:p>
        </w:tc>
        <w:tc>
          <w:tcPr>
            <w:tcW w:w="1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(3,933,095)</w:t>
            </w:r>
          </w:p>
        </w:tc>
      </w:tr>
      <w:tr>
        <w:trPr>
          <w:trHeight w:val="209"/>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(25,344,585)</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449,545</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295,836</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(24,599,204)</w:t>
            </w:r>
          </w:p>
        </w:tc>
        <w:tc>
          <w:tcPr>
            <w:tcW w:w="100" w:type="dxa"/>
            <w:vAlign w:val="bottom"/>
          </w:tcPr>
          <w:p>
            <w:pPr>
              <w:spacing w:after="0"/>
              <w:rPr>
                <w:sz w:val="18"/>
                <w:szCs w:val="18"/>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5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(3,521,522)</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449,545</w:t>
            </w:r>
          </w:p>
        </w:tc>
        <w:tc>
          <w:tcPr>
            <w:tcW w:w="156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295,836</w:t>
            </w:r>
          </w:p>
        </w:tc>
        <w:tc>
          <w:tcPr>
            <w:tcW w:w="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(2,776,141)</w:t>
            </w:r>
          </w:p>
        </w:tc>
      </w:tr>
      <w:tr>
        <w:trPr>
          <w:trHeight w:val="216"/>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15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(3,480,485)</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449,545</w:t>
            </w:r>
          </w:p>
        </w:tc>
        <w:tc>
          <w:tcPr>
            <w:tcW w:w="156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295,836</w:t>
            </w:r>
          </w:p>
        </w:tc>
        <w:tc>
          <w:tcPr>
            <w:tcW w:w="40" w:type="dxa"/>
            <w:vAlign w:val="bottom"/>
          </w:tcPr>
          <w:p>
            <w:pPr>
              <w:spacing w:after="0"/>
              <w:rPr>
                <w:sz w:val="18"/>
                <w:szCs w:val="18"/>
                <w:color w:val="auto"/>
              </w:rPr>
            </w:pPr>
          </w:p>
        </w:tc>
        <w:tc>
          <w:tcPr>
            <w:tcW w:w="1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(2,735,104)</w:t>
            </w:r>
          </w:p>
        </w:tc>
      </w:tr>
      <w:tr>
        <w:trPr>
          <w:trHeight w:val="198"/>
        </w:trPr>
        <w:tc>
          <w:tcPr>
            <w:tcW w:w="34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loss attributable to ordinary</w:t>
            </w:r>
          </w:p>
        </w:tc>
        <w:tc>
          <w:tcPr>
            <w:tcW w:w="1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shareholders of NIO Inc.</w:t>
            </w:r>
          </w:p>
        </w:tc>
        <w:tc>
          <w:tcPr>
            <w:tcW w:w="15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(3,660,753)</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449,545</w:t>
            </w:r>
          </w:p>
        </w:tc>
        <w:tc>
          <w:tcPr>
            <w:tcW w:w="156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295,836</w:t>
            </w:r>
          </w:p>
        </w:tc>
        <w:tc>
          <w:tcPr>
            <w:tcW w:w="18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155,369</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(2,760,003)</w:t>
            </w:r>
          </w:p>
        </w:tc>
      </w:tr>
      <w:tr>
        <w:trPr>
          <w:trHeight w:val="198"/>
        </w:trPr>
        <w:tc>
          <w:tcPr>
            <w:tcW w:w="34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Net loss per share/ADS attributable to</w:t>
            </w:r>
          </w:p>
        </w:tc>
        <w:tc>
          <w:tcPr>
            <w:tcW w:w="1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ordinary shareholders, basic and diluted</w:t>
            </w: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(RMB)</w:t>
            </w:r>
          </w:p>
        </w:tc>
        <w:tc>
          <w:tcPr>
            <w:tcW w:w="15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(1.51)</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0.19</w:t>
            </w:r>
          </w:p>
        </w:tc>
        <w:tc>
          <w:tcPr>
            <w:tcW w:w="156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0.12</w:t>
            </w:r>
          </w:p>
        </w:tc>
        <w:tc>
          <w:tcPr>
            <w:tcW w:w="18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0.06</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(1.14)</w:t>
            </w:r>
          </w:p>
        </w:tc>
      </w:tr>
      <w:tr>
        <w:trPr>
          <w:trHeight w:val="198"/>
        </w:trPr>
        <w:tc>
          <w:tcPr>
            <w:tcW w:w="34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loss per share/ADS attributable to</w:t>
            </w:r>
          </w:p>
        </w:tc>
        <w:tc>
          <w:tcPr>
            <w:tcW w:w="1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ordinary shareholders, basic and diluted</w:t>
            </w:r>
          </w:p>
        </w:tc>
        <w:tc>
          <w:tcPr>
            <w:tcW w:w="1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3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(USD)</w:t>
            </w:r>
          </w:p>
        </w:tc>
        <w:tc>
          <w:tcPr>
            <w:tcW w:w="15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(0.21)</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0.03</w:t>
            </w:r>
          </w:p>
        </w:tc>
        <w:tc>
          <w:tcPr>
            <w:tcW w:w="156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0.02</w:t>
            </w:r>
          </w:p>
        </w:tc>
        <w:tc>
          <w:tcPr>
            <w:tcW w:w="18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0.01</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(0.15)</w:t>
            </w:r>
          </w:p>
        </w:tc>
      </w:tr>
      <w:tr>
        <w:trPr>
          <w:trHeight w:val="432"/>
        </w:trPr>
        <w:tc>
          <w:tcPr>
            <w:tcW w:w="49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(All amounts in thousands, except for share and per share/ADS data)</w:t>
            </w: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33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gridSpan w:val="10"/>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Three Months Ended June 30, 2025</w:t>
            </w:r>
          </w:p>
        </w:tc>
        <w:tc>
          <w:tcPr>
            <w:tcW w:w="12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3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40" w:type="dxa"/>
            <w:vAlign w:val="bottom"/>
            <w:gridSpan w:val="2"/>
          </w:tcPr>
          <w:p>
            <w:pPr>
              <w:jc w:val="center"/>
              <w:ind w:right="3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Accretion on</w:t>
            </w: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Organizational</w:t>
            </w:r>
          </w:p>
        </w:tc>
        <w:tc>
          <w:tcPr>
            <w:tcW w:w="40" w:type="dxa"/>
            <w:vAlign w:val="bottom"/>
          </w:tcPr>
          <w:p>
            <w:pPr>
              <w:spacing w:after="0"/>
              <w:rPr>
                <w:sz w:val="18"/>
                <w:szCs w:val="18"/>
                <w:color w:val="auto"/>
              </w:rPr>
            </w:pPr>
          </w:p>
        </w:tc>
        <w:tc>
          <w:tcPr>
            <w:tcW w:w="18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redeemable non-</w:t>
            </w:r>
          </w:p>
        </w:tc>
        <w:tc>
          <w:tcPr>
            <w:tcW w:w="13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Adjusted</w:t>
            </w:r>
          </w:p>
        </w:tc>
      </w:tr>
      <w:tr>
        <w:trPr>
          <w:trHeight w:val="216"/>
        </w:trPr>
        <w:tc>
          <w:tcPr>
            <w:tcW w:w="3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8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GAAP</w:t>
            </w:r>
          </w:p>
        </w:tc>
        <w:tc>
          <w:tcPr>
            <w:tcW w:w="148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Share-based</w:t>
            </w:r>
          </w:p>
        </w:tc>
        <w:tc>
          <w:tcPr>
            <w:tcW w:w="40" w:type="dxa"/>
            <w:vAlign w:val="bottom"/>
          </w:tcPr>
          <w:p>
            <w:pPr>
              <w:spacing w:after="0"/>
              <w:rPr>
                <w:sz w:val="18"/>
                <w:szCs w:val="18"/>
                <w:color w:val="auto"/>
              </w:rPr>
            </w:pPr>
          </w:p>
        </w:tc>
        <w:tc>
          <w:tcPr>
            <w:tcW w:w="152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optimization</w:t>
            </w:r>
          </w:p>
        </w:tc>
        <w:tc>
          <w:tcPr>
            <w:tcW w:w="188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controlling interests</w:t>
            </w: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Result</w:t>
            </w:r>
          </w:p>
        </w:tc>
      </w:tr>
      <w:tr>
        <w:trPr>
          <w:trHeight w:val="238"/>
        </w:trPr>
        <w:tc>
          <w:tcPr>
            <w:tcW w:w="3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8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Result</w:t>
            </w:r>
          </w:p>
        </w:tc>
        <w:tc>
          <w:tcPr>
            <w:tcW w:w="148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40" w:type="dxa"/>
            <w:vAlign w:val="bottom"/>
          </w:tcPr>
          <w:p>
            <w:pPr>
              <w:spacing w:after="0"/>
              <w:rPr>
                <w:sz w:val="20"/>
                <w:szCs w:val="20"/>
                <w:color w:val="auto"/>
              </w:rPr>
            </w:pPr>
          </w:p>
        </w:tc>
        <w:tc>
          <w:tcPr>
            <w:tcW w:w="152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charges</w:t>
            </w:r>
          </w:p>
        </w:tc>
        <w:tc>
          <w:tcPr>
            <w:tcW w:w="188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to redemption value</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(Non-GAAP)</w:t>
            </w:r>
          </w:p>
        </w:tc>
      </w:tr>
      <w:tr>
        <w:trPr>
          <w:trHeight w:val="209"/>
        </w:trPr>
        <w:tc>
          <w:tcPr>
            <w:tcW w:w="336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320" w:type="dxa"/>
            <w:vAlign w:val="bottom"/>
            <w:gridSpan w:val="2"/>
          </w:tcPr>
          <w:p>
            <w:pPr>
              <w:spacing w:after="0"/>
              <w:rPr>
                <w:sz w:val="18"/>
                <w:szCs w:val="18"/>
                <w:color w:val="auto"/>
              </w:rPr>
            </w:pPr>
          </w:p>
        </w:tc>
        <w:tc>
          <w:tcPr>
            <w:tcW w:w="80" w:type="dxa"/>
            <w:vAlign w:val="bottom"/>
            <w:tcBorders>
              <w:top w:val="single" w:sz="8" w:color="auto"/>
            </w:tcBorders>
            <w:gridSpan w:val="2"/>
          </w:tcPr>
          <w:p>
            <w:pPr>
              <w:spacing w:after="0"/>
              <w:rPr>
                <w:sz w:val="18"/>
                <w:szCs w:val="18"/>
                <w:color w:val="auto"/>
              </w:rPr>
            </w:pPr>
          </w:p>
        </w:tc>
        <w:tc>
          <w:tcPr>
            <w:tcW w:w="1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320" w:type="dxa"/>
            <w:vAlign w:val="bottom"/>
            <w:gridSpan w:val="2"/>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340" w:type="dxa"/>
            <w:vAlign w:val="bottom"/>
            <w:gridSpan w:val="2"/>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320" w:type="dxa"/>
            <w:vAlign w:val="bottom"/>
          </w:tcPr>
          <w:p>
            <w:pPr>
              <w:spacing w:after="0"/>
              <w:rPr>
                <w:sz w:val="18"/>
                <w:szCs w:val="18"/>
                <w:color w:val="auto"/>
              </w:rPr>
            </w:pP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100" w:type="dxa"/>
            <w:vAlign w:val="bottom"/>
          </w:tcPr>
          <w:p>
            <w:pPr>
              <w:spacing w:after="0"/>
              <w:rPr>
                <w:sz w:val="18"/>
                <w:szCs w:val="18"/>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5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(17,111,142)</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12,867</w:t>
            </w:r>
          </w:p>
        </w:tc>
        <w:tc>
          <w:tcPr>
            <w:tcW w:w="2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54,282</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(17,043,993)</w:t>
            </w:r>
          </w:p>
        </w:tc>
      </w:tr>
      <w:tr>
        <w:trPr>
          <w:trHeight w:val="216"/>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5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(3,007,032)</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302,620</w:t>
            </w:r>
          </w:p>
        </w:tc>
        <w:tc>
          <w:tcPr>
            <w:tcW w:w="280" w:type="dxa"/>
            <w:vAlign w:val="bottom"/>
          </w:tcPr>
          <w:p>
            <w:pPr>
              <w:spacing w:after="0"/>
              <w:rPr>
                <w:sz w:val="18"/>
                <w:szCs w:val="18"/>
                <w:color w:val="auto"/>
              </w:rPr>
            </w:pPr>
          </w:p>
        </w:tc>
        <w:tc>
          <w:tcPr>
            <w:tcW w:w="12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215,532</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(2,488,880)</w:t>
            </w:r>
          </w:p>
        </w:tc>
      </w:tr>
      <w:tr>
        <w:trPr>
          <w:trHeight w:val="198"/>
        </w:trPr>
        <w:tc>
          <w:tcPr>
            <w:tcW w:w="34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Selling, general and administrative</w:t>
            </w:r>
          </w:p>
        </w:tc>
        <w:tc>
          <w:tcPr>
            <w:tcW w:w="1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8"/>
        </w:trPr>
        <w:tc>
          <w:tcPr>
            <w:tcW w:w="3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expenses</w:t>
            </w:r>
          </w:p>
        </w:tc>
        <w:tc>
          <w:tcPr>
            <w:tcW w:w="15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(3,964,921)</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110,688</w:t>
            </w:r>
          </w:p>
        </w:tc>
        <w:tc>
          <w:tcPr>
            <w:tcW w:w="280" w:type="dxa"/>
            <w:vAlign w:val="bottom"/>
            <w:shd w:val="clear" w:color="auto" w:fill="CCEEFF"/>
          </w:tcPr>
          <w:p>
            <w:pPr>
              <w:spacing w:after="0"/>
              <w:rPr>
                <w:sz w:val="21"/>
                <w:szCs w:val="21"/>
                <w:color w:val="auto"/>
              </w:rPr>
            </w:pPr>
          </w:p>
        </w:tc>
        <w:tc>
          <w:tcPr>
            <w:tcW w:w="1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172,074</w:t>
            </w:r>
          </w:p>
        </w:tc>
        <w:tc>
          <w:tcPr>
            <w:tcW w:w="3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(3,682,159)</w:t>
            </w:r>
          </w:p>
        </w:tc>
      </w:tr>
      <w:tr>
        <w:trPr>
          <w:trHeight w:val="210"/>
        </w:trPr>
        <w:tc>
          <w:tcPr>
            <w:tcW w:w="3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(24,083,095)</w:t>
            </w:r>
          </w:p>
        </w:tc>
        <w:tc>
          <w:tcPr>
            <w:tcW w:w="320" w:type="dxa"/>
            <w:vAlign w:val="bottom"/>
            <w:gridSpan w:val="2"/>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426,175</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441,888</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(23,215,032)</w:t>
            </w:r>
          </w:p>
        </w:tc>
        <w:tc>
          <w:tcPr>
            <w:tcW w:w="100" w:type="dxa"/>
            <w:vAlign w:val="bottom"/>
          </w:tcPr>
          <w:p>
            <w:pPr>
              <w:spacing w:after="0"/>
              <w:rPr>
                <w:sz w:val="18"/>
                <w:szCs w:val="18"/>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5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(4,908,858)</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426,175</w:t>
            </w:r>
          </w:p>
        </w:tc>
        <w:tc>
          <w:tcPr>
            <w:tcW w:w="2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441,888</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(4,040,795)</w:t>
            </w:r>
          </w:p>
        </w:tc>
      </w:tr>
      <w:tr>
        <w:trPr>
          <w:trHeight w:val="216"/>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15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(4,994,801)</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426,175</w:t>
            </w:r>
          </w:p>
        </w:tc>
        <w:tc>
          <w:tcPr>
            <w:tcW w:w="280" w:type="dxa"/>
            <w:vAlign w:val="bottom"/>
          </w:tcPr>
          <w:p>
            <w:pPr>
              <w:spacing w:after="0"/>
              <w:rPr>
                <w:sz w:val="18"/>
                <w:szCs w:val="18"/>
                <w:color w:val="auto"/>
              </w:rPr>
            </w:pPr>
          </w:p>
        </w:tc>
        <w:tc>
          <w:tcPr>
            <w:tcW w:w="12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441,888</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(4,126,738)</w:t>
            </w:r>
          </w:p>
        </w:tc>
      </w:tr>
      <w:tr>
        <w:trPr>
          <w:trHeight w:val="198"/>
        </w:trPr>
        <w:tc>
          <w:tcPr>
            <w:tcW w:w="34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loss attributable to ordinary</w:t>
            </w:r>
          </w:p>
        </w:tc>
        <w:tc>
          <w:tcPr>
            <w:tcW w:w="1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shareholders of NIO Inc.</w:t>
            </w:r>
          </w:p>
        </w:tc>
        <w:tc>
          <w:tcPr>
            <w:tcW w:w="15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(5,141,307)</w:t>
            </w: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426,175</w:t>
            </w:r>
          </w:p>
        </w:tc>
        <w:tc>
          <w:tcPr>
            <w:tcW w:w="280" w:type="dxa"/>
            <w:vAlign w:val="bottom"/>
            <w:shd w:val="clear" w:color="auto" w:fill="CCEEFF"/>
          </w:tcPr>
          <w:p>
            <w:pPr>
              <w:spacing w:after="0"/>
              <w:rPr>
                <w:sz w:val="20"/>
                <w:szCs w:val="20"/>
                <w:color w:val="auto"/>
              </w:rPr>
            </w:pPr>
          </w:p>
        </w:tc>
        <w:tc>
          <w:tcPr>
            <w:tcW w:w="1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441,888</w:t>
            </w:r>
          </w:p>
        </w:tc>
        <w:tc>
          <w:tcPr>
            <w:tcW w:w="300" w:type="dxa"/>
            <w:vAlign w:val="bottom"/>
            <w:shd w:val="clear" w:color="auto" w:fill="CCEEFF"/>
          </w:tcPr>
          <w:p>
            <w:pPr>
              <w:spacing w:after="0"/>
              <w:rPr>
                <w:sz w:val="20"/>
                <w:szCs w:val="20"/>
                <w:color w:val="auto"/>
              </w:rPr>
            </w:pPr>
          </w:p>
        </w:tc>
        <w:tc>
          <w:tcPr>
            <w:tcW w:w="188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148,374</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(4,124,870)</w:t>
            </w:r>
          </w:p>
        </w:tc>
      </w:tr>
      <w:tr>
        <w:trPr>
          <w:trHeight w:val="198"/>
        </w:trPr>
        <w:tc>
          <w:tcPr>
            <w:tcW w:w="34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Net loss per share/ADS attributable to</w:t>
            </w:r>
          </w:p>
        </w:tc>
        <w:tc>
          <w:tcPr>
            <w:tcW w:w="1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ordinary shareholders, basic and diluted</w:t>
            </w: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(RMB)</w:t>
            </w:r>
          </w:p>
        </w:tc>
        <w:tc>
          <w:tcPr>
            <w:tcW w:w="15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(2.31)</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0.19</w:t>
            </w:r>
          </w:p>
        </w:tc>
        <w:tc>
          <w:tcPr>
            <w:tcW w:w="280" w:type="dxa"/>
            <w:vAlign w:val="bottom"/>
          </w:tcPr>
          <w:p>
            <w:pPr>
              <w:spacing w:after="0"/>
              <w:rPr>
                <w:sz w:val="20"/>
                <w:szCs w:val="20"/>
                <w:color w:val="auto"/>
              </w:rPr>
            </w:pPr>
          </w:p>
        </w:tc>
        <w:tc>
          <w:tcPr>
            <w:tcW w:w="12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0.20</w:t>
            </w:r>
          </w:p>
        </w:tc>
        <w:tc>
          <w:tcPr>
            <w:tcW w:w="300" w:type="dxa"/>
            <w:vAlign w:val="bottom"/>
          </w:tcPr>
          <w:p>
            <w:pPr>
              <w:spacing w:after="0"/>
              <w:rPr>
                <w:sz w:val="20"/>
                <w:szCs w:val="20"/>
                <w:color w:val="auto"/>
              </w:rPr>
            </w:pPr>
          </w:p>
        </w:tc>
        <w:tc>
          <w:tcPr>
            <w:tcW w:w="188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0.07</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(1.85)</w:t>
            </w:r>
          </w:p>
        </w:tc>
      </w:tr>
      <w:tr>
        <w:trPr>
          <w:trHeight w:val="648"/>
        </w:trPr>
        <w:tc>
          <w:tcPr>
            <w:tcW w:w="33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r>
    </w:tbl>
    <w:p>
      <w:pPr>
        <w:sectPr>
          <w:pgSz w:w="11900" w:h="16838" w:orient="portrait"/>
          <w:cols w:equalWidth="0" w:num="1">
            <w:col w:w="11240"/>
          </w:cols>
          <w:pgMar w:left="320" w:top="90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(All amounts in thousands, except for share and per share/ADS data)</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6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5000" w:type="dxa"/>
            <w:vAlign w:val="bottom"/>
            <w:tcBorders>
              <w:bottom w:val="single" w:sz="8" w:color="auto"/>
            </w:tcBorders>
            <w:gridSpan w:val="6"/>
          </w:tcPr>
          <w:p>
            <w:pPr>
              <w:ind w:left="76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2024</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3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80" w:type="dxa"/>
            <w:vAlign w:val="bottom"/>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Accretion on</w:t>
            </w: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3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Organizational</w:t>
            </w:r>
          </w:p>
        </w:tc>
        <w:tc>
          <w:tcPr>
            <w:tcW w:w="18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redeemable non-</w:t>
            </w: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Adjusted</w:t>
            </w:r>
          </w:p>
        </w:tc>
      </w:tr>
      <w:tr>
        <w:trPr>
          <w:trHeight w:val="216"/>
        </w:trPr>
        <w:tc>
          <w:tcPr>
            <w:tcW w:w="3360" w:type="dxa"/>
            <w:vAlign w:val="bottom"/>
          </w:tcPr>
          <w:p>
            <w:pPr>
              <w:spacing w:after="0"/>
              <w:rPr>
                <w:sz w:val="18"/>
                <w:szCs w:val="18"/>
                <w:color w:val="auto"/>
              </w:rPr>
            </w:pPr>
          </w:p>
        </w:tc>
        <w:tc>
          <w:tcPr>
            <w:tcW w:w="15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GAAP</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Share-based</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optimization</w:t>
            </w:r>
          </w:p>
        </w:tc>
        <w:tc>
          <w:tcPr>
            <w:tcW w:w="18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controlling interests</w:t>
            </w:r>
          </w:p>
        </w:tc>
        <w:tc>
          <w:tcPr>
            <w:tcW w:w="13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Result</w:t>
            </w:r>
          </w:p>
        </w:tc>
      </w:tr>
      <w:tr>
        <w:trPr>
          <w:trHeight w:val="238"/>
        </w:trPr>
        <w:tc>
          <w:tcPr>
            <w:tcW w:w="3360" w:type="dxa"/>
            <w:vAlign w:val="bottom"/>
          </w:tcPr>
          <w:p>
            <w:pPr>
              <w:spacing w:after="0"/>
              <w:rPr>
                <w:sz w:val="20"/>
                <w:szCs w:val="20"/>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Result</w:t>
            </w:r>
          </w:p>
        </w:tc>
        <w:tc>
          <w:tcPr>
            <w:tcW w:w="15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charges</w:t>
            </w:r>
          </w:p>
        </w:tc>
        <w:tc>
          <w:tcPr>
            <w:tcW w:w="18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to redemption value</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(Non-GAAP)</w:t>
            </w:r>
          </w:p>
        </w:tc>
      </w:tr>
      <w:tr>
        <w:trPr>
          <w:trHeight w:val="209"/>
        </w:trPr>
        <w:tc>
          <w:tcPr>
            <w:tcW w:w="3360" w:type="dxa"/>
            <w:vAlign w:val="bottom"/>
          </w:tcPr>
          <w:p>
            <w:pPr>
              <w:spacing w:after="0"/>
              <w:rPr>
                <w:sz w:val="18"/>
                <w:szCs w:val="18"/>
                <w:color w:val="auto"/>
              </w:rPr>
            </w:pP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320" w:type="dxa"/>
            <w:vAlign w:val="bottom"/>
          </w:tcPr>
          <w:p>
            <w:pPr>
              <w:spacing w:after="0"/>
              <w:rPr>
                <w:sz w:val="18"/>
                <w:szCs w:val="18"/>
                <w:color w:val="auto"/>
              </w:rPr>
            </w:pP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320" w:type="dxa"/>
            <w:vAlign w:val="bottom"/>
          </w:tcPr>
          <w:p>
            <w:pPr>
              <w:spacing w:after="0"/>
              <w:rPr>
                <w:sz w:val="18"/>
                <w:szCs w:val="18"/>
                <w:color w:val="auto"/>
              </w:rPr>
            </w:pPr>
          </w:p>
        </w:tc>
        <w:tc>
          <w:tcPr>
            <w:tcW w:w="12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340" w:type="dxa"/>
            <w:vAlign w:val="bottom"/>
          </w:tcPr>
          <w:p>
            <w:pPr>
              <w:spacing w:after="0"/>
              <w:rPr>
                <w:sz w:val="18"/>
                <w:szCs w:val="18"/>
                <w:color w:val="auto"/>
              </w:rPr>
            </w:pPr>
          </w:p>
        </w:tc>
        <w:tc>
          <w:tcPr>
            <w:tcW w:w="1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320" w:type="dxa"/>
            <w:vAlign w:val="bottom"/>
          </w:tcPr>
          <w:p>
            <w:pPr>
              <w:spacing w:after="0"/>
              <w:rPr>
                <w:sz w:val="18"/>
                <w:szCs w:val="18"/>
                <w:color w:val="auto"/>
              </w:rPr>
            </w:pPr>
          </w:p>
        </w:tc>
        <w:tc>
          <w:tcPr>
            <w:tcW w:w="1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100" w:type="dxa"/>
            <w:vAlign w:val="bottom"/>
          </w:tcPr>
          <w:p>
            <w:pPr>
              <w:spacing w:after="0"/>
              <w:rPr>
                <w:sz w:val="18"/>
                <w:szCs w:val="18"/>
                <w:color w:val="auto"/>
              </w:rPr>
            </w:pP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(16,666,155)</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23,688</w:t>
            </w:r>
          </w:p>
        </w:tc>
        <w:tc>
          <w:tcPr>
            <w:tcW w:w="156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(16,642,467)</w:t>
            </w: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(3,318,740)</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415,955</w:t>
            </w:r>
          </w:p>
        </w:tc>
        <w:tc>
          <w:tcPr>
            <w:tcW w:w="156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(2,902,785)</w:t>
            </w:r>
          </w:p>
        </w:tc>
      </w:tr>
      <w:tr>
        <w:trPr>
          <w:trHeight w:val="198"/>
        </w:trPr>
        <w:tc>
          <w:tcPr>
            <w:tcW w:w="33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Selling, general and administrative</w:t>
            </w:r>
          </w:p>
        </w:tc>
        <w:tc>
          <w:tcPr>
            <w:tcW w:w="1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8"/>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expenses</w:t>
            </w:r>
          </w:p>
        </w:tc>
        <w:tc>
          <w:tcPr>
            <w:tcW w:w="1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(4,108,806)</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207,413</w:t>
            </w:r>
          </w:p>
        </w:tc>
        <w:tc>
          <w:tcPr>
            <w:tcW w:w="156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(3,901,393)</w:t>
            </w:r>
          </w:p>
        </w:tc>
      </w:tr>
      <w:tr>
        <w:trPr>
          <w:trHeight w:val="209"/>
        </w:trPr>
        <w:tc>
          <w:tcPr>
            <w:tcW w:w="3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(24,093,701)</w:t>
            </w:r>
          </w:p>
        </w:tc>
        <w:tc>
          <w:tcPr>
            <w:tcW w:w="32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647,056</w:t>
            </w:r>
          </w:p>
        </w:tc>
        <w:tc>
          <w:tcPr>
            <w:tcW w:w="320" w:type="dxa"/>
            <w:vAlign w:val="bottom"/>
          </w:tcPr>
          <w:p>
            <w:pPr>
              <w:spacing w:after="0"/>
              <w:rPr>
                <w:sz w:val="18"/>
                <w:szCs w:val="18"/>
                <w:color w:val="auto"/>
              </w:rPr>
            </w:pPr>
          </w:p>
        </w:tc>
        <w:tc>
          <w:tcPr>
            <w:tcW w:w="1220" w:type="dxa"/>
            <w:vAlign w:val="bottom"/>
            <w:tcBorders>
              <w:top w:val="single" w:sz="8" w:color="auto"/>
            </w:tcBorders>
          </w:tcPr>
          <w:p>
            <w:pPr>
              <w:ind w:left="104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spacing w:after="0"/>
              <w:rPr>
                <w:sz w:val="18"/>
                <w:szCs w:val="18"/>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(23,446,645)</w:t>
            </w:r>
          </w:p>
        </w:tc>
        <w:tc>
          <w:tcPr>
            <w:tcW w:w="100" w:type="dxa"/>
            <w:vAlign w:val="bottom"/>
          </w:tcPr>
          <w:p>
            <w:pPr>
              <w:spacing w:after="0"/>
              <w:rPr>
                <w:sz w:val="18"/>
                <w:szCs w:val="18"/>
                <w:color w:val="auto"/>
              </w:rPr>
            </w:pP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(5,237,767)</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647,056</w:t>
            </w:r>
          </w:p>
        </w:tc>
        <w:tc>
          <w:tcPr>
            <w:tcW w:w="156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(4,590,711)</w:t>
            </w: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(5,059,678)</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647,056</w:t>
            </w:r>
          </w:p>
        </w:tc>
        <w:tc>
          <w:tcPr>
            <w:tcW w:w="156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(4,412,622)</w:t>
            </w:r>
          </w:p>
        </w:tc>
      </w:tr>
      <w:tr>
        <w:trPr>
          <w:trHeight w:val="198"/>
        </w:trPr>
        <w:tc>
          <w:tcPr>
            <w:tcW w:w="33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loss attributable to ordinary</w:t>
            </w:r>
          </w:p>
        </w:tc>
        <w:tc>
          <w:tcPr>
            <w:tcW w:w="1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shareholders of NIO Inc.</w:t>
            </w:r>
          </w:p>
        </w:tc>
        <w:tc>
          <w:tcPr>
            <w:tcW w:w="1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(5,141,635)</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647,056</w:t>
            </w:r>
          </w:p>
        </w:tc>
        <w:tc>
          <w:tcPr>
            <w:tcW w:w="156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91,400</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(4,403,179)</w:t>
            </w:r>
          </w:p>
        </w:tc>
      </w:tr>
      <w:tr>
        <w:trPr>
          <w:trHeight w:val="198"/>
        </w:trPr>
        <w:tc>
          <w:tcPr>
            <w:tcW w:w="33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loss per share/ADS attributable to</w:t>
            </w: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ordinary shareholders, basic and diluted</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(RMB)</w:t>
            </w: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(2.50)</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0.32</w:t>
            </w:r>
          </w:p>
        </w:tc>
        <w:tc>
          <w:tcPr>
            <w:tcW w:w="156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0.04</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(2.14)</w:t>
            </w:r>
          </w:p>
        </w:tc>
      </w:tr>
    </w:tbl>
    <w:p>
      <w:pPr>
        <w:spacing w:after="0" w:line="238" w:lineRule="exact"/>
        <w:rPr>
          <w:sz w:val="20"/>
          <w:szCs w:val="20"/>
          <w:color w:val="auto"/>
        </w:rPr>
      </w:pPr>
    </w:p>
    <w:p>
      <w:pPr>
        <w:ind w:right="320" w:firstLine="8"/>
        <w:spacing w:after="0" w:line="195" w:lineRule="auto"/>
        <w:tabs>
          <w:tab w:leader="none" w:pos="87" w:val="left"/>
        </w:tabs>
        <w:numPr>
          <w:ilvl w:val="0"/>
          <w:numId w:val="1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All translations from RMB to USD for the three months ended September 30, 2025 were made at the rate of RMB7.1190 to US$1.00, the noon buying rate in effect on September 30, 2025 in the H.10 statistical release of the Federal Reserve Board.</w:t>
      </w:r>
    </w:p>
    <w:p>
      <w:pPr>
        <w:spacing w:after="0" w:line="1" w:lineRule="exact"/>
        <w:rPr>
          <w:rFonts w:ascii="Times New Roman" w:cs="Times New Roman" w:eastAsia="Times New Roman" w:hAnsi="Times New Roman"/>
          <w:sz w:val="30"/>
          <w:szCs w:val="30"/>
          <w:color w:val="auto"/>
          <w:vertAlign w:val="superscript"/>
        </w:rPr>
      </w:pPr>
    </w:p>
    <w:p>
      <w:pPr>
        <w:ind w:right="780"/>
        <w:spacing w:after="0" w:line="228"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ii</w:t>
      </w:r>
      <w:r>
        <w:rPr>
          <w:rFonts w:ascii="Times New Roman" w:cs="Times New Roman" w:eastAsia="Times New Roman" w:hAnsi="Times New Roman"/>
          <w:sz w:val="18"/>
          <w:szCs w:val="18"/>
          <w:color w:val="auto"/>
        </w:rPr>
        <w:t xml:space="preserve"> Vehicle margin is the margin of new vehicle sales, which is calculated based on revenues and cost of sales derived from new vehicle sales only. </w:t>
      </w:r>
      <w:r>
        <w:rPr>
          <w:rFonts w:ascii="Times New Roman" w:cs="Times New Roman" w:eastAsia="Times New Roman" w:hAnsi="Times New Roman"/>
          <w:sz w:val="29"/>
          <w:szCs w:val="29"/>
          <w:color w:val="auto"/>
          <w:vertAlign w:val="superscript"/>
        </w:rPr>
        <w:t>iii</w:t>
      </w:r>
      <w:r>
        <w:rPr>
          <w:rFonts w:ascii="Times New Roman" w:cs="Times New Roman" w:eastAsia="Times New Roman" w:hAnsi="Times New Roman"/>
          <w:sz w:val="18"/>
          <w:szCs w:val="18"/>
          <w:color w:val="auto"/>
        </w:rPr>
        <w:t xml:space="preserve"> Except for gross margin and vehicle margin, where absolute changes instead of percentage changes are calculated.</w:t>
      </w:r>
    </w:p>
    <w:p>
      <w:pPr>
        <w:spacing w:after="0" w:line="293" w:lineRule="exact"/>
        <w:rPr>
          <w:sz w:val="20"/>
          <w:szCs w:val="20"/>
          <w:color w:val="auto"/>
        </w:rPr>
      </w:pPr>
    </w:p>
    <w:p>
      <w:pPr>
        <w:ind w:left="1102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
      <w:numFmt w:val="bullet"/>
      <w:start w:val="1"/>
    </w:lvl>
  </w:abstractNum>
  <w:abstractNum w:abstractNumId="12">
    <w:nsid w:val="DED7263"/>
    <w:multiLevelType w:val="hybridMultilevel"/>
    <w:lvl w:ilvl="0">
      <w:lvlJc w:val="left"/>
      <w:lvlText w:val="·"/>
      <w:numFmt w:val="bullet"/>
      <w:start w:val="1"/>
    </w:lvl>
  </w:abstractNum>
  <w:abstractNum w:abstractNumId="13">
    <w:nsid w:val="7FDCC233"/>
    <w:multiLevelType w:val="hybridMultilevel"/>
    <w:lvl w:ilvl="0">
      <w:lvlJc w:val="left"/>
      <w:lvlText w:val="·"/>
      <w:numFmt w:val="bullet"/>
      <w:start w:val="1"/>
    </w:lvl>
  </w:abstractNum>
  <w:abstractNum w:abstractNumId="14">
    <w:nsid w:val="1BEFD79F"/>
    <w:multiLevelType w:val="hybridMultilevel"/>
    <w:lvl w:ilvl="0">
      <w:lvlJc w:val="left"/>
      <w:lvlText w:val="i"/>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2025-11-25T05:17:40Z</dcterms:created>
  <dcterms:modified xsi:type="dcterms:W3CDTF">2025-11-25T05:17:40Z</dcterms:modified>
</cp:coreProperties>
</file>