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March 10, 2026</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r>
        <w:rPr>
          <w:rFonts w:ascii="Times New Roman" w:cs="Times New Roman" w:eastAsia="Times New Roman" w:hAnsi="Times New Roman"/>
          <w:sz w:val="17"/>
          <w:szCs w:val="17"/>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40005</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137795</wp:posOffset>
            </wp:positionV>
            <wp:extent cx="1784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S-8</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 UNDER THE SECURITIES ACT OF 1933</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NIO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137795</wp:posOffset>
            </wp:positionV>
            <wp:extent cx="1784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ectPr>
          <w:pgSz w:w="11900" w:h="16838" w:orient="portrait"/>
          <w:cols w:equalWidth="0" w:num="1">
            <w:col w:w="11260"/>
          </w:cols>
          <w:pgMar w:left="320" w:top="456" w:right="319" w:bottom="1440" w:gutter="0" w:footer="0" w:header="0"/>
        </w:sectPr>
      </w:pPr>
    </w:p>
    <w:p>
      <w:pPr>
        <w:spacing w:after="0" w:line="200" w:lineRule="exact"/>
        <w:rPr>
          <w:sz w:val="24"/>
          <w:szCs w:val="24"/>
          <w:color w:val="auto"/>
        </w:rPr>
      </w:pPr>
    </w:p>
    <w:p>
      <w:pPr>
        <w:spacing w:after="0" w:line="24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32"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1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i w:val="1"/>
          <w:iCs w:val="1"/>
          <w:color w:val="auto"/>
        </w:rPr>
        <w:t>(I.R.S. Employer</w:t>
      </w:r>
    </w:p>
    <w:p>
      <w:pPr>
        <w:spacing w:after="0" w:line="1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i w:val="1"/>
          <w:iCs w:val="1"/>
          <w:color w:val="auto"/>
        </w:rPr>
        <w:t>Identification Number)</w:t>
      </w:r>
    </w:p>
    <w:p>
      <w:pPr>
        <w:spacing w:after="0" w:line="198" w:lineRule="exact"/>
        <w:rPr>
          <w:sz w:val="24"/>
          <w:szCs w:val="24"/>
          <w:color w:val="auto"/>
        </w:rPr>
      </w:pPr>
    </w:p>
    <w:p>
      <w:pPr>
        <w:sectPr>
          <w:pgSz w:w="11900" w:h="16838" w:orient="portrait"/>
          <w:cols w:equalWidth="0" w:num="2">
            <w:col w:w="7880" w:space="720"/>
            <w:col w:w="2660"/>
          </w:cols>
          <w:pgMar w:left="320" w:top="456"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Building 19, No. 1355, Caobao Road</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Minhang District, Shanghai 200233</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+86 21-6908-2018</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139065</wp:posOffset>
            </wp:positionV>
            <wp:extent cx="1784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ectPr>
          <w:pgSz w:w="11900" w:h="16838" w:orient="portrait"/>
          <w:cols w:equalWidth="0" w:num="1">
            <w:col w:w="11260"/>
          </w:cols>
          <w:pgMar w:left="320" w:top="456" w:right="319" w:bottom="1440" w:gutter="0" w:footer="0" w:header="0"/>
          <w:type w:val="continuous"/>
        </w:sectPr>
      </w:pPr>
    </w:p>
    <w:p>
      <w:pPr>
        <w:spacing w:after="0" w:line="200" w:lineRule="exact"/>
        <w:rPr>
          <w:sz w:val="24"/>
          <w:szCs w:val="24"/>
          <w:color w:val="auto"/>
        </w:rPr>
      </w:pPr>
    </w:p>
    <w:p>
      <w:pPr>
        <w:spacing w:after="0" w:line="225"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4"/>
          <w:szCs w:val="24"/>
          <w:b w:val="1"/>
          <w:bCs w:val="1"/>
          <w:color w:val="auto"/>
        </w:rPr>
        <w:t>2026 Share Incentive Plan</w:t>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137795</wp:posOffset>
            </wp:positionV>
            <wp:extent cx="1784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Cogency Global Inc.</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122 East 42nd Street, 18th Floor</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New York, NY 10168</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(800) 221-0102</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139065</wp:posOffset>
            </wp:positionV>
            <wp:extent cx="1784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both"/>
        <w:ind w:right="6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456" w:right="319" w:bottom="1440" w:gutter="0" w:footer="0" w:header="0"/>
          <w:type w:val="continuous"/>
        </w:sectPr>
      </w:pPr>
    </w:p>
    <w:p>
      <w:pPr>
        <w:spacing w:after="0" w:line="12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9" w:lineRule="exact"/>
        <w:rPr>
          <w:sz w:val="24"/>
          <w:szCs w:val="24"/>
          <w:color w:val="auto"/>
        </w:rPr>
      </w:pPr>
    </w:p>
    <w:p>
      <w:pPr>
        <w:sectPr>
          <w:pgSz w:w="11900" w:h="16838" w:orient="portrait"/>
          <w:cols w:equalWidth="0" w:num="2">
            <w:col w:w="5020" w:space="720"/>
            <w:col w:w="5520"/>
          </w:cols>
          <w:pgMar w:left="320" w:top="456" w:right="319" w:bottom="1440" w:gutter="0" w:footer="0" w:header="0"/>
          <w:type w:val="continuous"/>
        </w:sect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62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Copies to:</w:t>
            </w:r>
          </w:p>
        </w:tc>
      </w:tr>
      <w:tr>
        <w:trPr>
          <w:trHeight w:val="394"/>
        </w:trPr>
        <w:tc>
          <w:tcPr>
            <w:tcW w:w="5040" w:type="dxa"/>
            <w:vAlign w:val="bottom"/>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w w:val="98"/>
              </w:rPr>
              <w:t>Yu Qu</w:t>
            </w:r>
          </w:p>
        </w:tc>
        <w:tc>
          <w:tcPr>
            <w:tcW w:w="6200" w:type="dxa"/>
            <w:vAlign w:val="bottom"/>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rPr>
              <w:t>Shu Du, Esq.</w:t>
            </w:r>
          </w:p>
        </w:tc>
      </w:tr>
      <w:tr>
        <w:trPr>
          <w:trHeight w:val="207"/>
        </w:trPr>
        <w:tc>
          <w:tcPr>
            <w:tcW w:w="5040" w:type="dxa"/>
            <w:vAlign w:val="bottom"/>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Chief Financial Officer</w:t>
            </w:r>
          </w:p>
        </w:tc>
        <w:tc>
          <w:tcPr>
            <w:tcW w:w="6200" w:type="dxa"/>
            <w:vAlign w:val="bottom"/>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rPr>
              <w:t>Skadden, Arps, Slate, Meagher &amp; Flom LLP</w:t>
            </w:r>
          </w:p>
        </w:tc>
      </w:tr>
      <w:tr>
        <w:trPr>
          <w:trHeight w:val="207"/>
        </w:trPr>
        <w:tc>
          <w:tcPr>
            <w:tcW w:w="5040" w:type="dxa"/>
            <w:vAlign w:val="bottom"/>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Building 19, No. 1355, Caobao Road, Minhang District</w:t>
            </w:r>
          </w:p>
        </w:tc>
        <w:tc>
          <w:tcPr>
            <w:tcW w:w="6200" w:type="dxa"/>
            <w:vAlign w:val="bottom"/>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w w:val="99"/>
              </w:rPr>
              <w:t>c/o 42/F, Edinburgh Tower, The Landmark</w:t>
            </w:r>
          </w:p>
        </w:tc>
      </w:tr>
      <w:tr>
        <w:trPr>
          <w:trHeight w:val="207"/>
        </w:trPr>
        <w:tc>
          <w:tcPr>
            <w:tcW w:w="5040" w:type="dxa"/>
            <w:vAlign w:val="bottom"/>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Shanghai, People’s Republic of China</w:t>
            </w:r>
          </w:p>
        </w:tc>
        <w:tc>
          <w:tcPr>
            <w:tcW w:w="6200" w:type="dxa"/>
            <w:vAlign w:val="bottom"/>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15 Queen’s Road Central</w:t>
            </w:r>
          </w:p>
        </w:tc>
      </w:tr>
      <w:tr>
        <w:trPr>
          <w:trHeight w:val="207"/>
        </w:trPr>
        <w:tc>
          <w:tcPr>
            <w:tcW w:w="5040" w:type="dxa"/>
            <w:vAlign w:val="bottom"/>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+86 21-6908-2018</w:t>
            </w:r>
          </w:p>
        </w:tc>
        <w:tc>
          <w:tcPr>
            <w:tcW w:w="6200" w:type="dxa"/>
            <w:vAlign w:val="bottom"/>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Hong Kong</w:t>
            </w:r>
          </w:p>
        </w:tc>
      </w:tr>
      <w:tr>
        <w:trPr>
          <w:trHeight w:val="228"/>
        </w:trPr>
        <w:tc>
          <w:tcPr>
            <w:tcW w:w="5040" w:type="dxa"/>
            <w:vAlign w:val="bottom"/>
          </w:tcPr>
          <w:p>
            <w:pPr>
              <w:spacing w:after="0"/>
              <w:rPr>
                <w:sz w:val="19"/>
                <w:szCs w:val="19"/>
                <w:color w:val="auto"/>
              </w:rPr>
            </w:pPr>
          </w:p>
        </w:tc>
        <w:tc>
          <w:tcPr>
            <w:tcW w:w="6200" w:type="dxa"/>
            <w:vAlign w:val="bottom"/>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+852 3740-4700</w:t>
            </w:r>
          </w:p>
        </w:tc>
      </w:tr>
      <w:tr>
        <w:trPr>
          <w:trHeight w:val="207"/>
        </w:trPr>
        <w:tc>
          <w:tcPr>
            <w:tcW w:w="5040" w:type="dxa"/>
            <w:vAlign w:val="bottom"/>
            <w:tcBorders>
              <w:bottom w:val="single" w:sz="8" w:color="auto"/>
            </w:tcBorders>
          </w:tcPr>
          <w:p>
            <w:pPr>
              <w:spacing w:after="0"/>
              <w:rPr>
                <w:sz w:val="18"/>
                <w:szCs w:val="18"/>
                <w:color w:val="auto"/>
              </w:rPr>
            </w:pPr>
          </w:p>
        </w:tc>
        <w:tc>
          <w:tcPr>
            <w:tcW w:w="6200" w:type="dxa"/>
            <w:vAlign w:val="bottom"/>
            <w:tcBorders>
              <w:bottom w:val="single" w:sz="8" w:color="auto"/>
            </w:tcBorders>
          </w:tcPr>
          <w:p>
            <w:pPr>
              <w:spacing w:after="0"/>
              <w:rPr>
                <w:sz w:val="18"/>
                <w:szCs w:val="18"/>
                <w:color w:val="auto"/>
              </w:rPr>
            </w:pPr>
          </w:p>
        </w:tc>
      </w:tr>
      <w:tr>
        <w:trPr>
          <w:trHeight w:val="25"/>
        </w:trPr>
        <w:tc>
          <w:tcPr>
            <w:tcW w:w="504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r>
      <w:tr>
        <w:trPr>
          <w:trHeight w:val="648"/>
        </w:trPr>
        <w:tc>
          <w:tcPr>
            <w:tcW w:w="50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56" w:right="31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u w:val="single" w:color="auto"/>
          <w:color w:val="auto"/>
        </w:rPr>
        <w:t>Plan Information</w:t>
      </w:r>
      <w:r>
        <w:rPr>
          <w:rFonts w:ascii="Times New Roman" w:cs="Times New Roman" w:eastAsia="Times New Roman" w:hAnsi="Times New Roman"/>
          <w:sz w:val="17"/>
          <w:szCs w:val="17"/>
          <w:b w:val="1"/>
          <w:bCs w:val="1"/>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u w:val="single" w:color="auto"/>
          <w:color w:val="auto"/>
        </w:rPr>
        <w:t>Registrant Information and Employee Plan Annual Information</w:t>
      </w:r>
      <w:r>
        <w:rPr>
          <w:rFonts w:ascii="Times New Roman" w:cs="Times New Roman" w:eastAsia="Times New Roman" w:hAnsi="Times New Roman"/>
          <w:sz w:val="17"/>
          <w:szCs w:val="17"/>
          <w:b w:val="1"/>
          <w:bCs w:val="1"/>
          <w:color w:val="auto"/>
        </w:rPr>
        <w:t>*</w:t>
      </w:r>
    </w:p>
    <w:p>
      <w:pPr>
        <w:spacing w:after="0" w:line="221" w:lineRule="exact"/>
        <w:rPr>
          <w:sz w:val="20"/>
          <w:szCs w:val="20"/>
          <w:color w:val="auto"/>
        </w:rPr>
      </w:pPr>
    </w:p>
    <w:p>
      <w:pPr>
        <w:ind w:right="80" w:firstLine="4"/>
        <w:spacing w:after="0" w:line="273" w:lineRule="auto"/>
        <w:tabs>
          <w:tab w:leader="none" w:pos="12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required by Part I to be contained in the Section 10(a) prospectus is omitted from this registration statement in accordance with Rule 428 under the Securities Act and the Note to Part I of Form S-8. The documents containing information specified in this Part I will be separately provided to the participants covered by the 2024 Share Incentive Plan, as specified by Rule 428(b)(1) under the Securities Act.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u w:val="single" w:color="auto"/>
          <w:color w:val="auto"/>
        </w:rPr>
        <w:t>Incorporation of Documents by Reference</w:t>
      </w:r>
    </w:p>
    <w:p>
      <w:pPr>
        <w:spacing w:after="0" w:line="221" w:lineRule="exact"/>
        <w:rPr>
          <w:sz w:val="20"/>
          <w:szCs w:val="20"/>
          <w:color w:val="auto"/>
        </w:rPr>
      </w:pPr>
    </w:p>
    <w:p>
      <w:pPr>
        <w:ind w:right="600" w:firstLine="622"/>
        <w:spacing w:after="0" w:line="291" w:lineRule="auto"/>
        <w:rPr>
          <w:sz w:val="20"/>
          <w:szCs w:val="20"/>
          <w:color w:val="auto"/>
        </w:rPr>
      </w:pPr>
      <w:r>
        <w:rPr>
          <w:rFonts w:ascii="Times New Roman" w:cs="Times New Roman" w:eastAsia="Times New Roman" w:hAnsi="Times New Roman"/>
          <w:sz w:val="17"/>
          <w:szCs w:val="17"/>
          <w:color w:val="auto"/>
        </w:rPr>
        <w:t>The following documents previously filed by NIO Inc. (the “Registrant”) with the Securities and Exchange Commission (the “Commission”) are incorporated by reference herein:</w:t>
      </w:r>
    </w:p>
    <w:p>
      <w:pPr>
        <w:spacing w:after="0" w:line="148" w:lineRule="exact"/>
        <w:rPr>
          <w:sz w:val="20"/>
          <w:szCs w:val="20"/>
          <w:color w:val="auto"/>
        </w:rPr>
      </w:pPr>
    </w:p>
    <w:p>
      <w:pPr>
        <w:ind w:left="1240" w:hanging="615"/>
        <w:spacing w:after="0" w:line="291" w:lineRule="auto"/>
        <w:tabs>
          <w:tab w:leader="none" w:pos="1240" w:val="left"/>
        </w:tabs>
        <w:numPr>
          <w:ilvl w:val="0"/>
          <w:numId w:val="2"/>
        </w:numPr>
        <w:rPr>
          <w:rFonts w:ascii="Times New Roman" w:cs="Times New Roman" w:eastAsia="Times New Roman" w:hAnsi="Times New Roman"/>
          <w:sz w:val="17"/>
          <w:szCs w:val="17"/>
          <w:color w:val="0000FF"/>
        </w:rPr>
      </w:pPr>
      <w:hyperlink r:id="rId15">
        <w:r>
          <w:rPr>
            <w:rFonts w:ascii="Times New Roman" w:cs="Times New Roman" w:eastAsia="Times New Roman" w:hAnsi="Times New Roman"/>
            <w:sz w:val="17"/>
            <w:szCs w:val="17"/>
            <w:color w:val="auto"/>
          </w:rPr>
          <w:t xml:space="preserve">the Registrant’s </w:t>
        </w:r>
        <w:r>
          <w:rPr>
            <w:rFonts w:ascii="Times New Roman" w:cs="Times New Roman" w:eastAsia="Times New Roman" w:hAnsi="Times New Roman"/>
            <w:sz w:val="17"/>
            <w:szCs w:val="17"/>
            <w:u w:val="single" w:color="auto"/>
            <w:color w:val="0000FF"/>
          </w:rPr>
          <w:t>annual report on Form 20-F (File No. 001-38638) for the year ended December 31, 2024, filed with the Commission on April 8,</w:t>
        </w:r>
      </w:hyperlink>
      <w:r>
        <w:rPr>
          <w:rFonts w:ascii="Times New Roman" w:cs="Times New Roman" w:eastAsia="Times New Roman" w:hAnsi="Times New Roman"/>
          <w:sz w:val="17"/>
          <w:szCs w:val="17"/>
          <w:color w:val="auto"/>
        </w:rPr>
        <w:t xml:space="preserve"> </w:t>
      </w:r>
      <w:hyperlink r:id="rId15">
        <w:r>
          <w:rPr>
            <w:rFonts w:ascii="Times New Roman" w:cs="Times New Roman" w:eastAsia="Times New Roman" w:hAnsi="Times New Roman"/>
            <w:sz w:val="17"/>
            <w:szCs w:val="17"/>
            <w:u w:val="single" w:color="auto"/>
            <w:color w:val="0000FF"/>
          </w:rPr>
          <w:t>2025</w:t>
        </w:r>
        <w:r>
          <w:rPr>
            <w:rFonts w:ascii="Times New Roman" w:cs="Times New Roman" w:eastAsia="Times New Roman" w:hAnsi="Times New Roman"/>
            <w:sz w:val="17"/>
            <w:szCs w:val="17"/>
            <w:color w:val="000000"/>
          </w:rPr>
          <w:t>; and</w:t>
        </w:r>
      </w:hyperlink>
    </w:p>
    <w:p>
      <w:pPr>
        <w:spacing w:after="0" w:line="147" w:lineRule="exact"/>
        <w:rPr>
          <w:rFonts w:ascii="Times New Roman" w:cs="Times New Roman" w:eastAsia="Times New Roman" w:hAnsi="Times New Roman"/>
          <w:sz w:val="17"/>
          <w:szCs w:val="17"/>
          <w:color w:val="0000FF"/>
        </w:rPr>
      </w:pPr>
    </w:p>
    <w:p>
      <w:pPr>
        <w:ind w:left="1240" w:hanging="615"/>
        <w:spacing w:after="0" w:line="273" w:lineRule="auto"/>
        <w:tabs>
          <w:tab w:leader="none" w:pos="1240" w:val="left"/>
        </w:tabs>
        <w:numPr>
          <w:ilvl w:val="0"/>
          <w:numId w:val="2"/>
        </w:numPr>
        <w:rPr>
          <w:rFonts w:ascii="Times New Roman" w:cs="Times New Roman" w:eastAsia="Times New Roman" w:hAnsi="Times New Roman"/>
          <w:sz w:val="17"/>
          <w:szCs w:val="17"/>
          <w:color w:val="0000FF"/>
        </w:rPr>
      </w:pPr>
      <w:hyperlink r:id="rId16">
        <w:r>
          <w:rPr>
            <w:rFonts w:ascii="Times New Roman" w:cs="Times New Roman" w:eastAsia="Times New Roman" w:hAnsi="Times New Roman"/>
            <w:sz w:val="17"/>
            <w:szCs w:val="17"/>
            <w:color w:val="auto"/>
          </w:rPr>
          <w:t xml:space="preserve">the description of the Registrant’s Class A ordinary shares incorporated by reference in the Registrant’s </w:t>
        </w:r>
        <w:r>
          <w:rPr>
            <w:rFonts w:ascii="Times New Roman" w:cs="Times New Roman" w:eastAsia="Times New Roman" w:hAnsi="Times New Roman"/>
            <w:sz w:val="17"/>
            <w:szCs w:val="17"/>
            <w:u w:val="single" w:color="auto"/>
            <w:color w:val="0000FF"/>
          </w:rPr>
          <w:t>registration statement on Form 8-A (File</w:t>
        </w:r>
      </w:hyperlink>
      <w:r>
        <w:rPr>
          <w:rFonts w:ascii="Times New Roman" w:cs="Times New Roman" w:eastAsia="Times New Roman" w:hAnsi="Times New Roman"/>
          <w:sz w:val="17"/>
          <w:szCs w:val="17"/>
          <w:color w:val="auto"/>
        </w:rPr>
        <w:t xml:space="preserve"> </w:t>
      </w:r>
      <w:hyperlink r:id="rId16">
        <w:r>
          <w:rPr>
            <w:rFonts w:ascii="Times New Roman" w:cs="Times New Roman" w:eastAsia="Times New Roman" w:hAnsi="Times New Roman"/>
            <w:sz w:val="17"/>
            <w:szCs w:val="17"/>
            <w:u w:val="single" w:color="auto"/>
            <w:color w:val="0000FF"/>
          </w:rPr>
          <w:t>No. 001-38638) filed with the Commission on August 28, 2018</w:t>
        </w:r>
        <w:r>
          <w:rPr>
            <w:rFonts w:ascii="Times New Roman" w:cs="Times New Roman" w:eastAsia="Times New Roman" w:hAnsi="Times New Roman"/>
            <w:sz w:val="17"/>
            <w:szCs w:val="17"/>
            <w:color w:val="000000"/>
          </w:rPr>
          <w:t>, including any amendment and report subsequently filed for the purpose of</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updating that description.</w:t>
      </w:r>
    </w:p>
    <w:p>
      <w:pPr>
        <w:spacing w:after="0" w:line="162" w:lineRule="exact"/>
        <w:rPr>
          <w:rFonts w:ascii="Times New Roman" w:cs="Times New Roman" w:eastAsia="Times New Roman" w:hAnsi="Times New Roman"/>
          <w:sz w:val="17"/>
          <w:szCs w:val="17"/>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All documents subsequently filed by the Registrant pursuant to Sections 13(a), 13(c), 14 or 15(d) of the Securities Exchange Act of 1934, as amended (the “Exchange Act”),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spacing w:after="0" w:line="173"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u w:val="single" w:color="auto"/>
          <w:color w:val="auto"/>
        </w:rPr>
        <w:t>Description of Securities</w:t>
      </w:r>
    </w:p>
    <w:p>
      <w:pPr>
        <w:spacing w:after="0" w:line="221" w:lineRule="exact"/>
        <w:rPr>
          <w:rFonts w:ascii="Times New Roman" w:cs="Times New Roman" w:eastAsia="Times New Roman" w:hAnsi="Times New Roman"/>
          <w:sz w:val="17"/>
          <w:szCs w:val="17"/>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u w:val="single" w:color="auto"/>
          <w:color w:val="auto"/>
        </w:rPr>
        <w:t>Interests of Named Experts and Counsel</w:t>
      </w:r>
    </w:p>
    <w:p>
      <w:pPr>
        <w:spacing w:after="0" w:line="221" w:lineRule="exact"/>
        <w:rPr>
          <w:rFonts w:ascii="Times New Roman" w:cs="Times New Roman" w:eastAsia="Times New Roman" w:hAnsi="Times New Roman"/>
          <w:sz w:val="17"/>
          <w:szCs w:val="17"/>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u w:val="single" w:color="auto"/>
          <w:color w:val="auto"/>
        </w:rPr>
        <w:t>Indemnification of Directors and Officers</w:t>
      </w:r>
    </w:p>
    <w:p>
      <w:pPr>
        <w:spacing w:after="0" w:line="221" w:lineRule="exact"/>
        <w:rPr>
          <w:rFonts w:ascii="Times New Roman" w:cs="Times New Roman" w:eastAsia="Times New Roman" w:hAnsi="Times New Roman"/>
          <w:sz w:val="17"/>
          <w:szCs w:val="17"/>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Cayman Islands law does not limit the extent to which a Cayman Islands company’s memorandum and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The Registrant’s thirteenth amended and restated memorandum and articles of association, adopted by a special resolution of its shareholders passed on August 25, 2022 and effective on August 25, 2022, provides that the Registrant shall indemnify its directors and officers against all actions, proceedings, costs, charges, expenses, losses, damages or liabilities incurred or sustained by such persons other than by reason of their own dishonesty, willful default or fraud, in or about the conduct of the Registrant’s business or affairs (including as a result of any mistake of judgment) or in the execution or discharge of their duties, powers, authorities or discretions, including without prejudice to the generality of the foregoing, any costs, expenses, losses or liabilities incurred by such persons in defending (whether successfully or otherwise) any civil proceedings concerning the Registrant or its affairs in any court whether in the Cayman Islands or elsewhere.</w:t>
      </w:r>
    </w:p>
    <w:p>
      <w:pPr>
        <w:spacing w:after="0" w:line="372"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138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0" w:right="359" w:bottom="1440" w:gutter="0" w:footer="0" w:header="0"/>
        </w:sectPr>
      </w:pPr>
    </w:p>
    <w:bookmarkStart w:id="2" w:name="page3"/>
    <w:bookmarkEnd w:id="2"/>
    <w:p>
      <w:pPr>
        <w:ind w:right="320" w:firstLine="622"/>
        <w:spacing w:after="0" w:line="273" w:lineRule="auto"/>
        <w:rPr>
          <w:sz w:val="20"/>
          <w:szCs w:val="20"/>
          <w:color w:val="auto"/>
        </w:rPr>
      </w:pPr>
      <w:r>
        <w:rPr>
          <w:rFonts w:ascii="Times New Roman" w:cs="Times New Roman" w:eastAsia="Times New Roman" w:hAnsi="Times New Roman"/>
          <w:sz w:val="17"/>
          <w:szCs w:val="17"/>
          <w:color w:val="auto"/>
        </w:rPr>
        <w:t>Pursuant to the indemnification agreement, the form of which was filed as Exhibit 10.5 to the Registrant’s registration statement on Form F-1, as amended (File No. 333-226822), the Registrant has agreed to indemnify its directors and executive officers against certain liabilities and expenses incurred by such persons in connection with claims made by reason of their being directors or officers of the Registrant.</w:t>
      </w:r>
    </w:p>
    <w:p>
      <w:pPr>
        <w:spacing w:after="0" w:line="162" w:lineRule="exact"/>
        <w:rPr>
          <w:sz w:val="20"/>
          <w:szCs w:val="20"/>
          <w:color w:val="auto"/>
        </w:rPr>
      </w:pPr>
    </w:p>
    <w:p>
      <w:pPr>
        <w:jc w:val="both"/>
        <w:ind w:right="380" w:firstLine="622"/>
        <w:spacing w:after="0" w:line="273"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Registrant also maintains a directors and officers liability insurance policy for its directors and officers.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u w:val="single" w:color="auto"/>
          <w:color w:val="auto"/>
        </w:rPr>
        <w:t>Exemption from Registration Claimed</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u w:val="single" w:color="auto"/>
          <w:color w:val="auto"/>
        </w:rPr>
        <w:t>Exhibits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the Index to Exhibits attached hereto.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u w:val="single" w:color="auto"/>
          <w:color w:val="auto"/>
        </w:rPr>
        <w:t>Undertakings</w:t>
      </w:r>
    </w:p>
    <w:p>
      <w:pPr>
        <w:spacing w:after="0" w:line="221" w:lineRule="exact"/>
        <w:rPr>
          <w:sz w:val="20"/>
          <w:szCs w:val="20"/>
          <w:color w:val="auto"/>
        </w:rPr>
      </w:pPr>
    </w:p>
    <w:p>
      <w:pPr>
        <w:ind w:left="620" w:hanging="61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218"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218" w:lineRule="exact"/>
        <w:rPr>
          <w:rFonts w:ascii="Times New Roman" w:cs="Times New Roman" w:eastAsia="Times New Roman" w:hAnsi="Times New Roman"/>
          <w:sz w:val="17"/>
          <w:szCs w:val="17"/>
          <w:color w:val="auto"/>
        </w:rPr>
      </w:pPr>
    </w:p>
    <w:p>
      <w:pPr>
        <w:jc w:val="both"/>
        <w:ind w:left="1240" w:right="380" w:hanging="304"/>
        <w:spacing w:after="0" w:line="273" w:lineRule="auto"/>
        <w:tabs>
          <w:tab w:leader="none" w:pos="124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61" w:lineRule="exact"/>
        <w:rPr>
          <w:rFonts w:ascii="Times New Roman" w:cs="Times New Roman" w:eastAsia="Times New Roman" w:hAnsi="Times New Roman"/>
          <w:sz w:val="17"/>
          <w:szCs w:val="17"/>
          <w:color w:val="auto"/>
        </w:rPr>
      </w:pPr>
    </w:p>
    <w:p>
      <w:pPr>
        <w:ind w:left="1240" w:right="100" w:hanging="304"/>
        <w:spacing w:after="0" w:line="291" w:lineRule="auto"/>
        <w:tabs>
          <w:tab w:leader="none" w:pos="124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that information in the registration statement;</w:t>
      </w:r>
    </w:p>
    <w:p>
      <w:pPr>
        <w:spacing w:after="0" w:line="146" w:lineRule="exact"/>
        <w:rPr>
          <w:sz w:val="20"/>
          <w:szCs w:val="20"/>
          <w:color w:val="auto"/>
        </w:rPr>
      </w:pPr>
    </w:p>
    <w:p>
      <w:pPr>
        <w:ind w:left="940" w:right="560"/>
        <w:spacing w:after="0" w:line="274"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paragraphs (a)(1)(i) and (a)(1)(ii) above do not apply if the information required to be included in a post-effective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161" w:lineRule="exact"/>
        <w:rPr>
          <w:sz w:val="20"/>
          <w:szCs w:val="20"/>
          <w:color w:val="auto"/>
        </w:rPr>
      </w:pPr>
    </w:p>
    <w:p>
      <w:pPr>
        <w:ind w:left="940" w:right="200" w:hanging="315"/>
        <w:spacing w:after="0" w:line="273" w:lineRule="auto"/>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1" w:lineRule="exact"/>
        <w:rPr>
          <w:rFonts w:ascii="Times New Roman" w:cs="Times New Roman" w:eastAsia="Times New Roman" w:hAnsi="Times New Roman"/>
          <w:sz w:val="17"/>
          <w:szCs w:val="17"/>
          <w:color w:val="auto"/>
        </w:rPr>
      </w:pPr>
    </w:p>
    <w:p>
      <w:pPr>
        <w:ind w:left="940" w:hanging="315"/>
        <w:spacing w:after="0" w:line="291" w:lineRule="auto"/>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138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 w:name="page4"/>
    <w:bookmarkEnd w:id="3"/>
    <w:p>
      <w:pPr>
        <w:ind w:left="616" w:right="200" w:hanging="616"/>
        <w:spacing w:after="0" w:line="26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Times New Roman" w:cs="Times New Roman" w:eastAsia="Times New Roman" w:hAnsi="Times New Roman"/>
          <w:sz w:val="17"/>
          <w:szCs w:val="17"/>
          <w:color w:val="auto"/>
        </w:rPr>
      </w:pPr>
    </w:p>
    <w:p>
      <w:pPr>
        <w:ind w:left="616" w:hanging="616"/>
        <w:spacing w:after="0" w:line="260"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81"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38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76"/>
          </w:cols>
          <w:pgMar w:left="324" w:top="872"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340" w:type="dxa"/>
            <w:vAlign w:val="bottom"/>
            <w:gridSpan w:val="12"/>
          </w:tcPr>
          <w:p>
            <w:pPr>
              <w:ind w:left="106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75"/>
        </w:trPr>
        <w:tc>
          <w:tcPr>
            <w:tcW w:w="17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Exhibit Number</w:t>
            </w:r>
          </w:p>
        </w:tc>
        <w:tc>
          <w:tcPr>
            <w:tcW w:w="954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7"/>
        </w:trPr>
        <w:tc>
          <w:tcPr>
            <w:tcW w:w="220" w:type="dxa"/>
            <w:vAlign w:val="bottom"/>
          </w:tcPr>
          <w:p>
            <w:pPr>
              <w:spacing w:after="0" w:line="187" w:lineRule="exact"/>
              <w:rPr>
                <w:rFonts w:ascii="Times New Roman" w:cs="Times New Roman" w:eastAsia="Times New Roman" w:hAnsi="Times New Roman"/>
                <w:sz w:val="17"/>
                <w:szCs w:val="17"/>
                <w:color w:val="0000EE"/>
                <w:w w:val="93"/>
              </w:rPr>
            </w:pPr>
            <w:hyperlink r:id="rId20">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540" w:type="dxa"/>
            <w:vAlign w:val="bottom"/>
            <w:gridSpan w:val="15"/>
          </w:tcPr>
          <w:p>
            <w:pPr>
              <w:spacing w:after="0" w:line="187"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Thirteenth Amended and Restated Memorandum and Articles of Association of the Registrant (incorporated herein by reference to</w:t>
              </w:r>
            </w:hyperlink>
          </w:p>
        </w:tc>
      </w:tr>
      <w:tr>
        <w:trPr>
          <w:trHeight w:val="187"/>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20" w:type="dxa"/>
            <w:vAlign w:val="bottom"/>
            <w:tcBorders>
              <w:top w:val="single" w:sz="8" w:color="0000EE"/>
            </w:tcBorders>
            <w:gridSpan w:val="13"/>
          </w:tcPr>
          <w:p>
            <w:pPr>
              <w:spacing w:after="0" w:line="187"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Exhibit 3.1 to the current report on Form 6-K (File No. 001-38638), furnished with the SEC on August 25, 2022)</w:t>
              </w:r>
            </w:hyperlink>
          </w:p>
        </w:tc>
        <w:tc>
          <w:tcPr>
            <w:tcW w:w="520" w:type="dxa"/>
            <w:vAlign w:val="bottom"/>
            <w:gridSpan w:val="2"/>
          </w:tcPr>
          <w:p>
            <w:pPr>
              <w:spacing w:after="0"/>
              <w:rPr>
                <w:sz w:val="16"/>
                <w:szCs w:val="16"/>
                <w:color w:val="auto"/>
              </w:rPr>
            </w:pPr>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4"/>
        </w:trPr>
        <w:tc>
          <w:tcPr>
            <w:tcW w:w="300" w:type="dxa"/>
            <w:vAlign w:val="bottom"/>
            <w:gridSpan w:val="2"/>
          </w:tcPr>
          <w:p>
            <w:pPr>
              <w:spacing w:after="0"/>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2</w:t>
              </w:r>
            </w:hyperlink>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540" w:type="dxa"/>
            <w:vAlign w:val="bottom"/>
            <w:gridSpan w:val="15"/>
          </w:tcPr>
          <w:p>
            <w:pPr>
              <w:spacing w:after="0"/>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Registrant’s Specimen Certificate for Class A ordinary shares (incorporated herein by reference to Exhibit 4.2 to the registration statement</w:t>
              </w:r>
            </w:hyperlink>
          </w:p>
        </w:tc>
      </w:tr>
      <w:tr>
        <w:trPr>
          <w:trHeight w:val="187"/>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780" w:type="dxa"/>
            <w:vAlign w:val="bottom"/>
            <w:tcBorders>
              <w:top w:val="single" w:sz="8" w:color="0000EE"/>
              <w:bottom w:val="single" w:sz="8" w:color="0000EE"/>
            </w:tcBorders>
            <w:gridSpan w:val="7"/>
          </w:tcPr>
          <w:p>
            <w:pPr>
              <w:spacing w:after="0" w:line="187" w:lineRule="exact"/>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on Form F-1 (File No. 333-226822), as amended, initially filed with the SEC on August 28, 2018)</w:t>
              </w:r>
            </w:hyperlink>
          </w:p>
        </w:tc>
        <w:tc>
          <w:tcPr>
            <w:tcW w:w="2760" w:type="dxa"/>
            <w:vAlign w:val="bottom"/>
            <w:tcBorders>
              <w:top w:val="single" w:sz="8" w:color="0000EE"/>
            </w:tcBorders>
            <w:gridSpan w:val="8"/>
          </w:tcPr>
          <w:p>
            <w:pPr>
              <w:spacing w:after="0"/>
              <w:rPr>
                <w:sz w:val="16"/>
                <w:szCs w:val="16"/>
                <w:color w:val="auto"/>
              </w:rPr>
            </w:pPr>
          </w:p>
        </w:tc>
      </w:tr>
      <w:tr>
        <w:trPr>
          <w:trHeight w:val="394"/>
        </w:trPr>
        <w:tc>
          <w:tcPr>
            <w:tcW w:w="220" w:type="dxa"/>
            <w:vAlign w:val="bottom"/>
            <w:tcBorders>
              <w:bottom w:val="single" w:sz="8" w:color="0000EE"/>
            </w:tcBorders>
          </w:tcPr>
          <w:p>
            <w:pPr>
              <w:spacing w:after="0"/>
              <w:rPr>
                <w:rFonts w:ascii="Times New Roman" w:cs="Times New Roman" w:eastAsia="Times New Roman" w:hAnsi="Times New Roman"/>
                <w:sz w:val="17"/>
                <w:szCs w:val="17"/>
                <w:color w:val="0000EE"/>
                <w:w w:val="93"/>
              </w:rPr>
            </w:pPr>
            <w:hyperlink r:id="rId22">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3</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Deposit Agreement, dated as of September 11, 2018, among the Registrant, Deutsche Bank Trust Company Americas, as the depositary,</w:t>
              </w:r>
            </w:hyperlink>
          </w:p>
        </w:tc>
        <w:tc>
          <w:tcPr>
            <w:tcW w:w="140" w:type="dxa"/>
            <w:vAlign w:val="bottom"/>
          </w:tcPr>
          <w:p>
            <w:pPr>
              <w:spacing w:after="0"/>
              <w:rPr>
                <w:sz w:val="24"/>
                <w:szCs w:val="24"/>
                <w:color w:val="auto"/>
              </w:rPr>
            </w:pPr>
          </w:p>
        </w:tc>
      </w:tr>
      <w:tr>
        <w:trPr>
          <w:trHeight w:val="187"/>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540" w:type="dxa"/>
            <w:vAlign w:val="bottom"/>
            <w:gridSpan w:val="15"/>
          </w:tcPr>
          <w:p>
            <w:pPr>
              <w:spacing w:after="0" w:line="187"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and all holders and beneficial owners of the American Depositary Shares issued thereunder (incorporated herein by reference to</w:t>
              </w:r>
            </w:hyperlink>
          </w:p>
        </w:tc>
      </w:tr>
      <w:tr>
        <w:trPr>
          <w:trHeight w:val="187"/>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20" w:type="dxa"/>
            <w:vAlign w:val="bottom"/>
            <w:tcBorders>
              <w:top w:val="single" w:sz="8" w:color="0000EE"/>
            </w:tcBorders>
            <w:gridSpan w:val="10"/>
          </w:tcPr>
          <w:p>
            <w:pPr>
              <w:spacing w:after="0" w:line="187"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Exhibit 4.3 to the registration statement on Form S-8 (File No. 333-229952), filed with the SEC on February 28, 2019)</w:t>
              </w:r>
            </w:hyperlink>
          </w:p>
        </w:tc>
        <w:tc>
          <w:tcPr>
            <w:tcW w:w="720" w:type="dxa"/>
            <w:vAlign w:val="bottom"/>
            <w:gridSpan w:val="5"/>
          </w:tcPr>
          <w:p>
            <w:pPr>
              <w:spacing w:after="0"/>
              <w:rPr>
                <w:sz w:val="16"/>
                <w:szCs w:val="16"/>
                <w:color w:val="auto"/>
              </w:rPr>
            </w:pPr>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394"/>
        </w:trPr>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5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Opinion of Maples and Calder (Hong Kong) LLP, Cayman Islands counsel to the Registrant, regarding the legality of the Class A</w:t>
            </w:r>
          </w:p>
        </w:tc>
      </w:tr>
      <w:tr>
        <w:trPr>
          <w:trHeight w:val="187"/>
        </w:trPr>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920" w:type="dxa"/>
            <w:vAlign w:val="bottom"/>
            <w:tcBorders>
              <w:top w:val="single" w:sz="8" w:color="0000EE"/>
            </w:tcBorders>
            <w:gridSpan w:val="11"/>
          </w:tcPr>
          <w:p>
            <w:pPr>
              <w:spacing w:after="0" w:line="187" w:lineRule="exact"/>
              <w:rPr>
                <w:sz w:val="20"/>
                <w:szCs w:val="20"/>
                <w:color w:val="auto"/>
              </w:rPr>
            </w:pPr>
            <w:r>
              <w:rPr>
                <w:rFonts w:ascii="Times New Roman" w:cs="Times New Roman" w:eastAsia="Times New Roman" w:hAnsi="Times New Roman"/>
                <w:sz w:val="17"/>
                <w:szCs w:val="17"/>
                <w:color w:val="0000EE"/>
              </w:rPr>
              <w:t>ordinary shares being registered</w:t>
            </w:r>
          </w:p>
        </w:tc>
        <w:tc>
          <w:tcPr>
            <w:tcW w:w="620" w:type="dxa"/>
            <w:vAlign w:val="bottom"/>
            <w:gridSpan w:val="4"/>
          </w:tcPr>
          <w:p>
            <w:pPr>
              <w:spacing w:after="0"/>
              <w:rPr>
                <w:sz w:val="16"/>
                <w:szCs w:val="16"/>
                <w:color w:val="auto"/>
              </w:rPr>
            </w:pPr>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394"/>
        </w:trPr>
        <w:tc>
          <w:tcPr>
            <w:tcW w:w="3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23">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1</w:t>
              </w:r>
            </w:hyperlink>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2026 Share Incentive Plan (incorporated by reference to Exhibit 99.1 to the Form 6-K furnished with the SEC on March 10, 2026)</w:t>
              </w:r>
            </w:hyperlink>
          </w:p>
        </w:tc>
        <w:tc>
          <w:tcPr>
            <w:tcW w:w="540" w:type="dxa"/>
            <w:vAlign w:val="bottom"/>
            <w:gridSpan w:val="3"/>
          </w:tcPr>
          <w:p>
            <w:pPr>
              <w:spacing w:after="0"/>
              <w:rPr>
                <w:sz w:val="24"/>
                <w:szCs w:val="24"/>
                <w:color w:val="auto"/>
              </w:rPr>
            </w:pPr>
          </w:p>
        </w:tc>
      </w:tr>
      <w:tr>
        <w:trPr>
          <w:trHeight w:val="394"/>
        </w:trPr>
        <w:tc>
          <w:tcPr>
            <w:tcW w:w="40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3"/>
              </w:rPr>
              <w:t>23.</w:t>
            </w:r>
            <w:r>
              <w:rPr>
                <w:rFonts w:ascii="Times New Roman" w:cs="Times New Roman" w:eastAsia="Times New Roman" w:hAnsi="Times New Roman"/>
                <w:sz w:val="17"/>
                <w:szCs w:val="17"/>
                <w:u w:val="single" w:color="auto"/>
                <w:color w:val="0000EE"/>
                <w:w w:val="93"/>
              </w:rPr>
              <w:t>1*</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5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Consent of PricewaterhouseCoopers Zhong Tian LLP</w:t>
            </w:r>
          </w:p>
        </w:tc>
      </w:tr>
      <w:tr>
        <w:trPr>
          <w:trHeight w:val="20"/>
        </w:trPr>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r>
      <w:tr>
        <w:trPr>
          <w:trHeight w:val="394"/>
        </w:trPr>
        <w:tc>
          <w:tcPr>
            <w:tcW w:w="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3"/>
              </w:rPr>
              <w:t>23.</w:t>
            </w:r>
            <w:r>
              <w:rPr>
                <w:rFonts w:ascii="Times New Roman" w:cs="Times New Roman" w:eastAsia="Times New Roman" w:hAnsi="Times New Roman"/>
                <w:sz w:val="17"/>
                <w:szCs w:val="17"/>
                <w:u w:val="single" w:color="auto"/>
                <w:color w:val="0000EE"/>
                <w:w w:val="93"/>
              </w:rPr>
              <w:t>2*</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Consent of Maples and Calder (Hong Kong) LLP (included in Exhibit 5.1)</w:t>
            </w:r>
          </w:p>
        </w:tc>
        <w:tc>
          <w:tcPr>
            <w:tcW w:w="4380" w:type="dxa"/>
            <w:vAlign w:val="bottom"/>
            <w:gridSpan w:val="9"/>
          </w:tcPr>
          <w:p>
            <w:pPr>
              <w:spacing w:after="0"/>
              <w:rPr>
                <w:sz w:val="24"/>
                <w:szCs w:val="24"/>
                <w:color w:val="auto"/>
              </w:rPr>
            </w:pPr>
          </w:p>
        </w:tc>
      </w:tr>
      <w:tr>
        <w:trPr>
          <w:trHeight w:val="394"/>
        </w:trPr>
        <w:tc>
          <w:tcPr>
            <w:tcW w:w="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3"/>
              </w:rPr>
              <w:t>24.</w:t>
            </w:r>
            <w:r>
              <w:rPr>
                <w:rFonts w:ascii="Times New Roman" w:cs="Times New Roman" w:eastAsia="Times New Roman" w:hAnsi="Times New Roman"/>
                <w:sz w:val="17"/>
                <w:szCs w:val="17"/>
                <w:u w:val="single" w:color="auto"/>
                <w:color w:val="0000EE"/>
                <w:w w:val="93"/>
              </w:rPr>
              <w:t>1*</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Power of Attorney (included on signature page hereto)</w:t>
            </w:r>
          </w:p>
        </w:tc>
        <w:tc>
          <w:tcPr>
            <w:tcW w:w="5760" w:type="dxa"/>
            <w:vAlign w:val="bottom"/>
            <w:gridSpan w:val="10"/>
          </w:tcPr>
          <w:p>
            <w:pPr>
              <w:spacing w:after="0"/>
              <w:rPr>
                <w:sz w:val="24"/>
                <w:szCs w:val="24"/>
                <w:color w:val="auto"/>
              </w:rPr>
            </w:pPr>
          </w:p>
        </w:tc>
      </w:tr>
      <w:tr>
        <w:trPr>
          <w:trHeight w:val="394"/>
        </w:trPr>
        <w:tc>
          <w:tcPr>
            <w:tcW w:w="40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107*</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5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Filing Fee Table</w:t>
            </w:r>
          </w:p>
        </w:tc>
      </w:tr>
      <w:tr>
        <w:trPr>
          <w:trHeight w:val="226"/>
        </w:trPr>
        <w:tc>
          <w:tcPr>
            <w:tcW w:w="220" w:type="dxa"/>
            <w:vAlign w:val="bottom"/>
            <w:tcBorders>
              <w:top w:val="single" w:sz="8" w:color="0000EE"/>
              <w:bottom w:val="single" w:sz="8" w:color="auto"/>
            </w:tcBorders>
          </w:tcPr>
          <w:p>
            <w:pPr>
              <w:spacing w:after="0"/>
              <w:rPr>
                <w:sz w:val="19"/>
                <w:szCs w:val="19"/>
                <w:color w:val="auto"/>
              </w:rPr>
            </w:pPr>
          </w:p>
        </w:tc>
        <w:tc>
          <w:tcPr>
            <w:tcW w:w="80" w:type="dxa"/>
            <w:vAlign w:val="bottom"/>
            <w:tcBorders>
              <w:top w:val="single" w:sz="8" w:color="0000EE"/>
              <w:bottom w:val="single" w:sz="8" w:color="auto"/>
            </w:tcBorders>
          </w:tcPr>
          <w:p>
            <w:pPr>
              <w:spacing w:after="0"/>
              <w:rPr>
                <w:sz w:val="19"/>
                <w:szCs w:val="19"/>
                <w:color w:val="auto"/>
              </w:rPr>
            </w:pPr>
          </w:p>
        </w:tc>
        <w:tc>
          <w:tcPr>
            <w:tcW w:w="100" w:type="dxa"/>
            <w:vAlign w:val="bottom"/>
            <w:tcBorders>
              <w:top w:val="single" w:sz="8" w:color="0000EE"/>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0" w:type="dxa"/>
            <w:vAlign w:val="bottom"/>
            <w:tcBorders>
              <w:top w:val="single" w:sz="8" w:color="0000EE"/>
              <w:bottom w:val="single" w:sz="8" w:color="auto"/>
            </w:tcBorders>
          </w:tcPr>
          <w:p>
            <w:pPr>
              <w:spacing w:after="0"/>
              <w:rPr>
                <w:sz w:val="19"/>
                <w:szCs w:val="19"/>
                <w:color w:val="auto"/>
              </w:rPr>
            </w:pPr>
          </w:p>
        </w:tc>
        <w:tc>
          <w:tcPr>
            <w:tcW w:w="320" w:type="dxa"/>
            <w:vAlign w:val="bottom"/>
            <w:tcBorders>
              <w:top w:val="single" w:sz="8" w:color="0000EE"/>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7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 Filed herewith.</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655"/>
        </w:trPr>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right="300" w:firstLine="622"/>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Shanghai, China, on March 10, 2026.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NIO Inc.</w:t>
            </w:r>
          </w:p>
        </w:tc>
      </w:tr>
      <w:tr>
        <w:trPr>
          <w:trHeight w:val="414"/>
        </w:trPr>
        <w:tc>
          <w:tcPr>
            <w:tcW w:w="620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Bin Li</w:t>
            </w:r>
          </w:p>
        </w:tc>
      </w:tr>
      <w:tr>
        <w:trPr>
          <w:trHeight w:val="182"/>
        </w:trPr>
        <w:tc>
          <w:tcPr>
            <w:tcW w:w="6200" w:type="dxa"/>
            <w:vAlign w:val="bottom"/>
          </w:tcPr>
          <w:p>
            <w:pPr>
              <w:spacing w:after="0"/>
              <w:rPr>
                <w:sz w:val="15"/>
                <w:szCs w:val="15"/>
                <w:color w:val="auto"/>
              </w:rPr>
            </w:pPr>
          </w:p>
        </w:tc>
        <w:tc>
          <w:tcPr>
            <w:tcW w:w="50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Name: Bin Li</w:t>
            </w:r>
          </w:p>
        </w:tc>
      </w:tr>
      <w:tr>
        <w:trPr>
          <w:trHeight w:val="226"/>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Title:   Chairman of the Board of Directors and Chief Executive Officer</w:t>
            </w:r>
          </w:p>
        </w:tc>
      </w:tr>
      <w:tr>
        <w:trPr>
          <w:trHeight w:val="85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ind w:right="40" w:firstLine="622"/>
        <w:spacing w:after="0" w:line="261"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severally and not jointly, each of Bin Li and Yu Qu, with full power to act alone, as his or her true and lawful attorney-in-fact, with the power of 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each said attorney-in-fact full power and authority to do and perform each and every act and thing requisite and necessary to be done as fully to all intents and purposes as he or she might or could do in person, hereby ratifying and confirming all that each said attorney-in-fact may lawfully do or cause to be done by virtue hereof.</w:t>
      </w:r>
    </w:p>
    <w:p>
      <w:pPr>
        <w:spacing w:after="0" w:line="175" w:lineRule="exact"/>
        <w:rPr>
          <w:sz w:val="20"/>
          <w:szCs w:val="20"/>
          <w:color w:val="auto"/>
        </w:rPr>
      </w:pPr>
    </w:p>
    <w:p>
      <w:pPr>
        <w:ind w:right="520" w:firstLine="62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has been signed by the following persons in the capacities on March 10, 2026</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 w:type="dxa"/>
            <w:vAlign w:val="bottom"/>
          </w:tcPr>
          <w:p>
            <w:pPr>
              <w:spacing w:after="0"/>
              <w:rPr>
                <w:sz w:val="19"/>
                <w:szCs w:val="19"/>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80" w:type="dxa"/>
            <w:vAlign w:val="bottom"/>
          </w:tcPr>
          <w:p>
            <w:pPr>
              <w:spacing w:after="0"/>
              <w:rPr>
                <w:sz w:val="19"/>
                <w:szCs w:val="19"/>
                <w:color w:val="auto"/>
              </w:rPr>
            </w:pPr>
          </w:p>
        </w:tc>
        <w:tc>
          <w:tcPr>
            <w:tcW w:w="6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100" w:type="dxa"/>
            <w:vAlign w:val="bottom"/>
          </w:tcPr>
          <w:p>
            <w:pPr>
              <w:spacing w:after="0"/>
              <w:rPr>
                <w:sz w:val="24"/>
                <w:szCs w:val="24"/>
                <w:color w:val="auto"/>
              </w:rPr>
            </w:pP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/s/ Bin Li</w:t>
            </w:r>
          </w:p>
        </w:tc>
        <w:tc>
          <w:tcPr>
            <w:tcW w:w="180" w:type="dxa"/>
            <w:vAlign w:val="bottom"/>
          </w:tcPr>
          <w:p>
            <w:pPr>
              <w:spacing w:after="0"/>
              <w:rPr>
                <w:sz w:val="24"/>
                <w:szCs w:val="24"/>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Chairman of the Board of Directors and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3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Bin Li</w:t>
            </w:r>
          </w:p>
        </w:tc>
        <w:tc>
          <w:tcPr>
            <w:tcW w:w="180" w:type="dxa"/>
            <w:vAlign w:val="bottom"/>
          </w:tcPr>
          <w:p>
            <w:pPr>
              <w:spacing w:after="0"/>
              <w:rPr>
                <w:sz w:val="19"/>
                <w:szCs w:val="19"/>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0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Lihong Qin</w:t>
            </w:r>
          </w:p>
        </w:tc>
        <w:tc>
          <w:tcPr>
            <w:tcW w:w="180" w:type="dxa"/>
            <w:vAlign w:val="bottom"/>
          </w:tcPr>
          <w:p>
            <w:pPr>
              <w:spacing w:after="0"/>
              <w:rPr>
                <w:sz w:val="24"/>
                <w:szCs w:val="24"/>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 and President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Lihong Qin</w:t>
            </w:r>
          </w:p>
        </w:tc>
        <w:tc>
          <w:tcPr>
            <w:tcW w:w="1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0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Hai Wu</w:t>
            </w:r>
          </w:p>
        </w:tc>
        <w:tc>
          <w:tcPr>
            <w:tcW w:w="180" w:type="dxa"/>
            <w:vAlign w:val="bottom"/>
          </w:tcPr>
          <w:p>
            <w:pPr>
              <w:spacing w:after="0"/>
              <w:rPr>
                <w:sz w:val="24"/>
                <w:szCs w:val="24"/>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Independent Director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Hai Wu</w:t>
            </w:r>
          </w:p>
        </w:tc>
        <w:tc>
          <w:tcPr>
            <w:tcW w:w="1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0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Deny Ting Bun Lee</w:t>
            </w:r>
          </w:p>
        </w:tc>
        <w:tc>
          <w:tcPr>
            <w:tcW w:w="180" w:type="dxa"/>
            <w:vAlign w:val="bottom"/>
          </w:tcPr>
          <w:p>
            <w:pPr>
              <w:spacing w:after="0"/>
              <w:rPr>
                <w:sz w:val="24"/>
                <w:szCs w:val="24"/>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Independent Director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Denny Ting Bun Lee</w:t>
            </w:r>
          </w:p>
        </w:tc>
        <w:tc>
          <w:tcPr>
            <w:tcW w:w="1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0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Yu Long</w:t>
            </w:r>
          </w:p>
        </w:tc>
        <w:tc>
          <w:tcPr>
            <w:tcW w:w="180" w:type="dxa"/>
            <w:vAlign w:val="bottom"/>
          </w:tcPr>
          <w:p>
            <w:pPr>
              <w:spacing w:after="0"/>
              <w:rPr>
                <w:sz w:val="24"/>
                <w:szCs w:val="24"/>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Independent Director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Yu Long</w:t>
            </w:r>
          </w:p>
        </w:tc>
        <w:tc>
          <w:tcPr>
            <w:tcW w:w="1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0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Yonggang Wen</w:t>
            </w:r>
          </w:p>
        </w:tc>
        <w:tc>
          <w:tcPr>
            <w:tcW w:w="180" w:type="dxa"/>
            <w:vAlign w:val="bottom"/>
          </w:tcPr>
          <w:p>
            <w:pPr>
              <w:spacing w:after="0"/>
              <w:rPr>
                <w:sz w:val="24"/>
                <w:szCs w:val="24"/>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Independent Director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Yonggang Wen</w:t>
            </w:r>
          </w:p>
        </w:tc>
        <w:tc>
          <w:tcPr>
            <w:tcW w:w="1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0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Eddy Georges Skaf</w:t>
            </w:r>
          </w:p>
        </w:tc>
        <w:tc>
          <w:tcPr>
            <w:tcW w:w="180" w:type="dxa"/>
            <w:vAlign w:val="bottom"/>
          </w:tcPr>
          <w:p>
            <w:pPr>
              <w:spacing w:after="0"/>
              <w:rPr>
                <w:sz w:val="24"/>
                <w:szCs w:val="24"/>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Eddy Georges Skaf</w:t>
            </w:r>
          </w:p>
        </w:tc>
        <w:tc>
          <w:tcPr>
            <w:tcW w:w="1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0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Nicholas Paul Collins</w:t>
            </w:r>
          </w:p>
        </w:tc>
        <w:tc>
          <w:tcPr>
            <w:tcW w:w="180" w:type="dxa"/>
            <w:vAlign w:val="bottom"/>
          </w:tcPr>
          <w:p>
            <w:pPr>
              <w:spacing w:after="0"/>
              <w:rPr>
                <w:sz w:val="24"/>
                <w:szCs w:val="24"/>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Nicholas Paul Collins</w:t>
            </w:r>
          </w:p>
        </w:tc>
        <w:tc>
          <w:tcPr>
            <w:tcW w:w="1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0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/s/ Yu Qu</w:t>
            </w:r>
          </w:p>
        </w:tc>
        <w:tc>
          <w:tcPr>
            <w:tcW w:w="180" w:type="dxa"/>
            <w:vAlign w:val="bottom"/>
          </w:tcPr>
          <w:p>
            <w:pPr>
              <w:spacing w:after="0"/>
              <w:rPr>
                <w:sz w:val="24"/>
                <w:szCs w:val="24"/>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Yu Qu</w:t>
            </w:r>
          </w:p>
        </w:tc>
        <w:tc>
          <w:tcPr>
            <w:tcW w:w="180" w:type="dxa"/>
            <w:vAlign w:val="bottom"/>
          </w:tcPr>
          <w:p>
            <w:pPr>
              <w:spacing w:after="0"/>
              <w:rPr>
                <w:sz w:val="19"/>
                <w:szCs w:val="19"/>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1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0" w:right="339" w:bottom="1440" w:gutter="0" w:footer="0" w:header="0"/>
        </w:sectPr>
      </w:pPr>
    </w:p>
    <w:bookmarkStart w:id="7" w:name="page8"/>
    <w:bookmarkEnd w:id="7"/>
    <w:p>
      <w:pPr>
        <w:ind w:left="3320"/>
        <w:spacing w:after="0"/>
        <w:rPr>
          <w:sz w:val="20"/>
          <w:szCs w:val="20"/>
          <w:color w:val="auto"/>
        </w:rPr>
      </w:pPr>
      <w:r>
        <w:rPr>
          <w:rFonts w:ascii="Times New Roman" w:cs="Times New Roman" w:eastAsia="Times New Roman" w:hAnsi="Times New Roman"/>
          <w:sz w:val="17"/>
          <w:szCs w:val="17"/>
          <w:b w:val="1"/>
          <w:bCs w:val="1"/>
          <w:color w:val="auto"/>
        </w:rPr>
        <w:t>SIGNATURE OF AUTHORIZED REPRESENTATIVE IN THE UNITED STATES</w:t>
      </w:r>
    </w:p>
    <w:p>
      <w:pPr>
        <w:spacing w:after="0" w:line="221" w:lineRule="exact"/>
        <w:rPr>
          <w:sz w:val="20"/>
          <w:szCs w:val="20"/>
          <w:color w:val="auto"/>
        </w:rPr>
      </w:pPr>
    </w:p>
    <w:p>
      <w:pPr>
        <w:ind w:firstLine="622"/>
        <w:spacing w:after="0" w:line="291" w:lineRule="auto"/>
        <w:rPr>
          <w:sz w:val="20"/>
          <w:szCs w:val="20"/>
          <w:color w:val="auto"/>
        </w:rPr>
      </w:pPr>
      <w:r>
        <w:rPr>
          <w:rFonts w:ascii="Times New Roman" w:cs="Times New Roman" w:eastAsia="Times New Roman" w:hAnsi="Times New Roman"/>
          <w:sz w:val="17"/>
          <w:szCs w:val="17"/>
          <w:color w:val="auto"/>
        </w:rPr>
        <w:t>Pursuant to the Securities Act of 1933, as amended, the undersigned, the duly authorized representative in the United States of NIO Inc., has signed this registration statement or amendment thereto in New York, New York on March 10, 2026.</w:t>
      </w:r>
    </w:p>
    <w:p>
      <w:pPr>
        <w:spacing w:after="0" w:line="14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b w:val="1"/>
          <w:bCs w:val="1"/>
          <w:color w:val="auto"/>
        </w:rPr>
        <w:t>Authorized U.S. Representative</w:t>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b w:val="1"/>
          <w:bCs w:val="1"/>
          <w:color w:val="auto"/>
        </w:rPr>
        <w:t>Cogency Global Inc.</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19050</wp:posOffset>
            </wp:positionV>
            <wp:extent cx="32073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207385" cy="8255"/>
                    </a:xfrm>
                    <a:prstGeom prst="rect">
                      <a:avLst/>
                    </a:prstGeom>
                    <a:noFill/>
                  </pic:spPr>
                </pic:pic>
              </a:graphicData>
            </a:graphic>
          </wp:anchor>
        </w:drawing>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Colleen A. De Vries</w:t>
      </w:r>
    </w:p>
    <w:p>
      <w:pPr>
        <w:spacing w:after="0" w:line="3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418465</wp:posOffset>
            </wp:positionV>
            <wp:extent cx="7138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00"/>
          </w:cols>
          <w:pgMar w:left="320" w:top="870" w:right="4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161290</wp:posOffset>
            </wp:positionV>
            <wp:extent cx="789305" cy="748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89305"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color w:val="auto"/>
        </w:rPr>
        <w:t>Our ref</w:t>
      </w:r>
      <w:r>
        <w:rPr>
          <w:sz w:val="20"/>
          <w:szCs w:val="20"/>
          <w:color w:val="auto"/>
        </w:rPr>
        <w:tab/>
      </w:r>
      <w:r>
        <w:rPr>
          <w:rFonts w:ascii="Times New Roman" w:cs="Times New Roman" w:eastAsia="Times New Roman" w:hAnsi="Times New Roman"/>
          <w:sz w:val="17"/>
          <w:szCs w:val="17"/>
          <w:color w:val="auto"/>
        </w:rPr>
        <w:t>HXL/701714-000009/86038171v1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NIO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Building 19, No. 1355, Caobao Road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Minhang District, Shanghai</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NIO Inc. (the "Company")</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have acted as Cayman Islands legal counsel to the Company in connection with a registration statement on Form S-8 to be filed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on March 10, 2026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relating to the registration under the United States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of an aggregate of 248,454,460 class A ordinary shares, par value US$0.00025 per share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issuable by the Company pursuant to the Company's 2026 Share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For the purposes of giving this opinion, we have examined copies of the Registration Statement and the Plan. We have also reviewed copies of the thirteenth amended and restated memorandum and articles of association of the Company adopted by a special resolution passed on 25 August 2022 and effective on 25 August 2022 (the "</w:t>
      </w:r>
      <w:r>
        <w:rPr>
          <w:rFonts w:ascii="Times New Roman" w:cs="Times New Roman" w:eastAsia="Times New Roman" w:hAnsi="Times New Roman"/>
          <w:sz w:val="17"/>
          <w:szCs w:val="17"/>
          <w:b w:val="1"/>
          <w:bCs w:val="1"/>
          <w:color w:val="auto"/>
        </w:rPr>
        <w:t>Memorandum and Articles</w:t>
      </w:r>
      <w:r>
        <w:rPr>
          <w:rFonts w:ascii="Times New Roman" w:cs="Times New Roman" w:eastAsia="Times New Roman" w:hAnsi="Times New Roman"/>
          <w:sz w:val="17"/>
          <w:szCs w:val="17"/>
          <w:color w:val="auto"/>
        </w:rPr>
        <w:t>") and the minutes of the meeting (the "</w:t>
      </w:r>
      <w:r>
        <w:rPr>
          <w:rFonts w:ascii="Times New Roman" w:cs="Times New Roman" w:eastAsia="Times New Roman" w:hAnsi="Times New Roman"/>
          <w:sz w:val="17"/>
          <w:szCs w:val="17"/>
          <w:b w:val="1"/>
          <w:bCs w:val="1"/>
          <w:color w:val="auto"/>
        </w:rPr>
        <w:t>Meeting</w:t>
      </w:r>
      <w:r>
        <w:rPr>
          <w:rFonts w:ascii="Times New Roman" w:cs="Times New Roman" w:eastAsia="Times New Roman" w:hAnsi="Times New Roman"/>
          <w:sz w:val="17"/>
          <w:szCs w:val="17"/>
          <w:color w:val="auto"/>
        </w:rPr>
        <w:t>") of the board of directors of the Company held on March 6, 2026 (the "</w:t>
      </w:r>
      <w:r>
        <w:rPr>
          <w:rFonts w:ascii="Times New Roman" w:cs="Times New Roman" w:eastAsia="Times New Roman" w:hAnsi="Times New Roman"/>
          <w:sz w:val="17"/>
          <w:szCs w:val="17"/>
          <w:b w:val="1"/>
          <w:bCs w:val="1"/>
          <w:color w:val="auto"/>
        </w:rPr>
        <w:t>Minutes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Based upon, and subject to, the assumptions and qualifications set out below, and having regard to such legal considerations as we deem relevant, we are of the opinion that:</w:t>
      </w:r>
    </w:p>
    <w:p>
      <w:pPr>
        <w:spacing w:after="0" w:line="148" w:lineRule="exact"/>
        <w:rPr>
          <w:sz w:val="20"/>
          <w:szCs w:val="20"/>
          <w:color w:val="auto"/>
        </w:rPr>
      </w:pPr>
    </w:p>
    <w:p>
      <w:pPr>
        <w:ind w:left="620" w:hanging="61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to be issued by the Company and registered under the Registration Statement have been duly and validly authorized.</w:t>
      </w:r>
    </w:p>
    <w:p>
      <w:pPr>
        <w:spacing w:after="0" w:line="218" w:lineRule="exact"/>
        <w:rPr>
          <w:rFonts w:ascii="Times New Roman" w:cs="Times New Roman" w:eastAsia="Times New Roman" w:hAnsi="Times New Roman"/>
          <w:sz w:val="17"/>
          <w:szCs w:val="17"/>
          <w:color w:val="auto"/>
        </w:rPr>
      </w:pPr>
    </w:p>
    <w:p>
      <w:pPr>
        <w:ind w:left="620" w:hanging="616"/>
        <w:spacing w:after="0" w:line="291"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issued and paid for in accordance with the terms of the Plan and in accordance with the Resolutions, and when appropriate entries are made in the register of members (shareholders) of the Company, the Shares will be validly issued, fully paid and non-assessable.</w:t>
      </w:r>
    </w:p>
    <w:p>
      <w:pPr>
        <w:spacing w:after="0" w:line="1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this opinion letter, the phrase "non-assessable" means, with respect to the issuance of the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393700</wp:posOffset>
            </wp:positionV>
            <wp:extent cx="7138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9" w:name="page10"/>
    <w:bookmarkEnd w:id="9"/>
    <w:p>
      <w:pPr>
        <w:jc w:val="both"/>
        <w:spacing w:after="0" w:line="267" w:lineRule="auto"/>
        <w:rPr>
          <w:sz w:val="20"/>
          <w:szCs w:val="20"/>
          <w:color w:val="auto"/>
        </w:rPr>
      </w:pPr>
      <w:r>
        <w:rPr>
          <w:rFonts w:ascii="Times New Roman" w:cs="Times New Roman" w:eastAsia="Times New Roman" w:hAnsi="Times New Roman"/>
          <w:sz w:val="17"/>
          <w:szCs w:val="17"/>
          <w:color w:val="auto"/>
        </w:rPr>
        <w:t>These opinions are subject to the qualification that under the Companies Act (As Revised) of the Cayman Islands (the "</w:t>
      </w:r>
      <w:r>
        <w:rPr>
          <w:rFonts w:ascii="Times New Roman" w:cs="Times New Roman" w:eastAsia="Times New Roman" w:hAnsi="Times New Roman"/>
          <w:sz w:val="17"/>
          <w:szCs w:val="17"/>
          <w:b w:val="1"/>
          <w:bCs w:val="1"/>
          <w:color w:val="auto"/>
        </w:rPr>
        <w:t>Companies Act</w:t>
      </w:r>
      <w:r>
        <w:rPr>
          <w:rFonts w:ascii="Times New Roman" w:cs="Times New Roman" w:eastAsia="Times New Roman" w:hAnsi="Times New Roman"/>
          <w:sz w:val="17"/>
          <w:szCs w:val="17"/>
          <w:color w:val="auto"/>
        </w:rPr>
        <w:t xml:space="preserve">"), the register of members of a Cayman Islands company is by statute regarded as </w:t>
      </w:r>
      <w:r>
        <w:rPr>
          <w:rFonts w:ascii="Times New Roman" w:cs="Times New Roman" w:eastAsia="Times New Roman" w:hAnsi="Times New Roman"/>
          <w:sz w:val="17"/>
          <w:szCs w:val="17"/>
          <w:i w:val="1"/>
          <w:iCs w:val="1"/>
          <w:color w:val="auto"/>
        </w:rPr>
        <w:t>prima facie</w:t>
      </w:r>
      <w:r>
        <w:rPr>
          <w:rFonts w:ascii="Times New Roman" w:cs="Times New Roman" w:eastAsia="Times New Roman" w:hAnsi="Times New Roman"/>
          <w:sz w:val="17"/>
          <w:szCs w:val="17"/>
          <w:color w:val="auto"/>
        </w:rPr>
        <w:t xml:space="preserve"> evidence of any matters which the Companies Act (As Revised)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 (c) there is nothing contained in the minute book or corporate records of the Company (which we have not inspected) which would or might affect the opinions set out above, (d) the Memorandum and Articles remain in full force and effect and are unamended, (e) the Resolutions were duly passed in the manner prescribed in the memorandum and articles of association of the Company (including, without limitation, with respect to the disclosure of interests (if any) by directors of the Company) and have not been amended, varied or revoked in any respect, (f) there is nothing under any law (other than the laws of the Cayman Islands) which would or might affect the opinions set out above, (g) there is nothing under any law (other than the laws of the Cayman Islands) which would or might affect the opinions set out above, and (h) upon the issue of any Shares, the consideration received by the Company shall be not less than the par value of such Shares.</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faithfully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Maples and Calder (Hong Kong)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Maples and Calder (Hong Kong) LLP</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1380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S-8 of NIO Inc. of our report dated April 8, 2025 relating to the financial statements and the effectiveness of internal control over financial reporting, which appears in NIO Inc.’s Annual Report on Form 20-F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/s/PricewaterhouseCoopers Zhong Tian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Shanghai, the People’s Republic of China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418465</wp:posOffset>
            </wp:positionV>
            <wp:extent cx="71380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1" w:name="page12"/>
    <w:bookmarkEnd w:id="11"/>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NIO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Pr>
          <w:p>
            <w:pPr>
              <w:spacing w:after="0"/>
              <w:rPr>
                <w:sz w:val="24"/>
                <w:szCs w:val="24"/>
                <w:color w:val="auto"/>
              </w:rPr>
            </w:pPr>
          </w:p>
        </w:tc>
        <w:tc>
          <w:tcPr>
            <w:tcW w:w="1180" w:type="dxa"/>
            <w:vAlign w:val="bottom"/>
            <w:shd w:val="clear" w:color="auto" w:fill="9ADAF6"/>
          </w:tcPr>
          <w:p>
            <w:pPr>
              <w:jc w:val="right"/>
              <w:ind w:right="116"/>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4"/>
                <w:szCs w:val="24"/>
                <w:color w:val="auto"/>
              </w:rPr>
            </w:pPr>
          </w:p>
        </w:tc>
        <w:tc>
          <w:tcPr>
            <w:tcW w:w="16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Class</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40" w:type="dxa"/>
            <w:vAlign w:val="bottom"/>
          </w:tcPr>
          <w:p>
            <w:pPr>
              <w:spacing w:after="0"/>
              <w:rPr>
                <w:sz w:val="20"/>
                <w:szCs w:val="20"/>
                <w:color w:val="auto"/>
              </w:rPr>
            </w:pPr>
          </w:p>
        </w:tc>
        <w:tc>
          <w:tcPr>
            <w:tcW w:w="118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w:t>
            </w:r>
          </w:p>
        </w:tc>
        <w:tc>
          <w:tcPr>
            <w:tcW w:w="20" w:type="dxa"/>
            <w:vAlign w:val="bottom"/>
          </w:tcPr>
          <w:p>
            <w:pPr>
              <w:spacing w:after="0"/>
              <w:rPr>
                <w:sz w:val="20"/>
                <w:szCs w:val="20"/>
                <w:color w:val="auto"/>
              </w:rPr>
            </w:pPr>
          </w:p>
        </w:tc>
        <w:tc>
          <w:tcPr>
            <w:tcW w:w="16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40" w:type="dxa"/>
            <w:vAlign w:val="bottom"/>
          </w:tcPr>
          <w:p>
            <w:pPr>
              <w:spacing w:after="0"/>
              <w:rPr>
                <w:sz w:val="20"/>
                <w:szCs w:val="20"/>
                <w:color w:val="auto"/>
              </w:rPr>
            </w:pPr>
          </w:p>
        </w:tc>
        <w:tc>
          <w:tcPr>
            <w:tcW w:w="14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6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6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3"/>
                <w:szCs w:val="23"/>
                <w:color w:val="auto"/>
              </w:rPr>
            </w:pPr>
          </w:p>
        </w:tc>
        <w:tc>
          <w:tcPr>
            <w:tcW w:w="16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9ADAF6"/>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Class A</w:t>
            </w: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Ordinary</w:t>
            </w: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20" w:type="dxa"/>
            <w:vAlign w:val="bottom"/>
          </w:tcPr>
          <w:p>
            <w:pPr>
              <w:spacing w:after="0"/>
              <w:rPr>
                <w:sz w:val="20"/>
                <w:szCs w:val="2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Shares,</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457(a)</w:t>
            </w:r>
          </w:p>
        </w:tc>
        <w:tc>
          <w:tcPr>
            <w:tcW w:w="40" w:type="dxa"/>
            <w:vAlign w:val="bottom"/>
          </w:tcPr>
          <w:p>
            <w:pPr>
              <w:spacing w:after="0"/>
              <w:rPr>
                <w:sz w:val="20"/>
                <w:szCs w:val="20"/>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97"/>
              </w:rPr>
              <w:t>248,454,460</w:t>
            </w:r>
          </w:p>
        </w:tc>
        <w:tc>
          <w:tcPr>
            <w:tcW w:w="20" w:type="dxa"/>
            <w:vAlign w:val="bottom"/>
          </w:tcPr>
          <w:p>
            <w:pPr>
              <w:spacing w:after="0"/>
              <w:rPr>
                <w:sz w:val="20"/>
                <w:szCs w:val="20"/>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$ 4.72</w:t>
            </w:r>
          </w:p>
        </w:tc>
        <w:tc>
          <w:tcPr>
            <w:tcW w:w="20" w:type="dxa"/>
            <w:vAlign w:val="bottom"/>
          </w:tcPr>
          <w:p>
            <w:pPr>
              <w:spacing w:after="0"/>
              <w:rPr>
                <w:sz w:val="20"/>
                <w:szCs w:val="20"/>
                <w:color w:val="auto"/>
              </w:rPr>
            </w:pPr>
          </w:p>
        </w:tc>
        <w:tc>
          <w:tcPr>
            <w:tcW w:w="166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96"/>
              </w:rPr>
              <w:t>0.0001381</w:t>
            </w:r>
          </w:p>
        </w:tc>
        <w:tc>
          <w:tcPr>
            <w:tcW w:w="40" w:type="dxa"/>
            <w:vAlign w:val="bottom"/>
          </w:tcPr>
          <w:p>
            <w:pPr>
              <w:spacing w:after="0"/>
              <w:rPr>
                <w:sz w:val="20"/>
                <w:szCs w:val="20"/>
                <w:color w:val="auto"/>
              </w:rPr>
            </w:pPr>
          </w:p>
        </w:tc>
        <w:tc>
          <w:tcPr>
            <w:tcW w:w="14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$ 161,950.57</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w w:val="99"/>
              </w:rPr>
              <w:t>1,172,705,051.20</w:t>
            </w:r>
          </w:p>
        </w:tc>
        <w:tc>
          <w:tcPr>
            <w:tcW w:w="20" w:type="dxa"/>
            <w:vAlign w:val="bottom"/>
          </w:tcPr>
          <w:p>
            <w:pPr>
              <w:spacing w:after="0"/>
              <w:rPr>
                <w:sz w:val="20"/>
                <w:szCs w:val="20"/>
                <w:color w:val="auto"/>
              </w:rPr>
            </w:pPr>
          </w:p>
        </w:tc>
        <w:tc>
          <w:tcPr>
            <w:tcW w:w="100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vMerge w:val="continue"/>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$0.00025</w:t>
            </w: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6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$ 161,950.57</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21"/>
                <w:szCs w:val="21"/>
                <w:color w:val="auto"/>
              </w:rPr>
              <w:t>1,172,705,051.20</w:t>
            </w: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$ 161,950.57</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1</w:t>
      </w:r>
    </w:p>
    <w:p>
      <w:pPr>
        <w:spacing w:after="0" w:line="70" w:lineRule="exact"/>
        <w:rPr>
          <w:sz w:val="20"/>
          <w:szCs w:val="20"/>
          <w:color w:val="auto"/>
        </w:rPr>
      </w:pPr>
    </w:p>
    <w:p>
      <w:pPr>
        <w:ind w:left="820" w:right="720"/>
        <w:spacing w:after="0" w:line="242" w:lineRule="auto"/>
        <w:rPr>
          <w:sz w:val="20"/>
          <w:szCs w:val="20"/>
          <w:color w:val="auto"/>
        </w:rPr>
      </w:pPr>
      <w:r>
        <w:rPr>
          <w:rFonts w:ascii="Arial" w:cs="Arial" w:eastAsia="Arial" w:hAnsi="Arial"/>
          <w:sz w:val="21"/>
          <w:szCs w:val="21"/>
          <w:color w:val="auto"/>
        </w:rPr>
        <w:t>These shares may be represented by the Registrant's American depositary shares ("ADSs"), each of which represents one ordinary share. The Registrant's ADSs issuable upon deposit of the ordinary shares registered hereby have been registered under a separate registration statement on Form F-6 (333-227062).</w:t>
      </w:r>
    </w:p>
    <w:p>
      <w:pPr>
        <w:spacing w:after="0" w:line="192" w:lineRule="exact"/>
        <w:rPr>
          <w:sz w:val="20"/>
          <w:szCs w:val="20"/>
          <w:color w:val="auto"/>
        </w:rPr>
      </w:pPr>
    </w:p>
    <w:p>
      <w:pPr>
        <w:ind w:left="820" w:right="720"/>
        <w:spacing w:after="0" w:line="239" w:lineRule="auto"/>
        <w:rPr>
          <w:sz w:val="20"/>
          <w:szCs w:val="20"/>
          <w:color w:val="auto"/>
        </w:rPr>
      </w:pPr>
      <w:r>
        <w:rPr>
          <w:rFonts w:ascii="Arial" w:cs="Arial" w:eastAsia="Arial" w:hAnsi="Arial"/>
          <w:sz w:val="21"/>
          <w:szCs w:val="21"/>
          <w:color w:val="auto"/>
        </w:rPr>
        <w:t>Represents Class A ordinary shares issuable pursuant to awards under the 2026 Share Incentive Plan (the "2026 Plan"). Pursuant to Rule 416(a) under the Securities Act of 1933, as amended (the "Securities Act"), this registration statement also covers an indeterminate number of additional shares which may be offered and issued to prevent dilution from share splits, share dividends or similar transactions as provided in the 2026 Plan.</w:t>
      </w:r>
    </w:p>
    <w:p>
      <w:pPr>
        <w:spacing w:after="0" w:line="196" w:lineRule="exact"/>
        <w:rPr>
          <w:sz w:val="20"/>
          <w:szCs w:val="20"/>
          <w:color w:val="auto"/>
        </w:rPr>
      </w:pPr>
    </w:p>
    <w:p>
      <w:pPr>
        <w:ind w:left="820" w:right="940"/>
        <w:spacing w:after="0" w:line="239" w:lineRule="auto"/>
        <w:rPr>
          <w:sz w:val="20"/>
          <w:szCs w:val="20"/>
          <w:color w:val="auto"/>
        </w:rPr>
      </w:pPr>
      <w:r>
        <w:rPr>
          <w:rFonts w:ascii="Arial" w:cs="Arial" w:eastAsia="Arial" w:hAnsi="Arial"/>
          <w:sz w:val="21"/>
          <w:szCs w:val="21"/>
          <w:color w:val="auto"/>
        </w:rPr>
        <w:t>Represents Class A ordinary shares that are reserved for future award grants under the 2026 Plan. The proposed maximum offering price per share, which is estimated solely for the purposes of calculating the registration fee under Rule 457(c) and Rule 457(h) under the Securities Act, is based on $4.72 per ADS, the average of the high and low prices for the Registrant's ADSs as quoted on the NYSE on 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227330</wp:posOffset>
            </wp:positionV>
            <wp:extent cx="6398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41" w:right="239" w:bottom="81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jpe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15" Type="http://schemas.openxmlformats.org/officeDocument/2006/relationships/hyperlink" Target="https://www.sec.gov/ix?doc=/Archives/edgar/data/1736541/000141057825000661/nio-20241231x20f.htm" TargetMode="External"/><Relationship Id="rId16" Type="http://schemas.openxmlformats.org/officeDocument/2006/relationships/hyperlink" Target="https://www.sec.gov/Archives/edgar/data/1736541/000119312518260361/d614798d8a12b.htm" TargetMode="External"/><Relationship Id="rId20" Type="http://schemas.openxmlformats.org/officeDocument/2006/relationships/hyperlink" Target="http://www.sec.gov/Archives/edgar/data/1736541/000110465922094174/tm2224340d1_ex3-1.htm" TargetMode="External"/><Relationship Id="rId21" Type="http://schemas.openxmlformats.org/officeDocument/2006/relationships/hyperlink" Target="http://www.sec.gov/Archives/edgar/data/1736541/000119312518260341/d560276dex42.htm" TargetMode="External"/><Relationship Id="rId22" Type="http://schemas.openxmlformats.org/officeDocument/2006/relationships/hyperlink" Target="http://www.sec.gov/Archives/edgar/data/1736541/000114420419011140/tv514874_ex4-3.htm" TargetMode="External"/><Relationship Id="rId23" Type="http://schemas.openxmlformats.org/officeDocument/2006/relationships/hyperlink" Target="https://www.sec.gov/Archives/edgar/data/1736541/000110465926025483/tm268327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2026-03-10T05:56:59Z</dcterms:created>
  <dcterms:modified xsi:type="dcterms:W3CDTF">2026-03-10T05:56:59Z</dcterms:modified>
</cp:coreProperties>
</file>