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0002113252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1"/>
        <w:gridCol w:w="3634"/>
      </w:tblGrid>
      <w:tr>
        <w:trPr/>
        <w:tc>
          <w:tcPr>
            <w:tcW w:w="6571" w:type="dxa"/>
            <w:tcBorders/>
            <w:vAlign w:val="center"/>
          </w:tcPr>
          <w:p>
            <w:pPr>
              <w:pStyle w:val="TableContents"/>
              <w:bidi w:val="0"/>
              <w:spacing w:before="0" w:after="283"/>
              <w:jc w:val="left"/>
              <w:rPr/>
            </w:pPr>
            <w:r>
              <w:rPr/>
              <w:t>Name of Issuer</w:t>
            </w:r>
          </w:p>
        </w:tc>
        <w:tc>
          <w:tcPr>
            <w:tcW w:w="3634" w:type="dxa"/>
            <w:tcBorders/>
            <w:vAlign w:val="center"/>
          </w:tcPr>
          <w:p>
            <w:pPr>
              <w:pStyle w:val="TableContents"/>
              <w:bidi w:val="0"/>
              <w:spacing w:before="0" w:after="0"/>
              <w:jc w:val="left"/>
              <w:rPr/>
            </w:pPr>
            <w:r>
              <w:rPr/>
              <w:t>NIO Inc.</w:t>
            </w:r>
          </w:p>
        </w:tc>
      </w:tr>
      <w:tr>
        <w:trPr/>
        <w:tc>
          <w:tcPr>
            <w:tcW w:w="6571" w:type="dxa"/>
            <w:tcBorders/>
            <w:vAlign w:val="center"/>
          </w:tcPr>
          <w:p>
            <w:pPr>
              <w:pStyle w:val="TableContents"/>
              <w:bidi w:val="0"/>
              <w:spacing w:before="0" w:after="283"/>
              <w:jc w:val="left"/>
              <w:rPr/>
            </w:pPr>
            <w:r>
              <w:rPr/>
              <w:t>SEC File Number</w:t>
            </w:r>
          </w:p>
        </w:tc>
        <w:tc>
          <w:tcPr>
            <w:tcW w:w="3634" w:type="dxa"/>
            <w:tcBorders/>
            <w:vAlign w:val="center"/>
          </w:tcPr>
          <w:p>
            <w:pPr>
              <w:pStyle w:val="TableContents"/>
              <w:bidi w:val="0"/>
              <w:spacing w:before="0" w:after="0"/>
              <w:jc w:val="left"/>
              <w:rPr/>
            </w:pPr>
            <w:r>
              <w:rPr/>
              <w:t>001-38638</w:t>
            </w:r>
          </w:p>
        </w:tc>
      </w:tr>
      <w:tr>
        <w:trPr/>
        <w:tc>
          <w:tcPr>
            <w:tcW w:w="6571" w:type="dxa"/>
            <w:tcBorders/>
            <w:vAlign w:val="center"/>
          </w:tcPr>
          <w:p>
            <w:pPr>
              <w:pStyle w:val="TableContents"/>
              <w:bidi w:val="0"/>
              <w:spacing w:before="0" w:after="283"/>
              <w:jc w:val="left"/>
              <w:rPr/>
            </w:pPr>
            <w:r>
              <w:rPr/>
              <w:t>Address of Issuer</w:t>
            </w:r>
          </w:p>
        </w:tc>
        <w:tc>
          <w:tcPr>
            <w:tcW w:w="3634" w:type="dxa"/>
            <w:tcBorders/>
            <w:vAlign w:val="center"/>
          </w:tcPr>
          <w:p>
            <w:pPr>
              <w:pStyle w:val="TableContents"/>
              <w:bidi w:val="0"/>
              <w:spacing w:before="0" w:after="0"/>
              <w:jc w:val="left"/>
              <w:rPr/>
            </w:pPr>
            <w:r>
              <w:rPr/>
              <w:t>Building 19, No. 1355</w:t>
              <w:br/>
              <w:t>Caobao Road, Minhang District</w:t>
              <w:br/>
              <w:t>Shanghai</w:t>
              <w:br/>
              <w:t xml:space="preserve">CHINA </w:t>
              <w:br/>
              <w:t>200233</w:t>
            </w:r>
          </w:p>
        </w:tc>
      </w:tr>
      <w:tr>
        <w:trPr/>
        <w:tc>
          <w:tcPr>
            <w:tcW w:w="6571" w:type="dxa"/>
            <w:tcBorders/>
            <w:vAlign w:val="center"/>
          </w:tcPr>
          <w:p>
            <w:pPr>
              <w:pStyle w:val="TableContents"/>
              <w:bidi w:val="0"/>
              <w:spacing w:before="0" w:after="283"/>
              <w:jc w:val="left"/>
              <w:rPr/>
            </w:pPr>
            <w:r>
              <w:rPr/>
              <w:t>Phone</w:t>
            </w:r>
          </w:p>
        </w:tc>
        <w:tc>
          <w:tcPr>
            <w:tcW w:w="3634" w:type="dxa"/>
            <w:tcBorders/>
            <w:vAlign w:val="center"/>
          </w:tcPr>
          <w:p>
            <w:pPr>
              <w:pStyle w:val="TableContents"/>
              <w:bidi w:val="0"/>
              <w:spacing w:before="0" w:after="0"/>
              <w:jc w:val="left"/>
              <w:rPr/>
            </w:pPr>
            <w:r>
              <w:rPr/>
              <w:t>86-21-69082018</w:t>
            </w:r>
          </w:p>
        </w:tc>
      </w:tr>
      <w:tr>
        <w:trPr/>
        <w:tc>
          <w:tcPr>
            <w:tcW w:w="6571" w:type="dxa"/>
            <w:tcBorders/>
            <w:vAlign w:val="center"/>
          </w:tcPr>
          <w:p>
            <w:pPr>
              <w:pStyle w:val="TableContents"/>
              <w:bidi w:val="0"/>
              <w:spacing w:before="0" w:after="283"/>
              <w:jc w:val="left"/>
              <w:rPr/>
            </w:pPr>
            <w:r>
              <w:rPr/>
              <w:t>Name of Person for Whose Account the Securities are To Be Sold</w:t>
            </w:r>
          </w:p>
        </w:tc>
        <w:tc>
          <w:tcPr>
            <w:tcW w:w="3634" w:type="dxa"/>
            <w:tcBorders/>
            <w:vAlign w:val="center"/>
          </w:tcPr>
          <w:p>
            <w:pPr>
              <w:pStyle w:val="TableContents"/>
              <w:bidi w:val="0"/>
              <w:spacing w:before="0" w:after="0"/>
              <w:jc w:val="left"/>
              <w:rPr/>
            </w:pPr>
            <w:r>
              <w:rPr/>
              <w:t>Yu Qu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1" w:type="dxa"/>
            <w:tcBorders/>
            <w:vAlign w:val="center"/>
          </w:tcPr>
          <w:p>
            <w:pPr>
              <w:pStyle w:val="TableContents"/>
              <w:bidi w:val="0"/>
              <w:spacing w:before="0" w:after="283"/>
              <w:jc w:val="left"/>
              <w:rPr/>
            </w:pPr>
            <w:r>
              <w:rPr/>
              <w:t>Relationship to Issuer</w:t>
            </w:r>
          </w:p>
        </w:tc>
        <w:tc>
          <w:tcPr>
            <w:tcW w:w="36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28"/>
        <w:gridCol w:w="1477"/>
        <w:gridCol w:w="1159"/>
        <w:gridCol w:w="1366"/>
        <w:gridCol w:w="1543"/>
        <w:gridCol w:w="1561"/>
        <w:gridCol w:w="1371"/>
      </w:tblGrid>
      <w:tr>
        <w:trPr/>
        <w:tc>
          <w:tcPr>
            <w:tcW w:w="1728" w:type="dxa"/>
            <w:tcBorders/>
            <w:vAlign w:val="center"/>
          </w:tcPr>
          <w:p>
            <w:pPr>
              <w:pStyle w:val="TableHeading"/>
              <w:suppressLineNumbers/>
              <w:bidi w:val="0"/>
              <w:spacing w:before="0" w:after="283"/>
              <w:jc w:val="center"/>
              <w:rPr/>
            </w:pPr>
            <w:r>
              <w:rPr/>
              <w:t>Title of the Class of Securities To Be Sold</w:t>
            </w:r>
          </w:p>
        </w:tc>
        <w:tc>
          <w:tcPr>
            <w:tcW w:w="1477"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366" w:type="dxa"/>
            <w:tcBorders/>
            <w:vAlign w:val="center"/>
          </w:tcPr>
          <w:p>
            <w:pPr>
              <w:pStyle w:val="TableHeading"/>
              <w:suppressLineNumbers/>
              <w:bidi w:val="0"/>
              <w:spacing w:before="0" w:after="283"/>
              <w:jc w:val="center"/>
              <w:rPr/>
            </w:pPr>
            <w:r>
              <w:rPr/>
              <w:t>Aggregate Market Value</w:t>
            </w:r>
          </w:p>
        </w:tc>
        <w:tc>
          <w:tcPr>
            <w:tcW w:w="1543"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728" w:type="dxa"/>
            <w:tcBorders/>
            <w:vAlign w:val="center"/>
          </w:tcPr>
          <w:p>
            <w:pPr>
              <w:pStyle w:val="TableContents"/>
              <w:bidi w:val="0"/>
              <w:spacing w:before="0" w:after="283"/>
              <w:jc w:val="left"/>
              <w:rPr/>
            </w:pPr>
            <w:r>
              <w:rPr/>
              <w:t>American depositary shares (each representing one Class A ordinary share)</w:t>
            </w:r>
          </w:p>
        </w:tc>
        <w:tc>
          <w:tcPr>
            <w:tcW w:w="1477" w:type="dxa"/>
            <w:tcBorders/>
            <w:vAlign w:val="center"/>
          </w:tcPr>
          <w:p>
            <w:pPr>
              <w:pStyle w:val="TableContents"/>
              <w:bidi w:val="0"/>
              <w:spacing w:before="0" w:after="0"/>
              <w:jc w:val="left"/>
              <w:rPr/>
            </w:pPr>
            <w:r>
              <w:rPr/>
              <w:t>The Core Securities Company Limited</w:t>
              <w:br/>
              <w:t>Suite C, 20/F, Standard Chartered Bank</w:t>
              <w:br/>
              <w:t>Building 4-4A Des Voeux Road Central</w:t>
              <w:br/>
              <w:t>Central   K3   999077</w:t>
            </w:r>
          </w:p>
        </w:tc>
        <w:tc>
          <w:tcPr>
            <w:tcW w:w="1159" w:type="dxa"/>
            <w:tcBorders/>
            <w:vAlign w:val="center"/>
          </w:tcPr>
          <w:p>
            <w:pPr>
              <w:pStyle w:val="TableContents"/>
              <w:bidi w:val="0"/>
              <w:spacing w:before="0" w:after="283"/>
              <w:jc w:val="left"/>
              <w:rPr/>
            </w:pPr>
            <w:r>
              <w:rPr/>
              <w:t>122500</w:t>
            </w:r>
          </w:p>
        </w:tc>
        <w:tc>
          <w:tcPr>
            <w:tcW w:w="1366" w:type="dxa"/>
            <w:tcBorders/>
            <w:vAlign w:val="center"/>
          </w:tcPr>
          <w:p>
            <w:pPr>
              <w:pStyle w:val="TableContents"/>
              <w:bidi w:val="0"/>
              <w:spacing w:before="0" w:after="283"/>
              <w:jc w:val="left"/>
              <w:rPr/>
            </w:pPr>
            <w:r>
              <w:rPr/>
              <w:t>518175.00</w:t>
            </w:r>
          </w:p>
        </w:tc>
        <w:tc>
          <w:tcPr>
            <w:tcW w:w="1543" w:type="dxa"/>
            <w:tcBorders/>
            <w:vAlign w:val="center"/>
          </w:tcPr>
          <w:p>
            <w:pPr>
              <w:pStyle w:val="TableContents"/>
              <w:bidi w:val="0"/>
              <w:spacing w:before="0" w:after="283"/>
              <w:jc w:val="left"/>
              <w:rPr/>
            </w:pPr>
            <w:r>
              <w:rPr/>
              <w:t>2357167022</w:t>
            </w:r>
          </w:p>
        </w:tc>
        <w:tc>
          <w:tcPr>
            <w:tcW w:w="1561" w:type="dxa"/>
            <w:tcBorders/>
            <w:vAlign w:val="center"/>
          </w:tcPr>
          <w:p>
            <w:pPr>
              <w:pStyle w:val="TableContents"/>
              <w:bidi w:val="0"/>
              <w:spacing w:before="0" w:after="283"/>
              <w:jc w:val="left"/>
              <w:rPr/>
            </w:pPr>
            <w:r>
              <w:rPr/>
              <w:t>09/01/2026</w:t>
            </w:r>
          </w:p>
        </w:tc>
        <w:tc>
          <w:tcPr>
            <w:tcW w:w="137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3"/>
        <w:gridCol w:w="1121"/>
        <w:gridCol w:w="1460"/>
        <w:gridCol w:w="1177"/>
        <w:gridCol w:w="524"/>
        <w:gridCol w:w="1121"/>
        <w:gridCol w:w="1173"/>
        <w:gridCol w:w="1062"/>
        <w:gridCol w:w="1184"/>
      </w:tblGrid>
      <w:tr>
        <w:trPr/>
        <w:tc>
          <w:tcPr>
            <w:tcW w:w="1383"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0" w:type="dxa"/>
            <w:tcBorders/>
            <w:vAlign w:val="center"/>
          </w:tcPr>
          <w:p>
            <w:pPr>
              <w:pStyle w:val="TableHeading"/>
              <w:suppressLineNumbers/>
              <w:bidi w:val="0"/>
              <w:spacing w:before="0" w:after="283"/>
              <w:jc w:val="center"/>
              <w:rPr/>
            </w:pPr>
            <w:r>
              <w:rPr/>
              <w:t>Nature of Acquisition Transaction</w:t>
            </w:r>
          </w:p>
        </w:tc>
        <w:tc>
          <w:tcPr>
            <w:tcW w:w="1177"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1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3" w:type="dxa"/>
            <w:tcBorders/>
            <w:vAlign w:val="center"/>
          </w:tcPr>
          <w:p>
            <w:pPr>
              <w:pStyle w:val="TableContents"/>
              <w:bidi w:val="0"/>
              <w:spacing w:before="0" w:after="283"/>
              <w:jc w:val="left"/>
              <w:rPr/>
            </w:pPr>
            <w:r>
              <w:rPr/>
              <w:t>American depositary shares (each representing one Class A ordinary share)</w:t>
            </w:r>
          </w:p>
        </w:tc>
        <w:tc>
          <w:tcPr>
            <w:tcW w:w="1121" w:type="dxa"/>
            <w:tcBorders/>
            <w:vAlign w:val="center"/>
          </w:tcPr>
          <w:p>
            <w:pPr>
              <w:pStyle w:val="TableContents"/>
              <w:bidi w:val="0"/>
              <w:spacing w:before="0" w:after="283"/>
              <w:jc w:val="left"/>
              <w:rPr/>
            </w:pPr>
            <w:r>
              <w:rPr/>
              <w:t>09/01/2026</w:t>
            </w:r>
          </w:p>
        </w:tc>
        <w:tc>
          <w:tcPr>
            <w:tcW w:w="1460" w:type="dxa"/>
            <w:tcBorders/>
            <w:vAlign w:val="center"/>
          </w:tcPr>
          <w:p>
            <w:pPr>
              <w:pStyle w:val="TableContents"/>
              <w:bidi w:val="0"/>
              <w:spacing w:before="0" w:after="283"/>
              <w:jc w:val="left"/>
              <w:rPr/>
            </w:pPr>
            <w:r>
              <w:rPr/>
              <w:t>Vesting of restricted share units granted pursuant to the Issuer's share incentive plan</w:t>
            </w:r>
          </w:p>
        </w:tc>
        <w:tc>
          <w:tcPr>
            <w:tcW w:w="1177" w:type="dxa"/>
            <w:tcBorders/>
            <w:vAlign w:val="center"/>
          </w:tcPr>
          <w:p>
            <w:pPr>
              <w:pStyle w:val="TableContents"/>
              <w:bidi w:val="0"/>
              <w:spacing w:before="0" w:after="283"/>
              <w:jc w:val="left"/>
              <w:rPr/>
            </w:pPr>
            <w:r>
              <w:rPr/>
              <w:t>NIO Inc.</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122500</w:t>
            </w:r>
          </w:p>
        </w:tc>
        <w:tc>
          <w:tcPr>
            <w:tcW w:w="1062" w:type="dxa"/>
            <w:tcBorders/>
            <w:vAlign w:val="center"/>
          </w:tcPr>
          <w:p>
            <w:pPr>
              <w:pStyle w:val="TableContents"/>
              <w:bidi w:val="0"/>
              <w:spacing w:before="0" w:after="283"/>
              <w:jc w:val="left"/>
              <w:rPr/>
            </w:pPr>
            <w:r>
              <w:rPr/>
              <w:t>09/01/2026</w:t>
            </w:r>
          </w:p>
        </w:tc>
        <w:tc>
          <w:tcPr>
            <w:tcW w:w="1184" w:type="dxa"/>
            <w:tcBorders/>
            <w:vAlign w:val="center"/>
          </w:tcPr>
          <w:p>
            <w:pPr>
              <w:pStyle w:val="TableContents"/>
              <w:bidi w:val="0"/>
              <w:spacing w:before="0" w:after="283"/>
              <w:jc w:val="left"/>
              <w:rPr/>
            </w:pPr>
            <w:r>
              <w:rPr/>
              <w:t>Vesting of restricted share units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798"/>
        <w:gridCol w:w="3012"/>
        <w:gridCol w:w="965"/>
        <w:gridCol w:w="1617"/>
        <w:gridCol w:w="1813"/>
      </w:tblGrid>
      <w:tr>
        <w:trPr/>
        <w:tc>
          <w:tcPr>
            <w:tcW w:w="2798" w:type="dxa"/>
            <w:tcBorders/>
            <w:vAlign w:val="center"/>
          </w:tcPr>
          <w:p>
            <w:pPr>
              <w:pStyle w:val="TableHeading"/>
              <w:suppressLineNumbers/>
              <w:bidi w:val="0"/>
              <w:spacing w:before="0" w:after="283"/>
              <w:jc w:val="center"/>
              <w:rPr/>
            </w:pPr>
            <w:r>
              <w:rPr/>
              <w:t>Name and Address of Seller</w:t>
            </w:r>
          </w:p>
        </w:tc>
        <w:tc>
          <w:tcPr>
            <w:tcW w:w="3012" w:type="dxa"/>
            <w:tcBorders/>
            <w:vAlign w:val="center"/>
          </w:tcPr>
          <w:p>
            <w:pPr>
              <w:pStyle w:val="TableHeading"/>
              <w:suppressLineNumbers/>
              <w:bidi w:val="0"/>
              <w:spacing w:before="0" w:after="283"/>
              <w:jc w:val="center"/>
              <w:rPr/>
            </w:pPr>
            <w:r>
              <w:rPr/>
              <w:t>Title of Securities Sold</w:t>
            </w:r>
          </w:p>
        </w:tc>
        <w:tc>
          <w:tcPr>
            <w:tcW w:w="965" w:type="dxa"/>
            <w:tcBorders/>
            <w:vAlign w:val="center"/>
          </w:tcPr>
          <w:p>
            <w:pPr>
              <w:pStyle w:val="TableHeading"/>
              <w:suppressLineNumbers/>
              <w:bidi w:val="0"/>
              <w:spacing w:before="0" w:after="283"/>
              <w:jc w:val="center"/>
              <w:rPr/>
            </w:pPr>
            <w:r>
              <w:rPr/>
              <w:t>Date of Sale</w:t>
            </w:r>
          </w:p>
        </w:tc>
        <w:tc>
          <w:tcPr>
            <w:tcW w:w="1617" w:type="dxa"/>
            <w:tcBorders/>
            <w:vAlign w:val="center"/>
          </w:tcPr>
          <w:p>
            <w:pPr>
              <w:pStyle w:val="TableHeading"/>
              <w:suppressLineNumbers/>
              <w:bidi w:val="0"/>
              <w:spacing w:before="0" w:after="283"/>
              <w:jc w:val="center"/>
              <w:rPr/>
            </w:pPr>
            <w:r>
              <w:rPr/>
              <w:t>Amount of Securities Sold</w:t>
            </w:r>
          </w:p>
        </w:tc>
        <w:tc>
          <w:tcPr>
            <w:tcW w:w="1813" w:type="dxa"/>
            <w:tcBorders/>
            <w:vAlign w:val="center"/>
          </w:tcPr>
          <w:p>
            <w:pPr>
              <w:pStyle w:val="TableHeading"/>
              <w:suppressLineNumbers/>
              <w:bidi w:val="0"/>
              <w:spacing w:before="0" w:after="283"/>
              <w:jc w:val="center"/>
              <w:rPr/>
            </w:pPr>
            <w:r>
              <w:rPr/>
              <w:t>Gross Proceeds</w:t>
            </w:r>
          </w:p>
        </w:tc>
      </w:tr>
      <w:tr>
        <w:trPr/>
        <w:tc>
          <w:tcPr>
            <w:tcW w:w="2798" w:type="dxa"/>
            <w:tcBorders/>
            <w:vAlign w:val="center"/>
          </w:tcPr>
          <w:p>
            <w:pPr>
              <w:pStyle w:val="TableContents"/>
              <w:bidi w:val="0"/>
              <w:spacing w:before="0" w:after="283"/>
              <w:jc w:val="left"/>
              <w:rPr/>
            </w:pPr>
            <w:r>
              <w:rPr/>
              <w:t>Yu Qu</w:t>
              <w:br/>
              <w:t>Building 19, No. 1355</w:t>
              <w:br/>
              <w:t>Caobao Road, Minhang District</w:t>
              <w:br/>
              <w:t>Shanghai   F4   200233</w:t>
            </w:r>
          </w:p>
        </w:tc>
        <w:tc>
          <w:tcPr>
            <w:tcW w:w="3012" w:type="dxa"/>
            <w:tcBorders/>
            <w:vAlign w:val="center"/>
          </w:tcPr>
          <w:p>
            <w:pPr>
              <w:pStyle w:val="TableContents"/>
              <w:bidi w:val="0"/>
              <w:spacing w:before="0" w:after="283"/>
              <w:jc w:val="left"/>
              <w:rPr/>
            </w:pPr>
            <w:r>
              <w:rPr/>
              <w:t>American depositary shares (each representing one Class A ordinary share) sold to cover tax only, as reported on June 1, 2026</w:t>
            </w:r>
          </w:p>
        </w:tc>
        <w:tc>
          <w:tcPr>
            <w:tcW w:w="965" w:type="dxa"/>
            <w:tcBorders/>
            <w:vAlign w:val="center"/>
          </w:tcPr>
          <w:p>
            <w:pPr>
              <w:pStyle w:val="TableContents"/>
              <w:bidi w:val="0"/>
              <w:spacing w:before="0" w:after="283"/>
              <w:jc w:val="left"/>
              <w:rPr/>
            </w:pPr>
            <w:r>
              <w:rPr/>
              <w:t>06/08/2026</w:t>
            </w:r>
          </w:p>
        </w:tc>
        <w:tc>
          <w:tcPr>
            <w:tcW w:w="1617" w:type="dxa"/>
            <w:tcBorders/>
            <w:vAlign w:val="center"/>
          </w:tcPr>
          <w:p>
            <w:pPr>
              <w:pStyle w:val="TableContents"/>
              <w:bidi w:val="0"/>
              <w:spacing w:before="0" w:after="283"/>
              <w:jc w:val="left"/>
              <w:rPr/>
            </w:pPr>
            <w:r>
              <w:rPr/>
              <w:t>100000</w:t>
            </w:r>
          </w:p>
        </w:tc>
        <w:tc>
          <w:tcPr>
            <w:tcW w:w="1813" w:type="dxa"/>
            <w:tcBorders/>
            <w:vAlign w:val="center"/>
          </w:tcPr>
          <w:p>
            <w:pPr>
              <w:pStyle w:val="TableContents"/>
              <w:bidi w:val="0"/>
              <w:spacing w:before="0" w:after="283"/>
              <w:jc w:val="left"/>
              <w:rPr/>
            </w:pPr>
            <w:r>
              <w:rPr/>
              <w:t>551986.93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66"/>
        <w:gridCol w:w="8939"/>
      </w:tblGrid>
      <w:tr>
        <w:trPr/>
        <w:tc>
          <w:tcPr>
            <w:tcW w:w="1266" w:type="dxa"/>
            <w:tcBorders/>
            <w:vAlign w:val="center"/>
          </w:tcPr>
          <w:p>
            <w:pPr>
              <w:pStyle w:val="TableContents"/>
              <w:bidi w:val="0"/>
              <w:spacing w:before="0" w:after="283"/>
              <w:jc w:val="left"/>
              <w:rPr/>
            </w:pPr>
            <w:r>
              <w:rPr/>
              <w:t>Remarks</w:t>
            </w:r>
          </w:p>
        </w:tc>
        <w:tc>
          <w:tcPr>
            <w:tcW w:w="8939" w:type="dxa"/>
            <w:tcBorders/>
            <w:vAlign w:val="center"/>
          </w:tcPr>
          <w:p>
            <w:pPr>
              <w:pStyle w:val="TableContents"/>
              <w:bidi w:val="0"/>
              <w:spacing w:before="0" w:after="0"/>
              <w:jc w:val="left"/>
              <w:rPr/>
            </w:pPr>
            <w:r>
              <w:rPr/>
              <w:t>The securities set forth herein are being sold pursuant to a non-discretionary sell-to-cover arrangement for the purpose of satisfying income tax liabilities incurred upon vesting of restricted share units only. The securities covered by this filing will be sold today or within three months from the date of this filing.</w:t>
            </w:r>
          </w:p>
        </w:tc>
      </w:tr>
      <w:tr>
        <w:trPr/>
        <w:tc>
          <w:tcPr>
            <w:tcW w:w="1266" w:type="dxa"/>
            <w:tcBorders/>
            <w:vAlign w:val="center"/>
          </w:tcPr>
          <w:p>
            <w:pPr>
              <w:pStyle w:val="TableContents"/>
              <w:bidi w:val="0"/>
              <w:spacing w:before="0" w:after="283"/>
              <w:jc w:val="left"/>
              <w:rPr/>
            </w:pPr>
            <w:r>
              <w:rPr/>
              <w:t>Date of Notice</w:t>
            </w:r>
          </w:p>
        </w:tc>
        <w:tc>
          <w:tcPr>
            <w:tcW w:w="8939"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66" w:type="dxa"/>
            <w:tcBorders/>
            <w:vAlign w:val="center"/>
          </w:tcPr>
          <w:p>
            <w:pPr>
              <w:pStyle w:val="TableContents"/>
              <w:bidi w:val="0"/>
              <w:spacing w:before="0" w:after="283"/>
              <w:jc w:val="left"/>
              <w:rPr/>
            </w:pPr>
            <w:r>
              <w:rPr/>
              <w:t>Signature</w:t>
            </w:r>
          </w:p>
        </w:tc>
        <w:tc>
          <w:tcPr>
            <w:tcW w:w="8939" w:type="dxa"/>
            <w:tcBorders/>
            <w:vAlign w:val="center"/>
          </w:tcPr>
          <w:p>
            <w:pPr>
              <w:pStyle w:val="TableContents"/>
              <w:bidi w:val="0"/>
              <w:spacing w:before="0" w:after="0"/>
              <w:jc w:val="left"/>
              <w:rPr/>
            </w:pPr>
            <w:r>
              <w:rPr/>
              <w:t>/s/ Eve Tang, Attorney-in-Fact for Yu Qu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3688</Characters>
  <CharactersWithSpaces>4349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