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0630" cy="317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396875</wp:posOffset>
            </wp:positionV>
            <wp:extent cx="63106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5" w:lineRule="exact"/>
        <w:rPr>
          <w:sz w:val="24"/>
          <w:szCs w:val="24"/>
          <w:color w:val="auto"/>
        </w:rPr>
      </w:pPr>
    </w:p>
    <w:p>
      <w:pPr>
        <w:jc w:val="center"/>
        <w:ind w:left="5140" w:right="360" w:hanging="5139"/>
        <w:spacing w:after="0" w:line="268" w:lineRule="auto"/>
        <w:tabs>
          <w:tab w:leader="none" w:pos="604"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REGISTRATION STATEMENT PURSUANT TO SECTION 12(b) OR (g) OF THE SECURITIES EXCHANGE ACT OF 1934 OR</w:t>
      </w:r>
    </w:p>
    <w:p>
      <w:pPr>
        <w:spacing w:after="0" w:line="1" w:lineRule="exact"/>
        <w:rPr>
          <w:sz w:val="24"/>
          <w:szCs w:val="24"/>
          <w:color w:val="auto"/>
        </w:rPr>
      </w:pPr>
    </w:p>
    <w:p>
      <w:pPr>
        <w:ind w:left="3720" w:right="1280" w:hanging="3719"/>
        <w:spacing w:after="0" w:line="283" w:lineRule="auto"/>
        <w:tabs>
          <w:tab w:leader="none" w:pos="61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44" w:lineRule="exact"/>
        <w:rPr>
          <w:sz w:val="24"/>
          <w:szCs w:val="24"/>
          <w:color w:val="auto"/>
        </w:rPr>
      </w:pPr>
    </w:p>
    <w:p>
      <w:pPr>
        <w:ind w:left="5140" w:right="940" w:hanging="5139"/>
        <w:spacing w:after="0" w:line="271" w:lineRule="auto"/>
        <w:tabs>
          <w:tab w:leader="none" w:pos="604"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OR</w:t>
      </w:r>
    </w:p>
    <w:p>
      <w:pPr>
        <w:spacing w:after="0" w:line="1" w:lineRule="exact"/>
        <w:rPr>
          <w:rFonts w:ascii="MS PGothic" w:cs="MS PGothic" w:eastAsia="MS PGothic" w:hAnsi="MS PGothic"/>
          <w:sz w:val="16"/>
          <w:szCs w:val="16"/>
          <w:color w:val="auto"/>
          <w:highlight w:val="black"/>
        </w:rPr>
      </w:pPr>
    </w:p>
    <w:p>
      <w:pPr>
        <w:ind w:left="600" w:right="540" w:hanging="599"/>
        <w:spacing w:after="0" w:line="502" w:lineRule="auto"/>
        <w:tabs>
          <w:tab w:leader="none" w:pos="60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SHELL COMPANY REPORT PURSUANT TO SECTION 13 OR 15(d) OF THE SECURITIES EXCHANGE ACT OF 1934 </w:t>
      </w:r>
      <w:r>
        <w:rPr>
          <w:rFonts w:ascii="Times New Roman" w:cs="Times New Roman" w:eastAsia="Times New Roman" w:hAnsi="Times New Roman"/>
          <w:sz w:val="16"/>
          <w:szCs w:val="16"/>
          <w:color w:val="auto"/>
        </w:rPr>
        <w:t>Date of event requiring this shell company report</w:t>
      </w:r>
    </w:p>
    <w:p>
      <w:pPr>
        <w:spacing w:after="0" w:line="1" w:lineRule="exact"/>
        <w:rPr>
          <w:sz w:val="24"/>
          <w:szCs w:val="24"/>
          <w:color w:val="auto"/>
        </w:rPr>
      </w:pPr>
    </w:p>
    <w:p>
      <w:pPr>
        <w:ind w:left="600"/>
        <w:spacing w:after="0"/>
        <w:tabs>
          <w:tab w:leader="none" w:pos="31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1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Commission file number: 001-38638</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NIO Inc.</w:t>
      </w:r>
    </w:p>
    <w:p>
      <w:pPr>
        <w:spacing w:after="0" w:line="35"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35"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0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3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0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Building 19, No. 1355, Caobao Road, Minhang District</w:t>
      </w:r>
    </w:p>
    <w:p>
      <w:pPr>
        <w:spacing w:after="0" w:line="3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Shanghai, People’s Republic of China</w:t>
      </w:r>
    </w:p>
    <w:p>
      <w:pPr>
        <w:spacing w:after="0" w:line="14"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Yu Qu, Chief Financial Officer</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Building 19, No. 1355, Caobao Road, Minhang District</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Shanghai, People’s Republic of China</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Telephone: +8621-6908 2018</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Email: ir@nio.com</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8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Name of Each Exchange on Which Registered</w:t>
            </w:r>
          </w:p>
        </w:tc>
      </w:tr>
      <w:tr>
        <w:trPr>
          <w:trHeight w:val="174"/>
        </w:trPr>
        <w:tc>
          <w:tcPr>
            <w:tcW w:w="406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rPr>
              <w:t>American depositary shares (each representing one Class A</w:t>
            </w:r>
          </w:p>
        </w:tc>
        <w:tc>
          <w:tcPr>
            <w:tcW w:w="220" w:type="dxa"/>
            <w:vAlign w:val="bottom"/>
          </w:tcPr>
          <w:p>
            <w:pPr>
              <w:spacing w:after="0"/>
              <w:rPr>
                <w:sz w:val="15"/>
                <w:szCs w:val="15"/>
                <w:color w:val="auto"/>
              </w:rPr>
            </w:pPr>
          </w:p>
        </w:tc>
        <w:tc>
          <w:tcPr>
            <w:tcW w:w="1800" w:type="dxa"/>
            <w:vAlign w:val="bottom"/>
            <w:tcBorders>
              <w:top w:val="single" w:sz="8" w:color="auto"/>
            </w:tcBorders>
          </w:tcPr>
          <w:p>
            <w:pPr>
              <w:ind w:left="760"/>
              <w:spacing w:after="0" w:line="174" w:lineRule="exact"/>
              <w:rPr>
                <w:sz w:val="20"/>
                <w:szCs w:val="20"/>
                <w:color w:val="auto"/>
              </w:rPr>
            </w:pPr>
            <w:r>
              <w:rPr>
                <w:rFonts w:ascii="Times New Roman" w:cs="Times New Roman" w:eastAsia="Times New Roman" w:hAnsi="Times New Roman"/>
                <w:sz w:val="16"/>
                <w:szCs w:val="16"/>
                <w:color w:val="auto"/>
              </w:rPr>
              <w:t>NIO</w:t>
            </w:r>
          </w:p>
        </w:tc>
        <w:tc>
          <w:tcPr>
            <w:tcW w:w="220" w:type="dxa"/>
            <w:vAlign w:val="bottom"/>
          </w:tcPr>
          <w:p>
            <w:pPr>
              <w:spacing w:after="0"/>
              <w:rPr>
                <w:sz w:val="15"/>
                <w:szCs w:val="15"/>
                <w:color w:val="auto"/>
              </w:rPr>
            </w:pPr>
          </w:p>
        </w:tc>
        <w:tc>
          <w:tcPr>
            <w:tcW w:w="36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rPr>
              <w:t>New York Stock Exchange</w:t>
            </w:r>
          </w:p>
        </w:tc>
      </w:tr>
      <w:tr>
        <w:trPr>
          <w:trHeight w:val="198"/>
        </w:trPr>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ordinary share),par value US$0.00025 per share</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198"/>
        </w:trPr>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ordinary shares, par value US$0.00025 per share</w:t>
            </w:r>
          </w:p>
        </w:tc>
        <w:tc>
          <w:tcPr>
            <w:tcW w:w="220" w:type="dxa"/>
            <w:vAlign w:val="bottom"/>
          </w:tcPr>
          <w:p>
            <w:pPr>
              <w:spacing w:after="0"/>
              <w:rPr>
                <w:sz w:val="17"/>
                <w:szCs w:val="17"/>
                <w:color w:val="auto"/>
              </w:rPr>
            </w:pPr>
          </w:p>
        </w:tc>
        <w:tc>
          <w:tcPr>
            <w:tcW w:w="18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9866</w:t>
            </w:r>
          </w:p>
        </w:tc>
        <w:tc>
          <w:tcPr>
            <w:tcW w:w="220" w:type="dxa"/>
            <w:vAlign w:val="bottom"/>
          </w:tcPr>
          <w:p>
            <w:pPr>
              <w:spacing w:after="0"/>
              <w:rPr>
                <w:sz w:val="17"/>
                <w:szCs w:val="17"/>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Stock Exchange of Hong Kong Limited</w:t>
            </w:r>
          </w:p>
        </w:tc>
      </w:tr>
      <w:tr>
        <w:trPr>
          <w:trHeight w:val="215"/>
        </w:trPr>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ordinary shares, par value US$0.00025 per share</w:t>
            </w:r>
          </w:p>
        </w:tc>
        <w:tc>
          <w:tcPr>
            <w:tcW w:w="220" w:type="dxa"/>
            <w:vAlign w:val="bottom"/>
          </w:tcPr>
          <w:p>
            <w:pPr>
              <w:spacing w:after="0"/>
              <w:rPr>
                <w:sz w:val="18"/>
                <w:szCs w:val="18"/>
                <w:color w:val="auto"/>
              </w:rPr>
            </w:pPr>
          </w:p>
        </w:tc>
        <w:tc>
          <w:tcPr>
            <w:tcW w:w="18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NIO</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Singapore Exchange Securities Trading Limited</w:t>
            </w:r>
          </w:p>
        </w:tc>
      </w:tr>
    </w:tbl>
    <w:p>
      <w:pPr>
        <w:spacing w:after="0" w:line="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(Title of Class)</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1063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618" w:right="9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5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As of December 31, 2025, there were (i) 2,334,669,995 Class A ordinary shares outstanding, par value US$0.00025 per share, and (ii) 148,500,000 Class C ordinary shares outstanding, par value US$0.00025 per share.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6" w:lineRule="exact"/>
        <w:rPr>
          <w:sz w:val="20"/>
          <w:szCs w:val="20"/>
          <w:color w:val="auto"/>
        </w:rPr>
      </w:pPr>
    </w:p>
    <w:p>
      <w:pPr>
        <w:ind w:left="200" w:hanging="200"/>
        <w:spacing w:after="0" w:line="184" w:lineRule="exact"/>
        <w:tabs>
          <w:tab w:leader="none" w:pos="2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1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69"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1"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ectPr>
          <w:pgSz w:w="11900" w:h="16838" w:orient="portrait"/>
          <w:cols w:equalWidth="0" w:num="1">
            <w:col w:w="9920"/>
          </w:cols>
          <w:pgMar w:left="980" w:top="482" w:right="999" w:bottom="1440" w:gutter="0" w:footer="0" w:header="0"/>
        </w:sectPr>
      </w:pPr>
    </w:p>
    <w:p>
      <w:pPr>
        <w:spacing w:after="0" w:line="108"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0"/>
          <w:szCs w:val="20"/>
          <w:color w:val="auto"/>
        </w:rPr>
      </w:pPr>
    </w:p>
    <w:p>
      <w:pPr>
        <w:sectPr>
          <w:pgSz w:w="11900" w:h="16838" w:orient="portrait"/>
          <w:cols w:equalWidth="0" w:num="4">
            <w:col w:w="1960" w:space="720"/>
            <w:col w:w="1680" w:space="720"/>
            <w:col w:w="1800" w:space="660"/>
            <w:col w:w="2380"/>
          </w:cols>
          <w:pgMar w:left="980" w:top="482" w:right="999" w:bottom="1440" w:gutter="0" w:footer="0" w:header="0"/>
          <w:type w:val="continuous"/>
        </w:sectPr>
      </w:pPr>
    </w:p>
    <w:p>
      <w:pPr>
        <w:jc w:val="both"/>
        <w:spacing w:after="0" w:line="212"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6"/>
          <w:szCs w:val="16"/>
          <w:color w:val="auto"/>
        </w:rPr>
        <w:t>☐</w:t>
      </w:r>
    </w:p>
    <w:p>
      <w:pPr>
        <w:spacing w:after="0" w:line="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51"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482" w:right="999" w:bottom="1440" w:gutter="0" w:footer="0" w:header="0"/>
          <w:type w:val="continuous"/>
        </w:sectPr>
      </w:pPr>
    </w:p>
    <w:p>
      <w:pPr>
        <w:spacing w:after="0" w:line="87"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U.S. GAAP</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tabs>
          <w:tab w:leader="none" w:pos="4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International  Financial  Reporting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Standards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issued</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International</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w:t>
      </w:r>
    </w:p>
    <w:p>
      <w:pPr>
        <w:spacing w:after="0" w:line="45" w:lineRule="exact"/>
        <w:rPr>
          <w:sz w:val="20"/>
          <w:szCs w:val="20"/>
          <w:color w:val="auto"/>
        </w:rPr>
      </w:pPr>
    </w:p>
    <w:p>
      <w:pPr>
        <w:sectPr>
          <w:pgSz w:w="11900" w:h="16838" w:orient="portrait"/>
          <w:cols w:equalWidth="0" w:num="9">
            <w:col w:w="1280" w:space="720"/>
            <w:col w:w="2840" w:space="120"/>
            <w:col w:w="640" w:space="120"/>
            <w:col w:w="140" w:space="120"/>
            <w:col w:w="400" w:space="120"/>
            <w:col w:w="160" w:space="120"/>
            <w:col w:w="200" w:space="120"/>
            <w:col w:w="1000" w:space="340"/>
            <w:col w:w="1480"/>
          </w:cols>
          <w:pgMar w:left="980" w:top="482" w:right="99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6"/>
          <w:szCs w:val="16"/>
          <w:color w:val="auto"/>
        </w:rPr>
        <w:t>Accounting Standards Board</w:t>
      </w:r>
    </w:p>
    <w:p>
      <w:pPr>
        <w:sectPr>
          <w:pgSz w:w="11900" w:h="16838" w:orient="portrait"/>
          <w:cols w:equalWidth="0" w:num="1">
            <w:col w:w="9920"/>
          </w:cols>
          <w:pgMar w:left="980" w:top="482" w:right="999" w:bottom="1440" w:gutter="0" w:footer="0" w:header="0"/>
          <w:type w:val="continuous"/>
        </w:sectPr>
      </w:pPr>
    </w:p>
    <w:p>
      <w:pPr>
        <w:spacing w:after="0" w:line="9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31"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2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556895</wp:posOffset>
            </wp:positionV>
            <wp:extent cx="631063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0630" cy="15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53975</wp:posOffset>
            </wp:positionV>
            <wp:extent cx="63106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06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93345</wp:posOffset>
            </wp:positionV>
            <wp:extent cx="6310630"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0630" cy="31750"/>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89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1"/>
        </w:trPr>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gridSpan w:val="16"/>
          </w:tcPr>
          <w:p>
            <w:pPr>
              <w:ind w:left="4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920" w:type="dxa"/>
            <w:vAlign w:val="bottom"/>
            <w:gridSpan w:val="36"/>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INTRODUCTION</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62"/>
        </w:trPr>
        <w:tc>
          <w:tcPr>
            <w:tcW w:w="20" w:type="dxa"/>
            <w:vAlign w:val="bottom"/>
            <w:tcBorders>
              <w:top w:val="single" w:sz="8" w:color="0000EE"/>
            </w:tcBorders>
            <w:vMerge w:val="restart"/>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CCEEFF"/>
            </w:tcBorders>
          </w:tcPr>
          <w:p>
            <w:pPr>
              <w:spacing w:after="0"/>
              <w:rPr>
                <w:sz w:val="5"/>
                <w:szCs w:val="5"/>
                <w:color w:val="auto"/>
              </w:rPr>
            </w:pPr>
          </w:p>
        </w:tc>
        <w:tc>
          <w:tcPr>
            <w:tcW w:w="200" w:type="dxa"/>
            <w:vAlign w:val="bottom"/>
            <w:tcBorders>
              <w:top w:val="single" w:sz="8" w:color="CCEEFF"/>
            </w:tcBorders>
          </w:tcPr>
          <w:p>
            <w:pPr>
              <w:spacing w:after="0"/>
              <w:rPr>
                <w:sz w:val="5"/>
                <w:szCs w:val="5"/>
                <w:color w:val="auto"/>
              </w:rPr>
            </w:pPr>
          </w:p>
        </w:tc>
        <w:tc>
          <w:tcPr>
            <w:tcW w:w="48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32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920" w:type="dxa"/>
            <w:vAlign w:val="bottom"/>
            <w:gridSpan w:val="36"/>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FORWARD-LOOKING INFORMATION</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62"/>
        </w:trPr>
        <w:tc>
          <w:tcPr>
            <w:tcW w:w="20" w:type="dxa"/>
            <w:vAlign w:val="bottom"/>
            <w:tcBorders>
              <w:top w:val="single" w:sz="8" w:color="0000EE"/>
            </w:tcBorders>
            <w:vMerge w:val="restart"/>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920" w:type="dxa"/>
            <w:vAlign w:val="bottom"/>
            <w:gridSpan w:val="36"/>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PART I.</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62"/>
        </w:trPr>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gridSpan w:val="2"/>
          </w:tcPr>
          <w:p>
            <w:pPr>
              <w:spacing w:after="0"/>
              <w:rPr>
                <w:sz w:val="5"/>
                <w:szCs w:val="5"/>
                <w:color w:val="auto"/>
              </w:rPr>
            </w:pPr>
          </w:p>
        </w:tc>
        <w:tc>
          <w:tcPr>
            <w:tcW w:w="440" w:type="dxa"/>
            <w:vAlign w:val="bottom"/>
            <w:tcBorders>
              <w:top w:val="single" w:sz="8" w:color="CCEEFF"/>
            </w:tcBorders>
          </w:tcPr>
          <w:p>
            <w:pPr>
              <w:spacing w:after="0"/>
              <w:rPr>
                <w:sz w:val="5"/>
                <w:szCs w:val="5"/>
                <w:color w:val="auto"/>
              </w:rPr>
            </w:pPr>
          </w:p>
        </w:tc>
        <w:tc>
          <w:tcPr>
            <w:tcW w:w="200" w:type="dxa"/>
            <w:vAlign w:val="bottom"/>
            <w:tcBorders>
              <w:top w:val="single" w:sz="8" w:color="CCEEFF"/>
            </w:tcBorders>
          </w:tcPr>
          <w:p>
            <w:pPr>
              <w:spacing w:after="0"/>
              <w:rPr>
                <w:sz w:val="5"/>
                <w:szCs w:val="5"/>
                <w:color w:val="auto"/>
              </w:rPr>
            </w:pPr>
          </w:p>
        </w:tc>
        <w:tc>
          <w:tcPr>
            <w:tcW w:w="48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32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 IDENTITY OF DIRECTORS, SENIOR MANAGEMENT AND ADVISERS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2. OFFER STATISTICS AND EXPECTED TIMETABLE</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3. KEY INFORMATION</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32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4. INFORMATION ON THE COMPANY</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4A. UNRESOLVED STAFF COMMENTS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5. OPERATING AND FINANCIAL REVIEW AND PROSPECTS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6. DIRECTORS, SENIOR MANAGEMENT AND EMPLOYEES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7. MAJOR SHAREHOLDERS AND RELATED PARTY TRANSACTIONS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8. FINANCIAL INFORMATION</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9. THE OFFER AND LISTING</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10. ADDITIONAL INFORMATION</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11. QUANTITATIVE AND QUALITATIVE DISCLOSURES ABOUT MARKET RISK</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12. DESCRIPTION OF SECURITIES OTHER THAN EQUITY SECURITIES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920" w:type="dxa"/>
            <w:vAlign w:val="bottom"/>
            <w:gridSpan w:val="36"/>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PART II.</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62"/>
        </w:trPr>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gridSpan w:val="2"/>
          </w:tcPr>
          <w:p>
            <w:pPr>
              <w:spacing w:after="0"/>
              <w:rPr>
                <w:sz w:val="5"/>
                <w:szCs w:val="5"/>
                <w:color w:val="auto"/>
              </w:rPr>
            </w:pPr>
          </w:p>
        </w:tc>
        <w:tc>
          <w:tcPr>
            <w:tcW w:w="440" w:type="dxa"/>
            <w:vAlign w:val="bottom"/>
            <w:tcBorders>
              <w:top w:val="single" w:sz="8" w:color="CCEEFF"/>
            </w:tcBorders>
          </w:tcPr>
          <w:p>
            <w:pPr>
              <w:spacing w:after="0"/>
              <w:rPr>
                <w:sz w:val="5"/>
                <w:szCs w:val="5"/>
                <w:color w:val="auto"/>
              </w:rPr>
            </w:pPr>
          </w:p>
        </w:tc>
        <w:tc>
          <w:tcPr>
            <w:tcW w:w="200" w:type="dxa"/>
            <w:vAlign w:val="bottom"/>
            <w:tcBorders>
              <w:top w:val="single" w:sz="8" w:color="CCEEFF"/>
            </w:tcBorders>
          </w:tcPr>
          <w:p>
            <w:pPr>
              <w:spacing w:after="0"/>
              <w:rPr>
                <w:sz w:val="5"/>
                <w:szCs w:val="5"/>
                <w:color w:val="auto"/>
              </w:rPr>
            </w:pPr>
          </w:p>
        </w:tc>
        <w:tc>
          <w:tcPr>
            <w:tcW w:w="48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32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13. DEFAULTS, DIVIDEND ARREARAGES AND DELINQUENCIES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14. MATERIAL MODIFICATIONS TO THE RIGHTS OF SECURITY HOLDERS AND USE OF PROCEEDS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15. CONTROLS AND PROCEDURES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 [RESERVED]</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32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16A. AUDIT COMMITTEE FINANCIAL EXPERT</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16B. CODE OF ETHICS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32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16C. PRINCIPAL ACCOUNTANT FEES AND SERVICES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16D. EXEMPTIONS FROM THE LISTING STANDARDS FOR AUDIT COMMITTEES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16E. PURCHASES OF EQUITY SECURITIES BY THE ISSUER AND AFFILIATED PURCHASERS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16F. CHANGE IN REGISTRANT’S CERTIFYING ACCOUNTANT</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16G. CORPORATE GOVERNANCE</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16H. MINE SAFETY DISCLOSURE</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16I. DISCLOSURE REGARDING FOREIGN JURISDICTIONS THAT PREVENT INSPECTIONS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16J. INSIDER TRADING POLICIES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16K. CYBERSECURITY</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920" w:type="dxa"/>
            <w:vAlign w:val="bottom"/>
            <w:gridSpan w:val="36"/>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PART III.</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62"/>
        </w:trPr>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CCEEFF"/>
            </w:tcBorders>
            <w:gridSpan w:val="2"/>
          </w:tcPr>
          <w:p>
            <w:pPr>
              <w:spacing w:after="0"/>
              <w:rPr>
                <w:sz w:val="5"/>
                <w:szCs w:val="5"/>
                <w:color w:val="auto"/>
              </w:rPr>
            </w:pPr>
          </w:p>
        </w:tc>
        <w:tc>
          <w:tcPr>
            <w:tcW w:w="440" w:type="dxa"/>
            <w:vAlign w:val="bottom"/>
            <w:tcBorders>
              <w:top w:val="single" w:sz="8" w:color="CCEEFF"/>
            </w:tcBorders>
          </w:tcPr>
          <w:p>
            <w:pPr>
              <w:spacing w:after="0"/>
              <w:rPr>
                <w:sz w:val="5"/>
                <w:szCs w:val="5"/>
                <w:color w:val="auto"/>
              </w:rPr>
            </w:pPr>
          </w:p>
        </w:tc>
        <w:tc>
          <w:tcPr>
            <w:tcW w:w="200" w:type="dxa"/>
            <w:vAlign w:val="bottom"/>
            <w:tcBorders>
              <w:top w:val="single" w:sz="8" w:color="CCEEFF"/>
            </w:tcBorders>
          </w:tcPr>
          <w:p>
            <w:pPr>
              <w:spacing w:after="0"/>
              <w:rPr>
                <w:sz w:val="5"/>
                <w:szCs w:val="5"/>
                <w:color w:val="auto"/>
              </w:rPr>
            </w:pPr>
          </w:p>
        </w:tc>
        <w:tc>
          <w:tcPr>
            <w:tcW w:w="48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32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17. FINANCIAL STATEMENTS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18. FINANCIAL STATEMENTS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ITEM 19. EXHIBITS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gridSpan w:val="2"/>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CCEEFF"/>
            </w:tcBorders>
          </w:tcPr>
          <w:p>
            <w:pPr>
              <w:spacing w:after="0"/>
              <w:rPr>
                <w:sz w:val="5"/>
                <w:szCs w:val="5"/>
                <w:color w:val="auto"/>
              </w:rPr>
            </w:pPr>
          </w:p>
        </w:tc>
        <w:tc>
          <w:tcPr>
            <w:tcW w:w="48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32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600" w:type="dxa"/>
            <w:vAlign w:val="bottom"/>
            <w:tcBorders>
              <w:top w:val="single" w:sz="8" w:color="CCEEFF"/>
            </w:tcBorders>
          </w:tcPr>
          <w:p>
            <w:pPr>
              <w:spacing w:after="0"/>
              <w:rPr>
                <w:sz w:val="5"/>
                <w:szCs w:val="5"/>
                <w:color w:val="auto"/>
              </w:rPr>
            </w:pPr>
          </w:p>
        </w:tc>
        <w:tc>
          <w:tcPr>
            <w:tcW w:w="3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5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560" w:type="dxa"/>
            <w:vAlign w:val="bottom"/>
            <w:tcBorders>
              <w:top w:val="single" w:sz="8" w:color="CCEEFF"/>
            </w:tcBorders>
          </w:tcPr>
          <w:p>
            <w:pPr>
              <w:spacing w:after="0"/>
              <w:rPr>
                <w:sz w:val="5"/>
                <w:szCs w:val="5"/>
                <w:color w:val="auto"/>
              </w:rPr>
            </w:pPr>
          </w:p>
        </w:tc>
        <w:tc>
          <w:tcPr>
            <w:tcW w:w="740" w:type="dxa"/>
            <w:vAlign w:val="bottom"/>
            <w:tcBorders>
              <w:top w:val="single" w:sz="8" w:color="CCEEFF"/>
            </w:tcBorders>
          </w:tcPr>
          <w:p>
            <w:pPr>
              <w:spacing w:after="0"/>
              <w:rPr>
                <w:sz w:val="5"/>
                <w:szCs w:val="5"/>
                <w:color w:val="auto"/>
              </w:rPr>
            </w:pPr>
          </w:p>
        </w:tc>
        <w:tc>
          <w:tcPr>
            <w:tcW w:w="10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40" w:type="dxa"/>
            <w:vAlign w:val="bottom"/>
            <w:gridSpan w:val="3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SIGNATURES</w:t>
            </w: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475"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 this annual report on Form 20-F, except where the context otherwise requires and for purposes of this annual report only:</w:t>
      </w:r>
    </w:p>
    <w:p>
      <w:pPr>
        <w:spacing w:after="0" w:line="212" w:lineRule="exact"/>
        <w:rPr>
          <w:sz w:val="20"/>
          <w:szCs w:val="20"/>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“ADAS” refers to advanced driver assistance system;</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“ADR” refers to the American depositary receipt that evidences the ADS;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refer to our American depositary shares, each of which represents one Class A ordinary share;</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 refers to artificial intelligence;</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“Anhui NIO AT” refers to Anhui NIO AI Technology Co., Ltd., one of the VIEs;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“Anhui NIO DT” refers to Anhui NIO Data Technology Co., Ltd., one of the VIEs;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NIO” refers to Beijing NIO Network Technology Co., Ltd., one of the VIEs;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ordinary shares” refer to our Class A ordinary shares, par value US$0.00025 per share;</w:t>
      </w:r>
    </w:p>
    <w:p>
      <w:pPr>
        <w:spacing w:after="0" w:line="212"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ordinary shares” refer to the Class B ordinary shares that we historically authorized and issued, par value US$0.00025 per share. All the authorized Class B ordinary shares were redesignated as Class A ordinary shares at the annual general meeting held on August 25, 2022;</w:t>
      </w:r>
    </w:p>
    <w:p>
      <w:pPr>
        <w:spacing w:after="0" w:line="15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C ordinary shares” refer to our Class C ordinary shares, par value US$0.00025 per share;</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 refers to electric passenger vehicle;</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 or “HK” refers to the Hong Kong Special Administrative Region of the People’s Republic of China;</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 Listing Rules” refer to the Rules Governing the Listing of Securities on The Stock Exchange of Hong Kong Limited, as amended or supplemented from time to time;</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 Stock Exchange” refers to The Stock Exchange of Hong Kong Limited;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“ICE” refers to internal combustion engine;</w:t>
      </w:r>
    </w:p>
    <w:p>
      <w:pPr>
        <w:spacing w:after="0" w:line="212" w:lineRule="exact"/>
        <w:rPr>
          <w:rFonts w:ascii="Times New Roman" w:cs="Times New Roman" w:eastAsia="Times New Roman" w:hAnsi="Times New Roman"/>
          <w:sz w:val="16"/>
          <w:szCs w:val="16"/>
          <w:color w:val="auto"/>
        </w:rPr>
      </w:pPr>
    </w:p>
    <w:p>
      <w:pPr>
        <w:jc w:val="both"/>
        <w:ind w:left="920" w:hanging="301"/>
        <w:spacing w:after="0" w:line="291" w:lineRule="auto"/>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 Board of the Hong Kong Stock Exchange” refers to the stock market (excluding the option market) operated by the Hong Kong Stock Exchange which is independent from and operated in parallel with the Growth Enterprise Market of the Hong Kong Stock Exchange;</w:t>
      </w:r>
    </w:p>
    <w:p>
      <w:pPr>
        <w:spacing w:after="0" w:line="345"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 Board of the Singapore Exchange” refers to the stock market operated by The Singapore Exchange Securities Trading Limited;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“NEVs” refer to new energy passenger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left="920" w:hanging="301"/>
        <w:spacing w:after="0" w:line="278" w:lineRule="auto"/>
        <w:tabs>
          <w:tab w:leader="none" w:pos="9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“we,” “us,” “our company,” and “our” refer to NIO Inc., our Cayman Islands holding company and its subsidiaries, and, in the context of describing our operations and consolidated financial information, include the VIEs, namely Beijing NIO, Anhui NIO AT, Anhui NIO DT, and their subsidiary;</w:t>
      </w:r>
    </w:p>
    <w:p>
      <w:pPr>
        <w:spacing w:after="0" w:line="15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shares” refer to our Class A ordinary shares and Class C ordinary shares, each of par value US$0.00025 per share;</w:t>
      </w:r>
    </w:p>
    <w:p>
      <w:pPr>
        <w:spacing w:after="0" w:line="212"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Period” refers to the period commencing from the date on which any of our shares first become secondary listed on the Hong Kong Stock Exchange to and including the date immediately before the day on which the secondary listing is withdrawn from the Hong Kong Stock Exchange. As of the date of this annual report, we are in the Relevant Period;</w:t>
      </w:r>
    </w:p>
    <w:p>
      <w:pPr>
        <w:spacing w:after="0" w:line="15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or “Renminbi” refers to the legal currency of China;</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“Singapore Exchange” refers to The Singapore Exchange Securities Trading Limited;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“dollars” or “U.S. dollars” refer to the legal currency of the United States.</w:t>
      </w:r>
    </w:p>
    <w:p>
      <w:pPr>
        <w:spacing w:after="0" w:line="212"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Unless otherwise noted, all translations from Renminbi to U.S. dollars and from U.S. dollars to Renminbi in this annual report are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 Unless otherwise specified, the description of our vehicles, services and business models in this report refers to our business in China.</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FORWARD-LOOKING INFORMATION</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reflect our current expectations and views of future events. These forward-looking statements are made under the “safe-harbor” provisions of the U.S. Private Securities Litigation Reform Act of 1995. Known and unknown risks, uncertainties and other factors, may cause our actual results, performance or achievements to be materially different from those expressed or implied by the forward-looking statements. These statements involve known and unknown risks, uncertainties and other factors, including those listed under “Item 3. Key Information—D. Risk Factors,” that may cause our actual results, performance or achievements to be materially different from those expressed or implied by the forward-looking statements.</w:t>
      </w:r>
    </w:p>
    <w:p>
      <w:pPr>
        <w:spacing w:after="0" w:line="12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 our goals and growth strategies, our future business development, financial condition and results of operations, our expectations regarding demand for and market acceptance of our products and services, and assumptions underlying or related to any of the foregoing.</w:t>
      </w:r>
    </w:p>
    <w:p>
      <w:pPr>
        <w:spacing w:after="0" w:line="12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Although we believe that our expectations expressed in these forward-looking statements are reasonable, our expectations may later be found to be incorrect. Our actual results could be materially different from our expectations.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3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This annual report contains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adverse effect on our business and the market price of our ADSs or Class A ordinary shares.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25"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 We qualify all of our forward-looking statements by these cautionary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IDENTITY OF DIRECTORS, SENIOR MANAGEMENT AND ADVISERS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OFFER STATISTICS AND EXPECTED TIMETABLE</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KEY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Holding Company Structure and Contractual Arrangements with the VIEs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NIO Inc. is not an operating company in China but a Cayman Islands holding company with no equity ownership in its consolidated variable interest entities, or VIEs. We conduct our operations in China (i) primarily through our PRC subsidiaries, and (ii) to a much lesser extent, through the VIEs, namely Beijing NIO, Anhui NIO AT, and Anhui NIO DT, with each of which we maintain contractual arrangements, and their subsidiary. We have also established subsidiaries in the United States, Germany, the United Kingdom, Norway and other overseas jurisdictions to promote our services and businesses, enter into business contracts with offshore counterparties and hold overseas intellectual properties.</w:t>
      </w:r>
    </w:p>
    <w:p>
      <w:pPr>
        <w:spacing w:after="0" w:line="161"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PRC laws and regulations (i) restrict and impose conditions on foreign investment in value-added telecommunication services, including without limitation, performing internet information services and holding certain related licenses; and (ii) prohibit foreign investment in certain services related to autonomous driving as well as the holding of related licenses by foreign entities. Additionally, in practice, subject to the qualifications set by China Banking and Insurance Regulatory Commission (currently known as the National Administration of Financial Regulation) for foreign shareholders of the insurance brokerage companies, the China Banking and Insurance Regulatory Commission typically would not approve the establishment of a foreign-invested insurance brokerage company to perform insurance brokerage services and hold certain related licenses. We operate these businesses in China through Beijing NIO, Anhui NIO AT, and Anhui NIO DT, or as referred to as the VIEs, and NIO Insurance Broker Co., Ltd., the subsidiary of Anhui NIO DT. We rely on contractual arrangements among our PRC subsidiaries, the VIEs and their nominee shareholders to maintain a controlling financial interest as the primary beneficiary of each VIE (as defined in U.S. GAAP, ASC 810). Under U.S. GAAP, we consolidate each VIE within our consolidated financial statements. Specifically, we operate value-added telecommunication services, including without limitation, performing internet information services, and hold certain related licenses, through Beijing NIO. We rely on the contractual arrangements with Anhui NIO DT and its shareholders to operate insurance brokerage services. NIO Insurance Broker Co., Ltd. currently holds an insurance brokerage license and provides insurance brokerage services primarily related to vehicles and properties. We intend to obtain requisite licenses for certain supporting functions during the development of our assisted and intelligent driving technology through Anhui NIO AT. As of the date of this annual report, the business operations of the VIEs are insignificant in relation to our total revenues and net loss. As used in this annual report, “NIO,” “we,” “us,” “our company,” and “our” refer to NIO Inc., our Cayman Islands holding company and its subsidiaries, and in the context of describing our operations and consolidated financial information, include the VIEs and NIO Insurance Broker Co., Ltd., the subsidiary of Anhui NIO DT.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diagram illustrates our corporate structure, including our principal subsidiaries and the VIEs, as of the date of this annual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5862955" cy="5123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2955" cy="512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w:t>
      </w:r>
    </w:p>
    <w:p>
      <w:pPr>
        <w:spacing w:after="0" w:line="185" w:lineRule="exact"/>
        <w:rPr>
          <w:sz w:val="20"/>
          <w:szCs w:val="20"/>
          <w:color w:val="auto"/>
        </w:rPr>
      </w:pPr>
    </w:p>
    <w:p>
      <w:pPr>
        <w:ind w:left="300" w:hanging="300"/>
        <w:spacing w:after="0"/>
        <w:tabs>
          <w:tab w:leader="none" w:pos="3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completion of an ongoing investment transaction, NIO Technology (Anhui) Co. Ltd. will hold an equity interest of 62.7% of GeniTech Co., Ltd.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0" w:lineRule="auto"/>
        <w:rPr>
          <w:sz w:val="20"/>
          <w:szCs w:val="20"/>
          <w:color w:val="auto"/>
        </w:rPr>
      </w:pPr>
      <w:r>
        <w:rPr>
          <w:rFonts w:ascii="Times New Roman" w:cs="Times New Roman" w:eastAsia="Times New Roman" w:hAnsi="Times New Roman"/>
          <w:sz w:val="16"/>
          <w:szCs w:val="16"/>
          <w:color w:val="auto"/>
        </w:rPr>
        <w:t>In April 2018, we entered into a series of contractual arrangements through one of our PRC subsidiaries with Beijing NIO and its shareholders, which were replaced by a new set of contractual arrangements we entered into with the same parties in April 2021. Further, in November 2022 and December 2022, we entered into a series of contractual arrangements through our respective PRC subsidiaries with each of Anhui NIO AT and Anhui NIO DT, respectively, and their respective shareholders, to conduct certain future operations in China. These contractual arrangements enable us to:</w:t>
      </w:r>
    </w:p>
    <w:p>
      <w:pPr>
        <w:spacing w:after="0" w:line="360" w:lineRule="exact"/>
        <w:rPr>
          <w:sz w:val="20"/>
          <w:szCs w:val="20"/>
          <w:color w:val="auto"/>
        </w:rPr>
      </w:pPr>
    </w:p>
    <w:p>
      <w:pPr>
        <w:ind w:left="920" w:hanging="301"/>
        <w:spacing w:after="0" w:line="269" w:lineRule="auto"/>
        <w:tabs>
          <w:tab w:leader="none" w:pos="9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the economic benefits that could potentially be significant to the VIEs in consideration for the services provided by our subsidiaries;</w:t>
      </w:r>
    </w:p>
    <w:p>
      <w:pPr>
        <w:spacing w:after="0" w:line="38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effective control over the VIEs;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 an exclusive option to purchase all or part of the equity interests in the VIEs when and to the extent permitted by PRC law.</w:t>
      </w:r>
    </w:p>
    <w:p>
      <w:pPr>
        <w:spacing w:after="0" w:line="21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These contractual agreements include an exclusive business cooperation agreement, exclusive option agreement, equity pledge agreement, loan agreement and power of attorney. For more details of these contractual arrangements, see “Item 4. Information on the Company—C. Organizational Structure—Contractual Agreements with the VIEs and Their Shareholders.”</w:t>
      </w:r>
    </w:p>
    <w:p>
      <w:pPr>
        <w:spacing w:after="0" w:line="15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Beijing NIO, Anhui NIO AT, and Anhui NIO DT and its subsidiary, taking into account all of their respective business with or without foreign investment restrictions and prohibitions under PRC laws, contributed insignificantly to our total revenues, accounting for RMB13.8 million, RMB31.3 million and RMB 62.4 million (US$8.6 million) for the years ended December 31, 2023, 2024 and 2025, respectively. The VIEs provided services internally to our subsidiaries, and such services amounted to RMB110.5 million, RMB126.3 million and RMB37.5 million (US$5.1 million) for the years ended December 31, 2023, 2024 and 2025, respectively. As of December 31, 2023, 2024 and 2025, none of Beijing NIO, Anhui NIO AT and Anhui NIO DT had significant operations or any material assets or liabilities.</w:t>
      </w:r>
    </w:p>
    <w:p>
      <w:pPr>
        <w:spacing w:after="0" w:line="16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Holders of our ADSs and Class A ordinary shares are not holding equity interests in the VIEs in China but instead are holding equity interests in a holding company incorporated in the Cayman Islands. We do not have any equity interests in the VIEs. However, as a result of contractual arrangements, we have a controlling financial interest over and are considered the primary beneficiary of each of the VIEs, and we have consolidated the financial results, pursuant to U.S. GAAP, each of these entities in our consolidated financial statements. However, the contractual arrangements may not be as effective as direct ownership in providing us with control over the VIEs and we may incur substantial costs to enforce the terms of the arrangements. If the VIEs or the nominee shareholders fail to perform their respective obligations under the contractual arrangements, we could be limited in our ability to enforce the contractual arrangements that give us effective control over the VIEs. Furthermore, if we are unable to maintain effective control, we would not be able to continue to consolidate the financial results of the VIEs in our financial statements. See “Item 3. Key Information—D. Risk Factors—Risks Related to Our Corporate Structure—We rely on contractual arrangements with the VIEs and their shareholders to hold a controlling financial interest over each VIE, which may not be as effective as direct ownership in providing operational control” and “Item 3. Key Information—D. Risk Factors—Risks Related to Our Corporate Structure—The shareholders of the VIEs have conflicts of interest with us, which may materially and adversely affect our business and financial condition.”</w:t>
      </w:r>
    </w:p>
    <w:p>
      <w:pPr>
        <w:spacing w:after="0" w:line="173"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their nominee shareholders. It is uncertain whether any new PRC laws or regulations relating to contractual arrangements will be adopted or if adopted, what they would provide. If we or any of the VIEs is found to be in violation of any existing or future PRC laws or regulations, or fail to obtain or maintain any of the required permits or approvals, the PRC regulatory authorities would have broad discretion to take action in dealing with such violations or failures. Our Cayman Islands holding company, our PRC subsidiaries and the VIEs, and investors of our company face uncertainty about potential future actions by the PRC government that could affect the enforceability of the contractual arrangements with the VIEs, as a result of which we may not be able to consolidate the entities in our consolidated financial statements in accordance with U.S. GAAP. See “Item 3. Key Information —D. Risk Factors—Risks Related to Our Corporate Structure—If the PRC government deems that our VIE arrangements do not comply with PRC laws, or if these PRC laws change, we could be subject to severe penalties or be forced to relinquish our interests in those operations.”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7" w:lineRule="auto"/>
        <w:rPr>
          <w:sz w:val="20"/>
          <w:szCs w:val="20"/>
          <w:color w:val="auto"/>
        </w:rPr>
      </w:pPr>
      <w:r>
        <w:rPr>
          <w:rFonts w:ascii="Times New Roman" w:cs="Times New Roman" w:eastAsia="Times New Roman" w:hAnsi="Times New Roman"/>
          <w:sz w:val="16"/>
          <w:szCs w:val="16"/>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Information—D. Risk Factors—Risks Related to Doing Business in China—The PRC government’s significant oversight and discretion over our business operation could result in a material adverse change in our operations and the value of our ADSs.”</w:t>
      </w:r>
    </w:p>
    <w:p>
      <w:pPr>
        <w:spacing w:after="0" w:line="36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Risks and uncertainties regarding the interpretation and enforcement of laws and quickly evolving rules and regulations in China could result in a material adverse change in our operations and the value of our ADSs. For more details, see “Item 3. Key Information—D. Risk Factors—Risks Related to Doing Business in China—Uncertainties in the interpretation and enforcement of PRC laws and regulations could limit the legal protections available to you and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Permissions Required from the PRC Authorities for Our Operations</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Our operations in China are governed by PRC laws and regulations. As of the date of this annual report, our PRC subsidiaries and the VIEs have obtained the requisite licenses and permits from the PRC government authorities that are material for the main business operations of our holding company, our PRC subsidiaries and the VIEs in China, including, among others, a license for conducting internet content provision services, or the ICP license, and the insurance brokerage license. In addition, we have completed the filing process for our electric passenger vehicle investment project with the authorities in Anhui province and have been included in the Ministry of Industry and Information Technology’s catalogue of approved manufacturers. Given the uncertainties of interpretation and implementation of laws and regulations and the enforcement practice by government authorities, we may be required to obtain additional licenses, permits, filings or approvals for our business operations in the future. For more detailed information, see “Item 3. Key Information—D. Risk Factors—Risks Related to Doing Business in China—We may be adversely affected by the complexity, uncertainties and changes in PRC regulations on internet-related business, automotive businesses and other business carried out by our PRC subsidiaries and the VIEs.”</w:t>
      </w:r>
    </w:p>
    <w:p>
      <w:pPr>
        <w:spacing w:after="0" w:line="364"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Meanwhile, the PRC government has sought to exert more oversight and control over capital raising activities of listed companies that are conducted overseas and/or foreign investment in China-based issuers. In December 2021, the Cyberspace Administration of China, or the CAC, together with other authorities, jointly promulgated the Cybersecurity Review Measures, which took effect on February 15, 2022 and replaces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On February 17, 2023, China Securities Regulatory Commission, or the CSRC, released several regulations regarding the filing requirements for overseas offerings and listings by domestic companies, including the Trial Administrative Measures of Overseas Securities Offering and Listing by Domestic Companies and five supporting guidelines, which were formally implemented on March 31, 2023. According to these rules, domestic enterprises like us that have completed overseas listings are not required to file with CSRC immediately, but shall carry out filing procedures as required if we conduct refinancing or fall within other circumstances that require filing with the CSRC. Any failure to obtain or delay in obtaining such approval or completing such procedures could subject us to restrictions and penalties imposed by the CSRC, the CAC or other PRC regulatory authorities, which could include fines and penalties on our operations in China, delays of or restrictions on the repatriation of the proceeds from our offshore offerings into China, or other actions that could materially and adversely affect our business, financial condition, results of operations, and prospects, as well as the trading price of our ADSs. For more detailed information, see “Item 3. Key Information—D. Risk Factors— Risks Related to Doing Business in China—The approval of or the filing with the CSRC or other PRC government authorities may be required in connection with our future offshore listings and capital raising activities. We cannot predict whether we can or how long it will take us to obtain such approval or filing.”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Holding Foreign Companies Accountable Act</w:t>
      </w:r>
    </w:p>
    <w:p>
      <w:pPr>
        <w:spacing w:after="0" w:line="216"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(United States), or the PCAOB, for two consecutive years, the SEC will prohibit our shares or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the Chinese mainland and Hong Kong, including our auditor. In May 2022, the SEC conclusively listed NIO Inc. as a Commission-Identified Issuer under the HFCAA following the filing of our annual report on Form 20-F for the fiscal year ended December 31, 2021. On December 15, 2022, the PCAOB issued a report that vacated its December 16, 2021 determination and removed the Chinese mainland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HFCAA after we file this annual report on Form 20-F. Each year, the PCAOB will determine whether it can inspect and investigate completely audit firms in the Chinese mainland and Hong Kong, among other jurisdictions. If the PCAOB determines in the future that it no longer has full access to inspect and investigate completely accounting firms in the Chinese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Related to Doing Business in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 through Our Organization</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NIO Inc. is a holding company with no material operations of its own. We conduct our operations in China (i) primarily through our PRC subsidiaries, and (ii) to a much lesser extent, the VIEs and their subsidiary. As a result, although other means are available for us to obtain financing at the holding company level, NIO Inc.’s ability to pay dividends to the shareholders and to service any debt it may incur may depend upon dividends paid by our PRC subsidiaries and service fees paid by the VIEs in China. If any of our subsidiaries incurs debt on its own behalf in the future, the instruments governing such debt may restrict its ability to pay dividends to NIO Inc. In addition, our PRC subsidiaries are permitted to pay dividends to NIO Inc. only out of their retained earnings, if any, as determined in accordance with PRC accounting standards and regulations. Further, our PRC subsidiaries and the VIEs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 — B. Liquidity and Capital Resources — Holding Company Structure.”</w:t>
      </w:r>
    </w:p>
    <w:p>
      <w:pPr>
        <w:spacing w:after="0" w:line="16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Under PRC laws and regulations, our PRC subsidiaries and the VIEs are subject to certain restrictions with respect to paying dividends or otherwise transferring any of their net assets to us. Remittance of dividends by a wholly foreign-owned enterprise out of China is also subject to examination by the banks designated by the State Administration of Foreign Exchange of the PRC, or SAFE. The amounts restricted include the paid-up capital and the statutory reserve funds of our PRC subsidiaries and the net assets of the VIEs and their subsidiary in which we have no legal ownership, totaling RMB42,256.2 million, RMB55,128.3 million and RMB75,223.2 million (US$10,756.8 million) as of December 31, 2023, 2024 and 2025, respectively. For risks relating to the fund flows of our operations in China, see “Item 3. Key Information—D. Risk Factors—Risks Related to Doing Business in China—We may rely on distributions by our PRC subsidiaries for our financing requirements, and any limitation on our PRC subsidiaries to make payments to us could have a material and adverse effect on our business.”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right="20" w:firstLine="594"/>
        <w:spacing w:after="0" w:line="298" w:lineRule="auto"/>
        <w:rPr>
          <w:sz w:val="20"/>
          <w:szCs w:val="20"/>
          <w:color w:val="auto"/>
        </w:rPr>
      </w:pPr>
      <w:r>
        <w:rPr>
          <w:rFonts w:ascii="Times New Roman" w:cs="Times New Roman" w:eastAsia="Times New Roman" w:hAnsi="Times New Roman"/>
          <w:sz w:val="16"/>
          <w:szCs w:val="16"/>
          <w:color w:val="auto"/>
        </w:rPr>
        <w:t>For purposes of illustration, the following discussion reflects the hypothetical taxes that might be required to be paid within China, assuming that: (i) we have taxable earnings, and (ii) we determine to pay dividends in the future.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5980" w:type="dxa"/>
            <w:vAlign w:val="bottom"/>
          </w:tcPr>
          <w:p>
            <w:pPr>
              <w:ind w:left="578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 xml:space="preserve">Tax calculation </w:t>
            </w:r>
            <w:r>
              <w:rPr>
                <w:rFonts w:ascii="Times New Roman" w:cs="Times New Roman" w:eastAsia="Times New Roman" w:hAnsi="Times New Roman"/>
                <w:sz w:val="19"/>
                <w:szCs w:val="19"/>
                <w:b w:val="1"/>
                <w:bCs w:val="1"/>
                <w:color w:val="auto"/>
                <w:vertAlign w:val="superscript"/>
              </w:rPr>
              <w:t>(1)</w:t>
            </w:r>
          </w:p>
        </w:tc>
      </w:tr>
      <w:tr>
        <w:trPr>
          <w:trHeight w:val="190"/>
        </w:trPr>
        <w:tc>
          <w:tcPr>
            <w:tcW w:w="8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Hypothetical pre-tax earnings</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98"/>
        </w:trPr>
        <w:tc>
          <w:tcPr>
            <w:tcW w:w="846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 xml:space="preserve">Tax on earnings at statutory rate of 25% </w:t>
            </w:r>
            <w:r>
              <w:rPr>
                <w:rFonts w:ascii="Times New Roman" w:cs="Times New Roman" w:eastAsia="Times New Roman" w:hAnsi="Times New Roman"/>
                <w:sz w:val="22"/>
                <w:szCs w:val="22"/>
                <w:color w:val="auto"/>
                <w:vertAlign w:val="superscript"/>
              </w:rPr>
              <w:t>(2)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8"/>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available for distribution</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198"/>
        </w:trPr>
        <w:tc>
          <w:tcPr>
            <w:tcW w:w="846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 xml:space="preserve">Withholding tax at standard rate of 10% </w:t>
            </w:r>
            <w:r>
              <w:rPr>
                <w:rFonts w:ascii="Times New Roman" w:cs="Times New Roman" w:eastAsia="Times New Roman" w:hAnsi="Times New Roman"/>
                <w:sz w:val="22"/>
                <w:szCs w:val="22"/>
                <w:color w:val="auto"/>
                <w:vertAlign w:val="superscript"/>
              </w:rPr>
              <w:t>(3)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198"/>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distribution to Parent/Shareholders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r>
      <w:tr>
        <w:trPr>
          <w:trHeight w:val="99"/>
        </w:trPr>
        <w:tc>
          <w:tcPr>
            <w:tcW w:w="248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Notes:</w:t>
      </w:r>
    </w:p>
    <w:p>
      <w:pPr>
        <w:spacing w:after="0" w:line="185" w:lineRule="exact"/>
        <w:rPr>
          <w:sz w:val="20"/>
          <w:szCs w:val="20"/>
          <w:color w:val="auto"/>
        </w:rPr>
      </w:pPr>
    </w:p>
    <w:p>
      <w:pPr>
        <w:ind w:left="300" w:right="20" w:hanging="300"/>
        <w:spacing w:after="0" w:line="253" w:lineRule="auto"/>
        <w:tabs>
          <w:tab w:leader="none" w:pos="3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example, the tax calculation has been simplified. The hypothetical book pre-tax earnings amount, not considering timing differences, is assumed to equal taxable income in China.</w:t>
      </w:r>
    </w:p>
    <w:p>
      <w:pPr>
        <w:spacing w:after="0" w:line="155" w:lineRule="exact"/>
        <w:rPr>
          <w:rFonts w:ascii="Times New Roman" w:cs="Times New Roman" w:eastAsia="Times New Roman" w:hAnsi="Times New Roman"/>
          <w:sz w:val="13"/>
          <w:szCs w:val="13"/>
          <w:color w:val="auto"/>
        </w:rPr>
      </w:pPr>
    </w:p>
    <w:p>
      <w:pPr>
        <w:ind w:left="300" w:right="20" w:hanging="300"/>
        <w:spacing w:after="0" w:line="253" w:lineRule="auto"/>
        <w:tabs>
          <w:tab w:leader="none" w:pos="3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of our subsidiaries qualifies for a 15% preferential income tax rate in China. For purposes of this hypothetical example, the table above reflects a maximum tax scenario under which the full statutory rate would be effective.</w:t>
      </w:r>
    </w:p>
    <w:p>
      <w:pPr>
        <w:spacing w:after="0" w:line="155" w:lineRule="exact"/>
        <w:rPr>
          <w:rFonts w:ascii="Times New Roman" w:cs="Times New Roman" w:eastAsia="Times New Roman" w:hAnsi="Times New Roman"/>
          <w:sz w:val="13"/>
          <w:szCs w:val="13"/>
          <w:color w:val="auto"/>
        </w:rPr>
      </w:pPr>
    </w:p>
    <w:p>
      <w:pPr>
        <w:jc w:val="both"/>
        <w:ind w:left="300" w:right="20" w:hanging="300"/>
        <w:spacing w:after="0" w:line="232" w:lineRule="auto"/>
        <w:tabs>
          <w:tab w:leader="none" w:pos="3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PRC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168" w:lineRule="exact"/>
        <w:rPr>
          <w:sz w:val="20"/>
          <w:szCs w:val="20"/>
          <w:color w:val="auto"/>
        </w:rPr>
      </w:pPr>
    </w:p>
    <w:p>
      <w:pPr>
        <w:jc w:val="both"/>
        <w:ind w:right="20" w:firstLine="594"/>
        <w:spacing w:after="0" w:line="266" w:lineRule="auto"/>
        <w:rPr>
          <w:sz w:val="20"/>
          <w:szCs w:val="20"/>
          <w:color w:val="auto"/>
        </w:rPr>
      </w:pPr>
      <w:r>
        <w:rPr>
          <w:rFonts w:ascii="Times New Roman" w:cs="Times New Roman" w:eastAsia="Times New Roman" w:hAnsi="Times New Roman"/>
          <w:sz w:val="16"/>
          <w:szCs w:val="16"/>
          <w:color w:val="auto"/>
        </w:rPr>
        <w:t>Under PRC law, NIO Inc. may provide funding to our PRC subsidiaries only through capital contributions or loans, and to the VIEs only through loans, subject to satisfaction of applicable government registration and approval requirements. NIO Inc. and its subsidiaries extended loans to the nominee shareholders of the VIEs for their investment in the VIEs, with outstanding principal amount of RMB50.1 million, RMB50.1 million and RMB50.1 million (US$7.2 million) as of December 31, 2023, 2024 and 2025. In addition, NIO Inc. and its subsidiaries also extended loans to the VIEs for operations with outstanding principal amount of RMB86.9 million, RMB34.7 million and RMB7.7 million (US$1.1 million) as of December 31, 2023, 2024 and 2025, respectively.</w:t>
      </w:r>
    </w:p>
    <w:p>
      <w:pPr>
        <w:spacing w:after="0" w:line="163" w:lineRule="exact"/>
        <w:rPr>
          <w:sz w:val="20"/>
          <w:szCs w:val="20"/>
          <w:color w:val="auto"/>
        </w:rPr>
      </w:pPr>
    </w:p>
    <w:p>
      <w:pPr>
        <w:jc w:val="both"/>
        <w:ind w:right="20" w:firstLine="594"/>
        <w:spacing w:after="0" w:line="265" w:lineRule="auto"/>
        <w:rPr>
          <w:sz w:val="20"/>
          <w:szCs w:val="20"/>
          <w:color w:val="auto"/>
        </w:rPr>
      </w:pPr>
      <w:r>
        <w:rPr>
          <w:rFonts w:ascii="Times New Roman" w:cs="Times New Roman" w:eastAsia="Times New Roman" w:hAnsi="Times New Roman"/>
          <w:sz w:val="16"/>
          <w:szCs w:val="16"/>
          <w:color w:val="auto"/>
        </w:rPr>
        <w:t>Pursuant to the exclusive business cooperation agreements between NIO Co., Ltd., or Shanghai NIO, a wholly-owned subsidiary of our company, and Beijing NIO, Shanghai NIO may adjust the payment time and payment method of the service fees, and Beijing NIO will accept any such adjustment. For the years ended December 31, 2023, 2024 and 2025, no service under the contractual arrangements was provided by Shanghai NIO and no service fee was paid by Beijing NIO to Shanghai NIO accordingly. We intend to determine the amount of service fee and payment method based on the working capital needs of Shanghai NIO and Beijing NIO, and settle such service fees accordingly in the future. Pursuant to a separate service agreement, for the years ended December 31, 2023, 2024 and 2025, Shanghai NIO paid Beijing NIO RMB0.7 million, RMB0.7 million and nil for services provided by Beijing NIO.</w:t>
      </w:r>
    </w:p>
    <w:p>
      <w:pPr>
        <w:spacing w:after="0" w:line="162" w:lineRule="exact"/>
        <w:rPr>
          <w:sz w:val="20"/>
          <w:szCs w:val="20"/>
          <w:color w:val="auto"/>
        </w:rPr>
      </w:pPr>
    </w:p>
    <w:p>
      <w:pPr>
        <w:jc w:val="both"/>
        <w:ind w:right="20" w:firstLine="594"/>
        <w:spacing w:after="0" w:line="264" w:lineRule="auto"/>
        <w:rPr>
          <w:sz w:val="20"/>
          <w:szCs w:val="20"/>
          <w:color w:val="auto"/>
        </w:rPr>
      </w:pPr>
      <w:r>
        <w:rPr>
          <w:rFonts w:ascii="Times New Roman" w:cs="Times New Roman" w:eastAsia="Times New Roman" w:hAnsi="Times New Roman"/>
          <w:sz w:val="16"/>
          <w:szCs w:val="16"/>
          <w:color w:val="auto"/>
        </w:rPr>
        <w:t>Pursuant to the exclusive business cooperation agreement dated November 30, 2022 between Anhui NIO Autonomous Driving Technology Co., Ltd., or Anhui NIO AD, a wholly-owned subsidiary of our company, and Anhui NIO AT, Anhui NIO AD may adjust the payment time and payment method of the service fees, and Anhui NIO AT will accept any such adjustment. For the years ended December 31, 2023, 2024 and 2025, no service under the contractual arrangements was provided by Anhui NIO AD and no service fee was paid by Anhui NIO AT to Anhui NIO AD accordingly We intend to determine the amount of service fee and payment method based on the working capital needs of Anhui NIO AD and Anhui NIO AT, and settle such service fees accordingly in the future. Pursuant to a separate service agreement, for the years ended December 31, 2023, 2024 and 2025, Anhui NIO AD paid Anhui NIO AT RMB58.4 million, RMB171.4 million and RMB76.6 million (US$10.9 million) for services provided by Anhui NIO AT.</w:t>
      </w:r>
    </w:p>
    <w:p>
      <w:pPr>
        <w:spacing w:after="0" w:line="365" w:lineRule="exact"/>
        <w:rPr>
          <w:sz w:val="20"/>
          <w:szCs w:val="20"/>
          <w:color w:val="auto"/>
        </w:rPr>
      </w:pPr>
    </w:p>
    <w:p>
      <w:pPr>
        <w:jc w:val="both"/>
        <w:ind w:right="20" w:firstLine="594"/>
        <w:spacing w:after="0" w:line="266" w:lineRule="auto"/>
        <w:rPr>
          <w:sz w:val="20"/>
          <w:szCs w:val="20"/>
          <w:color w:val="auto"/>
        </w:rPr>
      </w:pPr>
      <w:r>
        <w:rPr>
          <w:rFonts w:ascii="Times New Roman" w:cs="Times New Roman" w:eastAsia="Times New Roman" w:hAnsi="Times New Roman"/>
          <w:sz w:val="16"/>
          <w:szCs w:val="16"/>
          <w:color w:val="auto"/>
        </w:rPr>
        <w:t>Pursuant to the exclusive business cooperation agreement dated December 12, 2022 between NIO Holding Co., Ltd., or NIO China, a PRC subsidiary in which we hold 91.8% controlling equity interests, and Anhui NIO DT, NIO China may adjust the payment time and payment method of the service fees, and Anhui NIO DT will accept any such adjustment. For the years ended December 31, 2023, 2024 and 2025, no service under the contractual arrangements was provided by NIO China and no service fee was paid by Anhui NIO DT to NIO China accordingly. We intend to determine the amount of service fee and payment method based on the working capital needs of NIO China and Anhui NIO DT, and settle such service fees accordingly in the future.</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NIO Inc. has not declared or paid any cash dividends, nor does it have any present plan to pay any cash dividends on our ordinary shares in the foreseeable future. We currently intend to retain most, if not all, of our available funds and any future earnings to operate and expand our business. See “Item 8. Financial Information — A. Consolidated Statements and Other Financial Information — Dividend Policy.” For Cayman Islands, PRC and United States federal income tax considerations of an investment in our ADSs or Class A ordinary shares, see “Item 10. Additional Information — E. Taxation.”</w:t>
      </w:r>
    </w:p>
    <w:p>
      <w:pPr>
        <w:spacing w:after="0" w:line="16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As of December 31, 2023, 2024 and 2025 and for the years ended December 31, 2023, 2024 and 2025, none of Beijing NIO, Anhui NIO AT and Anhui NIO DT had significant operations or any material assets or liabilities. As a result, the financial information related to the consolidated VIEs were insignificant to our consolidated financial statements.</w:t>
      </w:r>
    </w:p>
    <w:p>
      <w:pPr>
        <w:spacing w:after="0" w:line="112" w:lineRule="exact"/>
        <w:rPr>
          <w:sz w:val="20"/>
          <w:szCs w:val="20"/>
          <w:color w:val="auto"/>
        </w:rPr>
      </w:pPr>
    </w:p>
    <w:p>
      <w:pPr>
        <w:ind w:left="580" w:hanging="580"/>
        <w:spacing w:after="0"/>
        <w:tabs>
          <w:tab w:leader="none" w:pos="5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[Reserved]</w:t>
      </w:r>
    </w:p>
    <w:p>
      <w:pPr>
        <w:spacing w:after="0" w:line="212" w:lineRule="exact"/>
        <w:rPr>
          <w:rFonts w:ascii="Times New Roman" w:cs="Times New Roman" w:eastAsia="Times New Roman" w:hAnsi="Times New Roman"/>
          <w:sz w:val="16"/>
          <w:szCs w:val="16"/>
          <w:b w:val="1"/>
          <w:bCs w:val="1"/>
          <w:color w:val="auto"/>
        </w:rPr>
      </w:pPr>
    </w:p>
    <w:p>
      <w:pPr>
        <w:ind w:left="600" w:right="7080" w:hanging="595"/>
        <w:spacing w:after="0" w:line="516" w:lineRule="auto"/>
        <w:tabs>
          <w:tab w:leader="none" w:pos="574"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Capitalization and Indebtedness </w:t>
      </w:r>
      <w:r>
        <w:rPr>
          <w:rFonts w:ascii="Times New Roman" w:cs="Times New Roman" w:eastAsia="Times New Roman" w:hAnsi="Times New Roman"/>
          <w:sz w:val="16"/>
          <w:szCs w:val="16"/>
          <w:color w:val="auto"/>
        </w:rPr>
        <w:t>Not applicable.</w:t>
      </w:r>
    </w:p>
    <w:p>
      <w:pPr>
        <w:ind w:left="600" w:right="6380" w:hanging="600"/>
        <w:spacing w:after="0" w:line="516" w:lineRule="auto"/>
        <w:tabs>
          <w:tab w:leader="none" w:pos="579"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Reasons for the Offer and Use of Proceeds </w:t>
      </w:r>
      <w:r>
        <w:rPr>
          <w:rFonts w:ascii="Times New Roman" w:cs="Times New Roman" w:eastAsia="Times New Roman" w:hAnsi="Times New Roman"/>
          <w:sz w:val="16"/>
          <w:szCs w:val="16"/>
          <w:color w:val="auto"/>
        </w:rPr>
        <w:t>Not applicable.</w:t>
      </w:r>
    </w:p>
    <w:p>
      <w:pPr>
        <w:ind w:left="580" w:hanging="580"/>
        <w:spacing w:after="0"/>
        <w:tabs>
          <w:tab w:leader="none" w:pos="5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216"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An investment in our ADSs and Class A ordinary shares involves significant risks. Below is a summary of material risks we face, organized under headings. These risks are discussed more fully in “Item 3. Key Information—D. Risk Factors.”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and Industry</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Risks and uncertainties related to our business and industry include, but are not limited to, the following:</w:t>
      </w:r>
    </w:p>
    <w:p>
      <w:pPr>
        <w:spacing w:after="0" w:line="212" w:lineRule="exact"/>
        <w:rPr>
          <w:sz w:val="20"/>
          <w:szCs w:val="20"/>
          <w:color w:val="auto"/>
        </w:rPr>
      </w:pPr>
    </w:p>
    <w:p>
      <w:pPr>
        <w:ind w:left="920" w:hanging="301"/>
        <w:spacing w:after="0"/>
        <w:tabs>
          <w:tab w:leader="none" w:pos="9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automotive market is highly competitive, and we face significant challenges in competing in our industry;</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and manufacture vehicles of sufficient quality and appeal to customers on schedule and on a large scale is still evolving;</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incurred significant losses and negative cash flows in the past, and may continue to record net losses and negative operating cash flows in the near future;</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limited experience in manufacturing vehicles at scale. Any delays in the manufacturing and launching of our products, or ramping up of our production capacity, could have a material adverse effect on our business;</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Rising international political tensions, including changes in U.S. and European international trade policies and other cross-border investment regulations, particularly with regard to China, may adversely impact our business and operating results;</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unavailability, reduction or elimination of government and economic incentives or governmental policies which are favorable for electric vehicles and domestically produced vehicles could have a material adverse effect on our business;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current or future vehicles may not perform in line with customer expectations;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face challenges in providing our power solutions;</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services may not be generally accepted by our users. If we are unable to provide satisfactory services for our users, our business and reputation may be materially and adversely affected;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920" w:hanging="301"/>
        <w:spacing w:after="0"/>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dependent on our suppliers, many of whom are our single source suppliers for the components they supply;</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Battery Asset Company to provide Battery as a Service to our users. If Battery Asset Company fails to achieve smooth and stable operations, our Battery as a Service may be materially and adversely affected; and</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to defend ourselves against patent or trademark infringement claims, which may be time-consuming and would cause us to incur substantial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Corporate Structure</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are also subject to risks and uncertainties related to our corporate structure, including, but not limited to, the following:</w:t>
      </w:r>
    </w:p>
    <w:p>
      <w:pPr>
        <w:spacing w:after="0" w:line="212" w:lineRule="exact"/>
        <w:rPr>
          <w:sz w:val="20"/>
          <w:szCs w:val="20"/>
          <w:color w:val="auto"/>
        </w:rPr>
      </w:pPr>
    </w:p>
    <w:p>
      <w:pPr>
        <w:jc w:val="both"/>
        <w:ind w:left="920" w:hanging="301"/>
        <w:spacing w:after="0" w:line="264" w:lineRule="auto"/>
        <w:tabs>
          <w:tab w:leader="none" w:pos="9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Cayman Islands holding company with no equity ownership in the VIEs and we conduct our operations in China (i) primarily through our PRC subsidiaries, and (ii) to a much lesser extent, the VIEs and their subsidiary. Investors in our ADSs and Class A ordinary shares thus are not purchasing equity interests in the VIEs in China but instead are purchasing equity interests in a Cayman Islands holding company. If the PRC government deems that our VIE arrangements do not comply with PRC laws, or if these PRC laws change, we could be subject to severe penalties or be forced to relinquish our interests in those operations. Our holding company in the Cayman Islands, the VIEs and investors of our company face uncertainty about potential future actions by the PRC government that could affect the enforceability of the contractual arrangements with the VIEs, as a result of which we may not be able to consolidate the entities in our consolidated financial statements in accordance with U.S. GAAP;</w:t>
      </w:r>
    </w:p>
    <w:p>
      <w:pPr>
        <w:spacing w:after="0" w:line="163"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contractual arrangements with the VIEs and their shareholders to hold a controlling financial interest over each VIE, which may not be as effective as direct ownership in providing operational control;</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enforce the equity pledge agreements between us and the VIEs’ shareholders may be subject to limitations based on PRC laws and regulations; and</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of the VIEs have conflicts of interest with us, which may materially and adversely affect our business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Doing Business in China</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face risks and uncertainties related to doing business in China in general, including, but not limited to, the following:</w:t>
      </w:r>
    </w:p>
    <w:p>
      <w:pPr>
        <w:spacing w:after="0" w:line="212" w:lineRule="exact"/>
        <w:rPr>
          <w:sz w:val="20"/>
          <w:szCs w:val="20"/>
          <w:color w:val="auto"/>
        </w:rPr>
      </w:pPr>
    </w:p>
    <w:p>
      <w:pPr>
        <w:ind w:left="920" w:hanging="301"/>
        <w:spacing w:after="0" w:line="298" w:lineRule="auto"/>
        <w:tabs>
          <w:tab w:leader="none" w:pos="9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China’s economic, political or social conditions or government policies could have a material and adverse effect on our business and results of operations;</w:t>
      </w:r>
    </w:p>
    <w:p>
      <w:pPr>
        <w:spacing w:after="0" w:line="137" w:lineRule="exact"/>
        <w:rPr>
          <w:rFonts w:ascii="Times New Roman" w:cs="Times New Roman" w:eastAsia="Times New Roman" w:hAnsi="Times New Roman"/>
          <w:sz w:val="16"/>
          <w:szCs w:val="16"/>
          <w:color w:val="auto"/>
        </w:rPr>
      </w:pPr>
    </w:p>
    <w:p>
      <w:pPr>
        <w:jc w:val="both"/>
        <w:ind w:left="920" w:hanging="301"/>
        <w:spacing w:after="0" w:line="271" w:lineRule="auto"/>
        <w:tabs>
          <w:tab w:leader="none" w:pos="9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regarding the interpretation and enforcement of laws and quickly evolving rules and regulations in China could result in a material adverse change in our operations and the value of our ADSs and Class A ordinary shares. For more details, see “Item 3. Key Information—D. Risk Factors—Risks Related to Doing Business in China—Uncertainties in the interpretation and enforcement of PRC laws and regulations could limit the legal protections available to you and us”;</w:t>
      </w:r>
    </w:p>
    <w:p>
      <w:pPr>
        <w:spacing w:after="0" w:line="159" w:lineRule="exact"/>
        <w:rPr>
          <w:rFonts w:ascii="Times New Roman" w:cs="Times New Roman" w:eastAsia="Times New Roman" w:hAnsi="Times New Roman"/>
          <w:sz w:val="16"/>
          <w:szCs w:val="16"/>
          <w:color w:val="auto"/>
        </w:rPr>
      </w:pPr>
    </w:p>
    <w:p>
      <w:pPr>
        <w:jc w:val="both"/>
        <w:ind w:left="920" w:hanging="301"/>
        <w:spacing w:after="0" w:line="266" w:lineRule="auto"/>
        <w:tabs>
          <w:tab w:leader="none" w:pos="9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PRC government’s significant authority in regulating our operations and its oversight and control over capital raising activities of listed companies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For more details, see “Item 3. Key Information — D. Risk Factors — Risks Related to Doing Business in China — The PRC government’s significant oversight and discretion over our business operation could result in a material adverse change in our operations and the value of our ADSs”;</w:t>
      </w:r>
    </w:p>
    <w:p>
      <w:pPr>
        <w:spacing w:after="0" w:line="162" w:lineRule="exact"/>
        <w:rPr>
          <w:rFonts w:ascii="Times New Roman" w:cs="Times New Roman" w:eastAsia="Times New Roman" w:hAnsi="Times New Roman"/>
          <w:sz w:val="16"/>
          <w:szCs w:val="16"/>
          <w:color w:val="auto"/>
        </w:rPr>
      </w:pPr>
    </w:p>
    <w:p>
      <w:pPr>
        <w:jc w:val="both"/>
        <w:ind w:left="920" w:hanging="301"/>
        <w:spacing w:after="0" w:line="291" w:lineRule="auto"/>
        <w:tabs>
          <w:tab w:leader="none" w:pos="9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or the filing with the CSRC or other PRC government authorities may be required in connection with our future offshore listings and capital raising activities. We cannot predict whether we can or how long it will take us to obtain such approval or filing;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920" w:hanging="301"/>
        <w:spacing w:after="0" w:line="298" w:lineRule="auto"/>
        <w:tabs>
          <w:tab w:leader="none" w:pos="9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adversely affected by the complexity, uncertainties and changes in PRC regulations on internet-related business, automotive businesses and other business carried out by our PRC subsidiaries and the VIEs;</w:t>
      </w:r>
    </w:p>
    <w:p>
      <w:pPr>
        <w:spacing w:after="0" w:line="137"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w:t>
      </w:r>
    </w:p>
    <w:p>
      <w:pPr>
        <w:spacing w:after="0" w:line="152" w:lineRule="exact"/>
        <w:rPr>
          <w:rFonts w:ascii="Times New Roman" w:cs="Times New Roman" w:eastAsia="Times New Roman" w:hAnsi="Times New Roman"/>
          <w:sz w:val="16"/>
          <w:szCs w:val="16"/>
          <w:color w:val="auto"/>
        </w:rPr>
      </w:pPr>
    </w:p>
    <w:p>
      <w:pPr>
        <w:jc w:val="both"/>
        <w:ind w:left="920" w:hanging="301"/>
        <w:spacing w:after="0" w:line="265" w:lineRule="auto"/>
        <w:tabs>
          <w:tab w:leader="none" w:pos="9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ADSs may be prohibited from being traded in the United States under the HFCAA in the future if the PCAOB determines that it is unable to inspect or investigate completely auditors located in China. The delisting or prohibition of trading of the ADSs, or the threat of their being delisted or prohibited from trading, may materially and adversely affect the value of your investment. For more details, see “Item 3. Key Information—D. Risk Factors—Risks Related to Doing Business in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ADSs and Class A Ordinary Shares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 addition to the risks described above, we are subject to risks related to our ADSs and Class A ordinary shares:</w:t>
      </w:r>
    </w:p>
    <w:p>
      <w:pPr>
        <w:spacing w:after="0" w:line="212" w:lineRule="exact"/>
        <w:rPr>
          <w:sz w:val="20"/>
          <w:szCs w:val="20"/>
          <w:color w:val="auto"/>
        </w:rPr>
      </w:pPr>
    </w:p>
    <w:p>
      <w:pPr>
        <w:ind w:left="920" w:hanging="301"/>
        <w:spacing w:after="0"/>
        <w:tabs>
          <w:tab w:leader="none" w:pos="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adopt different practices as to certain matters as compared with many other companies listed on the Hong Kong Stock Exchange;</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change the listing venue of our securities, you may lose the shareholder protection mechanisms afforded under the regulatory regimes of the applicable securities exchange;</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prices of our listed securities have been and are likely to continue to be, volatile, which could result in substantial losses to investors;</w:t>
      </w:r>
    </w:p>
    <w:p>
      <w:pPr>
        <w:spacing w:after="0" w:line="137"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or industry analysts do not publish research or reports about our business, or if they adversely change their recommendations regarding our Class A ordinary shares and/or ADSs, the market price for our Class A ordinary shares and/or ADSs and trading volume could decline; and</w:t>
      </w:r>
    </w:p>
    <w:p>
      <w:pPr>
        <w:spacing w:after="0" w:line="152"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automotive market is highly competitive, and we face significant challenges in competing in our industry.</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The automotive market, particularly the market in China, is highly competitive. Our vehicles compete with both NEV and ICE vehicles across multiple market segments. Many of our current and potential competitors have significantly greater financial, technical, engineering, manufacturing, marketing and other resources than we do, and may be able to devote greater resources to the design, development, manufacturing, promotion, sale and support of their products.</w:t>
      </w:r>
    </w:p>
    <w:p>
      <w:pPr>
        <w:spacing w:after="0" w:line="159" w:lineRule="exact"/>
        <w:rPr>
          <w:sz w:val="20"/>
          <w:szCs w:val="20"/>
          <w:color w:val="auto"/>
        </w:rPr>
      </w:pPr>
    </w:p>
    <w:p>
      <w:pPr>
        <w:jc w:val="both"/>
        <w:ind w:firstLine="594"/>
        <w:spacing w:after="0" w:line="267" w:lineRule="auto"/>
        <w:rPr>
          <w:sz w:val="20"/>
          <w:szCs w:val="20"/>
          <w:color w:val="auto"/>
        </w:rPr>
      </w:pPr>
      <w:r>
        <w:rPr>
          <w:rFonts w:ascii="Times New Roman" w:cs="Times New Roman" w:eastAsia="Times New Roman" w:hAnsi="Times New Roman"/>
          <w:sz w:val="16"/>
          <w:szCs w:val="16"/>
          <w:color w:val="auto"/>
        </w:rPr>
        <w:t>Moreover, we expect competition in the China automotive market to intensify in light of increased product supply, intense price competition, reduced government subsidies, continuing globalization, and industry consolidation. Increased competition will place greater demands on, among others, product design and performance, technological innovation, pricing, product quality and safety, manufacturing efficiency, sales and marketing capabilities, service and charging options, and user satisfaction. Increasing competition may also lead to lower vehicle unit sales, higher inventory, downward pricing pressure, and margin compression, which may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Furthermore, our competitive advantages as a leading and early-moving EV company will be compromised if our competitors achieve higher production and sales volumes, offer more favorable pricing, or introduce new products or services at a faster pace than we do. If our competitors introduce new vehicles or services that successfully compete with or surpass the quality or performance of our offerings at more competitive prices, we may be unable to satisfy existing customers or attract new customers at the price levels that would allow us to generate acceptable rates of return on our investment.</w:t>
      </w:r>
    </w:p>
    <w:p>
      <w:pPr>
        <w:spacing w:after="0" w:line="161"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may also be affected by volatility in the overall China automotive market. Fluctuations in the growth rate of passenger vehicle sales and/or EV sales and shifting consumer demands for EVs could adversely affect our business, results of operations and financial condition.</w:t>
      </w:r>
    </w:p>
    <w:p>
      <w:pPr>
        <w:spacing w:after="0" w:line="137"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ability to successfully compete is fundamental to our future success in existing and new markets and in growing our market share. There can be no assurance that we will be able to compete successfully. You should consider our business and prospects in light of the risks and challenges we face in our industry, including, among other things, with respect to our ability to:</w:t>
      </w:r>
    </w:p>
    <w:p>
      <w:pPr>
        <w:spacing w:after="0" w:line="153" w:lineRule="exact"/>
        <w:rPr>
          <w:sz w:val="20"/>
          <w:szCs w:val="20"/>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and produce safe, reliable and high-quality vehicles on an ongoing basis;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 and maintain a well-recognized and respected brand;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expand and retain our customer base;</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market our vehicles and services;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competitively price our products and services, and accurately anticipate vehicle sales volume and service adoption rates;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 and maintain our operational and cost efficiency;</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reliable, secure, high-performance and scalable technology infrastructure;</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develop and protect our core technologies;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retain and motivate talented employees;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 and adapt to changing market conditions, including technological developments and changes in competitive landscape;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navigate an evolving and complex regulatory environment.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If we fail to address any or all of these risks and challenges, our business may be materially and adversely affected.</w:t>
      </w:r>
    </w:p>
    <w:p>
      <w:pPr>
        <w:spacing w:after="0" w:line="212"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Furthermore, our vehicles are highly technical products that will require ongoing maintenance, software updates and support. If we were to cease or cut back operations, even years from now, owners of our vehicles from years earlier might encounter difficulties in maintaining their vehicles and obtaining satisfactory support. We believe that user confidence in our ability to provide comprehensive power solutions and assisted and intelligent driving functions and to honor our service commitments overtime is one of the important factors in marketing our vehicles. If our consumers, suppliers or other third parties have concerns about our long-term business prospects, they may be less likely to purchase our vehicles or invest time and resources in developing business relationships with us, which may adversely affect our business, financial condition and results of operations.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develop and manufacture vehicles of sufficient quality and appeal to customers on schedule and on a large scale is still evolving.</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Our future business depends in large part on our ability to execute on our plans to develop, manufacture, market and sell our electric vehicles. We plan to manufacture our vehicles in higher volumes than our present production capabilities.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Our continued development and manufacturing of our current and future vehicle models are and will be subject to risks, including with respect to:</w:t>
      </w:r>
    </w:p>
    <w:p>
      <w:pPr>
        <w:spacing w:after="0" w:line="137" w:lineRule="exact"/>
        <w:rPr>
          <w:sz w:val="20"/>
          <w:szCs w:val="20"/>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secure necessary funding;</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equipment we use being able to accurately manufacture the vehicle within specified design tolerances;</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environmental, workplace safety and similar regulations;</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securing necessary components on acceptable terms and in a timely manner;</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accurately assess user demand;</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timely manufacture vehicles and expand production capacity;</w:t>
      </w:r>
    </w:p>
    <w:p>
      <w:pPr>
        <w:spacing w:after="0" w:line="224" w:lineRule="exact"/>
        <w:rPr>
          <w:rFonts w:ascii="Times New Roman" w:cs="Times New Roman" w:eastAsia="Times New Roman" w:hAnsi="Times New Roman"/>
          <w:sz w:val="16"/>
          <w:szCs w:val="16"/>
          <w:color w:val="auto"/>
        </w:rPr>
      </w:pPr>
    </w:p>
    <w:p>
      <w:pPr>
        <w:ind w:left="920" w:hanging="301"/>
        <w:spacing w:after="0" w:line="314" w:lineRule="auto"/>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delivery of final component designs to our suppliers, or delays in the development and delivery of our core technologies and new vehicle models;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recruit, hire and train skilled employees;</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quality controls;</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disruptions in our supply chain;</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solid partnership with our suppliers; and</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costs and prevent budget overruns.</w:t>
      </w:r>
    </w:p>
    <w:p>
      <w:pPr>
        <w:spacing w:after="0" w:line="150"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Historically, automobile customers have expected auto companies to periodically introduce new and improved vehicle models. However, we have limited experience designing, testing, manufacturing, marketing and selling our electric vehicles and therefore cannot assure you that we will be able to introduce new or improved vehicle models at a pace that meets customer expectations. Nor can we guarantee that the vehicle models we roll out from time to time will achieve market success. If our new vehicle models or upgraded versions of existing vehicle models are not well received by customers, our brand image and business performance may be adversely affected.</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Any of the foregoing could have a material adverse effect on our results of operations and growth prospects.</w:t>
      </w:r>
    </w:p>
    <w:p>
      <w:pPr>
        <w:spacing w:after="0" w:line="20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incurred significant losses and negative cash flows in the past, and may continue to record net losses and negative operating cash flows in the near future.</w:t>
      </w:r>
    </w:p>
    <w:p>
      <w:pPr>
        <w:spacing w:after="0" w:line="13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We incurred significant losses in the past and only started to record net profit in the fourth quarter of 2025. We incurred net losses of RMB20,719.8 million, RMB22,401.7 million and RMB14,942.6 million (US$2,136.8 million) for the years ended December 31, 2023, 2024 and 2025, respectively. In addition, although we generated positive operating cash flows in 2025, we had negative operating cash flows of RMB1,381.5 million and RMB7,849.2 million in 2023 and 2024, respectively.</w:t>
      </w:r>
    </w:p>
    <w:p>
      <w:pPr>
        <w:spacing w:after="0" w:line="15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We may continue to record net losses and negative operating cash flows in the near future. We may not be able to fulfill our obligations in providing vehicles and services to our users in respect of advances from customers, the failure of which may negatively affect our cash flow position. If we fail to generate sufficient revenues from our operations, or if we fail to maintain sufficient cash and financing, we may not have sufficient cash flows to fund our business, operations and capital expenditures, and our business and financial position will be adversely affected.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We have made significant up-front investments in research and development, power network, sales and service network, manufacturing facilities as well as marketing activities to rapidly develop and expand our business. We expect to continue to invest significantly in these areas to further develop and expand our business, and these investments may not result in an increase in revenue or positive cash flow on a timely basis, or at all. For example, we are developing new products to cover broader market segments and various core technologies such as assisted and intelligent driving technologies. We cannot assure you that we will be able to successfully execute our strategies or compete effectively against existing or future competitors in these areas. Additionally, the electric vehicle industry has experienced, and may continue to experience intense price competition as many players adopt aggressive pricing strategies to gain market share. We may need to adjust our pricing, which could lead to a downward pressure of our margin levels, and adversely affect our financial condition and results of operations.</w:t>
      </w:r>
    </w:p>
    <w:p>
      <w:pPr>
        <w:spacing w:after="0" w:line="16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There can be no assurance that we will not experience liquidity problems in the future. We may not generate sufficient revenues, or we may incur substantial losses for a number of reasons, including lack of demand for our vehicles and services, increasing competition, challenging macro-economic environment, price volatility in our supply chain, fluctuations of the passenger vehicle industry, as well as other risks discussed herein, and we may incur unforeseen expenses, or encounter difficulties, complications and delays in generating revenue or achieving profitability. Moreover, our operation efficiency also has a significant impact on our ability to generate profits. Failure to continuously improve our operation efficiency may lead to a decline in our revenue, income and profitability. If we are unable to achieve or sustain profitability, we may have to reduce the scale of our operations and streamline our organizational structure, which may impact our business growth and adversely affect our financial condition and results of operations.</w:t>
      </w:r>
    </w:p>
    <w:p>
      <w:pPr>
        <w:spacing w:after="0" w:line="365"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In addition, we face risks with respect to our capability to obtain sufficient external equity or debt financing. The electric vehicle industry that we operate in is highly capital-intensive, requiring significant capital for research and development, production capacity enhancement, and sales and service network expansion. Our financing efforts may be influenced by a number of factors, including general market conditions, regulatory uncertainties, and investor perceptions of our business and growth prospects. In particular, as we continue to advance our expansion into the international markets, we may be unsuccessful in new geographic markets as expected, which could raise concerns among investors and have a material adverse impact on our ability to obtain sufficient financing to support our further business development. If we are unable to obtain external financing in a timely manner on acceptable terms, we may fail to implement our business plans or encounter disruptions in our operating activities, and our business, financial condition and results of operations would be adversely affected.</w:t>
      </w:r>
    </w:p>
    <w:p>
      <w:pPr>
        <w:spacing w:after="0" w:line="15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have limited experience in manufacturing vehicles at scale. Any delays in the manufacturing and launching of our products, or ramping up of our production capacity, could have a material adverse effect on our business.</w:t>
      </w:r>
    </w:p>
    <w:p>
      <w:pPr>
        <w:spacing w:after="0" w:line="13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Currently, we manufacture our vehicles in three advanced manufacturing bases. As we have limited experience operating these manufacturing facilities, we are subject to risks related to delays in the manufacturing and commercial launch of our vehicle models, as well as delays in scaling up production capacity.</w:t>
      </w:r>
    </w:p>
    <w:p>
      <w:pPr>
        <w:spacing w:after="0" w:line="15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have been expanding our product portfolio to target broader market segments, and expect to introduce new vehicle models under each of our NIO, ONVO and FIREFLY brands, which will require us to consistently enhance our production capacity. To the extent that the launch of our new or facelifted vehicle models is delayed, we may fail to grow our market share as expected, and our growth prospects could be adversely affected. We cannot assure you that we will be able to ramp up our production and deliver the vehicle models at a pace that meets customer expectations. We may introduce in the future new or unique manufacturing processes and design features for our products. As we expand our vehicle offerings and global footprint, there is no guarantee that we will be able to successfully and timely introduce and scale such processes or features. Furthermore, we rely on third-party suppliers for the provision and development of many of the key components and materials used in our vehicles. To the extent our suppliers experience any delays, disruptions or capacity constraints in providing us with or developing necessary components, our production schedules and the timely launch or delivery of vehicles could be adversely affected.</w:t>
      </w:r>
    </w:p>
    <w:p>
      <w:pPr>
        <w:spacing w:after="0" w:line="16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Our ability to scale up our production capacity is subject to numerous challenges. The intricacies of overseeing all aspects of production as production volume increases, such as managing the entire production line and supervising production personnel, may lead to unforeseen obstacles in maintaining efficiency and timeliness, and, ultimately, delays in product launch and delivery. Therefore, we may be required to invest in more time and resources to assure that vehicles manufactured at scale comply with our quality standards and regulatory requirements. We have limited experience in managing our manufacturing workforce, and we may also face challenges in providing training to our production personnel. Additionally, we cannot assure you that we will be able to attract or retain qualified personnel or other highly skilled employees in a timely and cost-efficient manner. Any failure to effectively manage or provide adequate training to our manufacturing workforce and production personnel, as well as attract or retain qualified personnel, may result in delays in production, reduced efficiency, and potential quality issues.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Furthermore, we may need to expand, upgrade or convert our existing manufacturing facilities in the future to ramp up the production of our current and future vehicle models. The expansion or conversion of our manufacturing facilities could experience delays or other difficulties, potentially affecting the timeline for increasing production capacity. Moreover, as we increase our production capacity and improve our operation efficiency, significant capital may also be required to maintain our property, plant and equipment, and such costs may exceed our current anticipations. There is substantial uncertainty about our ability to achieve these objectives. We cannot assure you that we will be able to complete the expansion or conversion of our manufacturing bases or ramp up our production capacity on schedule and within budget.</w:t>
      </w:r>
    </w:p>
    <w:p>
      <w:pPr>
        <w:spacing w:after="0" w:line="16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Any delays in production ramp-up of our current vehicle models, or in the development, manufacturing, launch and production ramp-up of our future vehicle models, including in the build-out of the manufacturing facilities in China for these models or due to any other factors, or in refreshing or performing facelifts to existing models, could subject us to customer complaints and materially and adversely affect our reputation, demand for our vehicles, results of operations and growth prospects.</w:t>
      </w:r>
    </w:p>
    <w:p>
      <w:pPr>
        <w:spacing w:after="0" w:line="15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Rising international political tensions, including changes in U.S. and European international trade policies and other cross-border investment regulations, particularly with regard to China, may adversely impact our business and operating results.</w:t>
      </w:r>
    </w:p>
    <w:p>
      <w:pPr>
        <w:spacing w:after="0" w:line="13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U.S. government has made statements and taken certain actions that may lead to changes in U.S. and international trade policies towards China. It remains unclear what additional actions, if any, will be taken by the U.S. or other governments with respect to international trade agreements, the imposition of tariffs on goods imported into the United States, tax policy related to international commerce, or other trade matters.</w:t>
      </w:r>
    </w:p>
    <w:p>
      <w:pPr>
        <w:spacing w:after="0" w:line="15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We are closely monitoring potential changes in international trade policy and assessing the potential impact of these and other trade policy changes on our business operations and financial performance. Tensions between the United States and China in recent years have led to additional or higher tariffs imposed by the United States on products imported from China and restrictions on the sale of certain products into the United States. China has responded by imposing, and proposing to impose, additional or higher tariffs on products imported from the United States, among other measures. Any unfavorable government policies on international trade, such as capital controls or tariffs, may affect the demand for our products and services, impact the competitive position of our products or prevent us from selling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spacing w:after="0" w:line="16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In addition, we have been closely monitoring policies in the United States designed to restrict certain Chinese companies from supplying or operating in the U.S. market. These policies include the Clean Network project initiated by the U.S. Department of State in August 2020, the Executive Order on Protecting America’s Sensitive Data from Foreign Adversaries published in June 2021, and new authorities granted to the Department of Commerce to prohibit or restrict the use of certain information and communications technology and services from Chinese companies. Utilizing these new authorities, in January 2025, the Department of Commerce Bureau of Industry and Security (BIS) announced a final rule prohibiting transactions involving the sale or import of connected vehicles when the integrated software has a sufficient nexus to China. We are evaluating the applicability of these requirements to our vehicles and operations. Additionally, the U.S. Department of Defense has included dozens of prominent Chinese companies on its list of “Chinese military companies” (CMC) in accordance with Section 1260H of the National Defense Authorization Act. While we do not believe that we fall under the definition of “Chinese military companies”, we cannot assure you that the U.S. Department of Defense will agree with our assessment. Inclusion on the CMC list relates only to U.S. defense procurement, which is beyond our scope of operations. Still, an inclusion may harm our reputation and adversely affect the trading prices of our securities. We may also receive increased scrutiny from U.S. regulatory authorities, business partners, financial institutions and investors as a result of the inclusion, which may adversely affect our international business operations and access to capital.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Likewise, we are monitoring policies in the United States aimed at restricting the export of items and technology subject to U.S. jurisdiction to Chinese companies. The United States and various foreign governments have imposed license requirements and restrictions on the export of technologies and products to China, or voiced the intention to do so. For instance, since 2022, the United States has imposed increasingly strict export control measures relating to exports of semiconductors to China. In October 2023, BIS promulgated two new rules that expanded export controls to cover a broader array of advanced semiconductors and semiconductor manufacturing equipment. Similarly, in January 2025, BIS released an interim final rule that established licensing requirements for the export of advanced computing integrated circuits that facilitate advanced artificial intelligence (AI) research and development, as well as certain AI model technology. In September 2025, BIS released an interim final rule that extended export restrictions to non-U.S. entities owned 50% or more, directly or indirectly, individually or in aggregate, by listed parties designated on the Entity List, the Military End User List, and under certain OFAC sanctions programs. On October 30, 2025, following a series of negotiations aimed at reducing trade tensions between the U.S. and China, the U.S. announced a one-year pause of this interim final rule, which went into effect on November 10, 2025. These recent export controls are, in part, intended to restrict China’s ability to obtain advanced computing chips, develop and maintain supercomputers, and manufacture advanced semiconductors. These measures also restrict the ability of U.S. persons to provide “support” for semiconductor manufacturing and related activities in China and may seriously affect the ability of Chinese companies to purchase or obtain certain semiconductor manufacturing equipment or advanced chips. The implementation, interpretation and impact on our business of these rules and other regulatory actions taken by the U.S. government is uncertain. These actions and/or other actions that may be taken by the governments of either the U.S. or China, or both (including in response to recent increased tensions), could hinder our ability to transfer our U.S.-origin software to China, source U.S.-origin software and components or otherwise access U.S. technology, which could materially and adversely affect our business, results of operations and financial condition.</w:t>
      </w:r>
    </w:p>
    <w:p>
      <w:pPr>
        <w:spacing w:after="0" w:line="374"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The United States has also taken efforts to limit U.S. investment in China. On October 28, 2024, the U.S. Department of the Treasury issued a final rule to prohibit U.S. investment in Chinese companies active in developing certain national security technologies (the “Outbound Investment Rule”). The Outbound Investment Rule targets investments involving persons and entities associated with “countries of concern,” a designation currently limited to China. In effect since January 2025, the Outbound Investment Rule imposes investment prohibitions and notification requirements on a range of investments in companies engaged in activities relating to three sectors: (i) semiconductors and microelectronics, (ii) quantum technologies, and (iii) artificial intelligence systems. Persons from countries of concern engaged in these activities are defined as “covered foreign persons.” Investments by U.S. persons subject to the Outbound Investment Rule include the acquisition of equity or a contingent equity interest, the provision of certain debt financing, the conversion of contingent equity interest into equity interest, involvement in a greenfield or brownfield investment, entrance into a joint venture, and the acquisition of a limited partner interest in non-U.S. pooled investment fund.</w:t>
      </w:r>
    </w:p>
    <w:p>
      <w:pPr>
        <w:spacing w:after="0" w:line="16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Importantly, the Outbound Investment Rule excludes some investments from the scope of covered transactions, including those in publicly traded securities listed on a national stock exchange. U.S. persons’ acquisitions of publicly traded securities, such as our ADSs, will therefore be exempted from the scope of covered transactions under the Outbound Investment Rule. We believe NIO Inc. is not a “Covered Foreign Person” as defined in the Outbound Investment Rule because NIO Inc. does not engage in any “covered activity” as defined in the Outbound Investment Rule or otherwise meets the definition of Covered Foreign Persons provided in the Outbound Investment Rule. However, there is no assurance that Treasury will take the same view. If NIO Inc. is deemed to be a covered foreign person engaged in the development of specified AI technologies and services, and therefore subject to the Outbound Investment Rule, our ability to raise capital or contingent equity capital from U.S. investors would be limited and could negatively affect our stock price. As a result, our financial condition, business, results of operations and prospects could also be adversely affected. Additionally, on December 18, 2025, the Comprehensive Outbound Investment National Security Act of 2025, or the COINS Act, was signed into law. The COINS Act will keep the core of the Outbound Investment Rule unchanged while expanding its scope and coverage in certain respects. The COINS Act will not take effect until the Treasury issues new regulations (subject to notice and comment), which it must do by March 13, 2027. As such, Treasury may further amend or expand existing prohibitions and restrictions in accordance with the COINS Act. Any expansion of such prohibitions may affect us adversely.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On February 21, 2025, the White House released the “America First Investment Policy” memorandum, or the Investment Policy, which indicated that the existing Outbound Investment Rule is under review to assess whether they are sufficient to address national security risks and outlined several initiatives to restrict investments involving China. While legislative and regulatory actions are required to effect these proposed changes, the Investment Policy may expand enforcement against inbound investment from China to the United States by potentially implementing broader, sector-based restriction on PRC investments in the U.S., expanding CFIUS’ jurisdiction over greenfield investment by Chinese companies, and replacing open-ended mitigation agreements with mitigation agreements prescribing specific timeframes and concrete actions. Additionally, the Investment Policy proposes to create restrictions on U.S. investments in China additional to those already imposed under the Outbound Investment Rule, by potentially expanding industry sectors covered in sectors by existing U.S. outbound investment regulations, supplementing outbound investment restrictions with sanctions, and directing a review to suspend or terminate the 1984 United States-The People’s Republic of China Income Tax Convention. As the Investment Policy and its related legislative and regulatory proposals are still relatively new, it is unclear how these policies, and any future policies concerning investments between the U.S. and China, will be interpreted, amended and implemented by U.S. government authorities. These policies may restrict our ability to implement our investment strategy and could adversely affect our business and prospects.</w:t>
      </w:r>
    </w:p>
    <w:p>
      <w:pPr>
        <w:spacing w:after="0" w:line="17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 response, China has implemented, and may further implement, measures in response to the changing trade policies, treaties, tariffs and sanctions and restrictions against Chinese companies initiated by the U.S. Moreover, our deployment of advanced core technologies in ADAS, whether developed internally or acquired from third parties, may exposes us to risks associated with sanctions imposed by the U.S. government.</w:t>
      </w:r>
    </w:p>
    <w:p>
      <w:pPr>
        <w:spacing w:after="0" w:line="15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Furthermore, there have been media reports on deliberations within the U.S. government regarding potentially limiting or restricting China-based companies from accessing U.S. capital markets, and delisting China-based companies from U.S. national securities exchanges. If any such deliberations were to materialize, the share price of China-based issuers listed in the United States such as us would be materially and adversely affected. The risk and uncertainty associated with such deliberations could also have a negative impact on the price of our ADSs. Also, a prohibition against our securities trading in the United States or any threat thereof could significantly affect our ability to raise capital on terms acceptable to us, or at all, which would have a material adverse impact on our business, financial condition, and prospects.</w:t>
      </w:r>
    </w:p>
    <w:p>
      <w:pPr>
        <w:spacing w:after="0" w:line="16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Furthermore, potential changes in tax policies related to international commerce could also affect our business. For example, 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Various tax jurisdictions have either enacted legislation to adopt certain components of the Pillar Two Model Rules starting in 2024 with additional components to be adopted in later years, or announced their plans to enact such legislation in future years. In particular, Hong Kong has implemented a 15% minimum tax rate effective from 2025. We will continue to evaluate the impact of such legislative initiatives in various tax jurisdictions in which we operate. However, there are uncertainties regarding the rules and implementations, and we cannot assure you that such changes will not have a negative effect on our financial condition.</w:t>
      </w:r>
    </w:p>
    <w:p>
      <w:pPr>
        <w:spacing w:after="0" w:line="16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w:t>
      </w:r>
    </w:p>
    <w:p>
      <w:pPr>
        <w:spacing w:after="0" w:line="14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unavailability, reduction or elimination of government and economic incentives or governmental policies which are favorable for electric vehicles and domestically produced vehicles could have a material adverse effect on our business.</w:t>
      </w:r>
    </w:p>
    <w:p>
      <w:pPr>
        <w:spacing w:after="0" w:line="9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Our growth has benefited significantly from the government subsidies, economic incentives and government policies that support the growth of new energy vehicles. Favorable government incentives and subsidies in China include one-time government subsidies, exemption from vehicle purchase tax, exemption from license plate restrictions in certain cities, preferential utility rates for charging facilities and more. Changes in government subsidies, economic incentives and government policies to support NEVs could adversely affect the results of our operations. For example, the Shanghai government has offered exemptions from license plate restrictions for new energy vehicles in recent years, most recently extending the exemption for NEVs until the end of 2026. If the Shanghai government stops offering such exemptions, our sales in Shanghai could be adversely affected. In addition, in recent years, local governments in China have been implementing incentives and subsidy policies for consumers in the NEV sector, such as NEV replacement subsidies. If these favorable government incentives and subsidies are scaled back in the future, it could potentially reduce consumers’ willingness to purchase NEVs, thereby negatively impacting our vehicle sales.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On June 19, 2023, the Ministry of Industry and Information Technology, the Ministry of Finance and the State Taxation Administration jointly promulgated the Announcement on Continuing and Optimizing the Vehicle Purchase Tax Reduction and Exemption Policies for New Energy Vehicles. Pursuant to such announcement, the NEVs purchased from January 1, 2024 to December 31, 2025, shall be exempt from vehicle purchase tax, with the amount of tax exemption for each new energy passenger vehicle not exceeding RMB30,000, and the exemption from vehicle purchase tax on the NEVs purchased from January 1, 2026 to December 31, 2027, shall be reduced by half such that the amount does not exceeding RMB15,000. The reduction in vehicle purchase tax exemptions may negatively impact our sales performance. In particular, our results of operations in 2025 may not be indicative of our performance in 2026 due to the reduction in vehicle purchase tax exemptions that took effect on January 1, 2026.</w:t>
      </w:r>
    </w:p>
    <w:p>
      <w:pPr>
        <w:spacing w:after="0" w:line="125"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Furthermore, China’s central government provides certain local governments with funds and subsidies to support the roll-out of charging infrastructure. See “Item 4. Information on the Company—B. Business Overview—Regulations—Favorable Government Policies Relating to New Energy Vehicles in the PRC.” These policies are subject to change and beyond our control. We cannot assure you that any changes would be favorable to our business. Furthermore, any reduction, elimination, delayed payment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 In addition, as we seek to increase our revenues from vehicle sales, we may also experience an increase in accounts receivable relating to government subsidies. However, the collection of the government subsidies is subject to the appropriation arrangement and cadence of the governmental authority. Any uncertainty or delay in collection of the government subsidies may also have an adverse impact on our financial condition. For more details, please refer to “10. Other Non-current Assets” set forth in our consolidated financial statements included elsewhere in this annual report. Any of the foregoing could materially and adversely affect our business, results of operations, financial condition and prospects.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current or future vehicles may not perform in line with customer expectations.</w:t>
      </w:r>
    </w:p>
    <w:p>
      <w:pPr>
        <w:spacing w:after="0" w:line="191"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Our current or future vehicles may not perform in line with customer expectations. For example, our vehicles may not have the durability or longevity of other vehicles in the market, and may not be as easy and convenient to repair as other vehicles in the market. Any product defects or any other failure of our vehicles to perform as expected could harm our reputation and result in adverse publicity, productions and deliveries decline, lost revenue, delivery delays, product recalls, product liability claims, harm to our brand and reputation, and significant warranty and other expenses, and could have a material adverse impact on our business, financial condition, operating results and prospects.</w:t>
      </w:r>
    </w:p>
    <w:p>
      <w:pPr>
        <w:spacing w:after="0" w:line="124"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 addition, the range of our vehicles on a single charge declines principally as a function of usage, time and charging patterns as well as other factors. For example, a customer’s use of his or her electric vehicle as well as the frequency with which he or she charges the battery can result in additional deterioration of the battery’s ability to hold a charge.</w:t>
      </w:r>
    </w:p>
    <w:p>
      <w:pPr>
        <w:spacing w:after="0" w:line="1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Furthermore, our vehicles may contain defects in design and manufacture that may cause them not to perform as expected or that may require repair. For example, we offer full-stack in-house developed assisted and intelligent driving features through NIO assisted and intelligent driving, or NAD, and ONVO Smart Driving or OSD. We cannot assure you that our technologies will ultimately perform in line with expectations.</w:t>
      </w:r>
    </w:p>
    <w:p>
      <w:pPr>
        <w:spacing w:after="0" w:line="128"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Our vehicles use a substantial amount of software code to operate and software products are inherently complex and often contain defects and errors when first introduced. As a result, any malfunction of these software products could negatively affect our vehicle performance and lead to user dissatisfaction, potential complaints and product recalls. Any failure of our software products, issues with our systems, or cybersecurity incidents may adversely affect our business, results of operation and financial position.</w:t>
      </w:r>
    </w:p>
    <w:p>
      <w:pPr>
        <w:spacing w:after="0" w:line="122"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While we have performed extensive internal testing on our vehicles’ software and hardware systems, we have a limited frame of reference by which to evaluate the long-term performance of our systems and vehicles. There can be no assurance that we will be able to detect and fix any defects in the vehicles prior to their sale to consumers. If any of our vehicles fail to perform as expected, we may need to delay deliveries, initiate product recalls and provide servicing or updates under warranty at our expense, which could adversely affect our brand in our target markets and could adversely affect our business, prospects and results of operations.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challenges in providing our power solutions.</w:t>
      </w:r>
    </w:p>
    <w:p>
      <w:pPr>
        <w:spacing w:after="0" w:line="17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We provide our users with comprehensive power solutions. Our power solutions include home charger, which we refer to as Power Home; battery swapping, which we refer to as Power Swap; supercharging piles, which we refer to as Power Charger; destination charging piles, which we refer to as Destination Charger; and mobile charging, which we refer to as Power Mobile. In addition, we offer our users our One Click for Power valet service where we pick up, charge and then return the vehicle. For our vehicle models, we currently offer standard range battery, long range battery, and ultra-long range battery. We have experienced delays in delivering our power solutions in the past, and we cannot assure you that such delays will not occur again in the future.</w:t>
      </w:r>
    </w:p>
    <w:p>
      <w:pPr>
        <w:spacing w:after="0" w:line="12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intend to expand our charging and battery swapping network to better satisfy our users’ demand. We plan to develop our power network both independently and in cooperation with business partners. Such cooperative arrangements involve a variety of risks, including with respect to the negotiation of commercial terms, funding arrangements, and the timely construction of the charging piles and battery swapping stations. If we are unable to successfully expand the coverage of our power network at the intended pace, our business, results of operation and financial position could be adversely affected.</w:t>
      </w:r>
    </w:p>
    <w:p>
      <w:pPr>
        <w:spacing w:after="0" w:line="13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have limited experience in the actual provision of our power solutions to users and providing these services is subject to challenges, including the challenges associated with sorting out the logistics of rolling out our network and teams in appropriate areas, inadequate capacity or over capacity of our services in certain areas, security risks or risk of damage to vehicles during One Click for Power valet services and the potential for lack of user acceptance of our services. In addition, although the Chinese government has supported the roll-out of a public charging network, the current number of charging infrastructures is generally considered to be insufficient. We also face uncertainties with regard to governmental support and public infrastructure as we roll out our power solutions, including whether we can obtain and maintain access to sufficient charging infrastructure, whether we can obtain any required permits and land use rights and complete any required filings, and whether the government support in this area may discontinue. Furthermore, we may be subject to illegal activities perpetrated against us and our power solutions, which may disrupt our operations and damage user confidence in our vehicles and service offerings, thereby negatively affect our business and results of operations.</w:t>
      </w:r>
    </w:p>
    <w:p>
      <w:pPr>
        <w:spacing w:after="0" w:line="12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Furthermore, given our limited experience in providing power solutions, there could be unanticipated challenges which may hinder our ability to provide our solutions or make the provision of our solutions costlier than anticipated. To the extent we are unable to meet user expectations or experience difficulties in providing our power solutions, our reputation and business may be materially and adversely affected.</w:t>
      </w:r>
    </w:p>
    <w:p>
      <w:pPr>
        <w:spacing w:after="0" w:line="11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services may not be generally accepted by our users. If we are unable to provide satisfactory services for our users, our business and reputation may be materially and adversely affected.</w:t>
      </w:r>
    </w:p>
    <w:p>
      <w:pPr>
        <w:spacing w:after="0" w:line="109"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We aim to provide users with access to a full suite of services, including aftersales services, power solutions, assisted and intelligent driving functions and others. We are also expanding our service scope to meet our users’ evolving demands. For example, we facilitate used car transactions and auto financing arrangements, and offer vehicle subscriptions, battery upgrades and insurance brokerage to our users. These services are a part of our product and services package, and we cannot assure you that the services we provide will be profitable on their own. In addition, to the extent that some of our services are non-traditional for automakers, these service offerings subject us to new risks. We also seek to engage with our users on an ongoing basis using online and offline channels, which is non-traditional for automakers. We cannot assure you that our services or our efforts to engage with our users using both online and offline channels will be successful, which could impact our revenues as well as our customer satisfaction and marketing efforts.</w:t>
      </w:r>
    </w:p>
    <w:p>
      <w:pPr>
        <w:spacing w:after="0" w:line="328"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Our servicing will partially be carried out through third parties which we certified. Although such servicing partners may have experience in servicing other vehicles, we and such partners have limited experience in servicing our vehicles. Servicing electric vehicles is different from servicing ICE vehicles and requires specialized skills, including high voltage training and servicing techniques. There can be no assurance that our service arrangements will adequately address the service requirements of our users to their satisfaction, or that we and our partners will have sufficient resources to meet these service requirements in a timely manner as the volume of vehicles we deliver increases.</w:t>
      </w:r>
    </w:p>
    <w:p>
      <w:pPr>
        <w:spacing w:after="0" w:line="124"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In addition, if we are unable to roll out and establish a widespread service network, user satisfaction could be adversely affected, which in turn could materially and adversely affect our sales, results of operations and prospects.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dependent on our suppliers, many of whom are our single source suppliers for the components they supply.</w:t>
      </w:r>
    </w:p>
    <w:p>
      <w:pPr>
        <w:spacing w:after="0" w:line="17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Each of our vehicle models uses a great amount of purchased parts from suppliers, many of whom are currently our single source suppliers for these components, and we expect that this will be similar for any future vehicle we may produce. The supply chain exposes us to multiple potential sources of price fluctuation, delivery failure or component shortages. While we obtain components from multiple sources whenever possible, similar to other players in our industry, many of the components used in our vehicles are components we purchased from a single source. To date, we have not qualified alternative sources for most of the single sourced components used in our vehicles and we do not maintain long-term agreements with some of our single source suppliers. In addition, part of our supply chain is geographically concentrated. The lack of geographic diversification in our suppliers could lead to increased costs and delays in production of our vehicles. Furthermore, our collaboration with startup suppliers poses a potential risk to our operations. These suppliers may lack the experience and resources to effectively manage their supply chains, leading to potential disruptions in the delivery of goods or services to us. In addition, operational inefficiencies within these suppliers may lead to inconsistencies in product or service quality, thereby affecting our own ability to deliver high-quality products or services to our customers. Some of these suppliers may have limited financial resources and rely on external financing to sustain their operations. If they experience financial constraints or fail to sustain their operations, it could impact their ability to meet our requirements, potentially causing delays or disruptions in our operations.</w:t>
      </w:r>
    </w:p>
    <w:p>
      <w:pPr>
        <w:spacing w:after="0" w:line="13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Any disruption in the supply of components, whether or not from a single source supplier, could temporarily disrupt the production of our vehicles until an alternative supplier is fully qualified or is otherwise able to supply us with the required material. Qualifying alternative suppliers or developing our own replacements for certain highly customized components of our vehicles may be time-consuming and costly. There can be no assurance that we would be able to successfully retain alternative suppliers or supplies on a timely basis, on acceptable terms or at all. In addition, to the extent that we need to find alternative suppliers under time constraints, the alternative suppliers may not fully meet our requirements with respect to delivery speed, quantity or quality, thereby adversely affecting our business operations.</w:t>
      </w:r>
    </w:p>
    <w:p>
      <w:pPr>
        <w:spacing w:after="0" w:line="138"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Changes in business conditions, force majeure and other factors beyond our control or which we do not presently anticipate, could also affect our suppliers’ ability to deliver components to us on a timely basis or result in price increases. For example, we experienced vehicle production suspensions and slowdowns, as well as delays in vehicle delivery, in 2021 and 2022 due to component shortages. Although the reduced production volume and number of vehicles delivered as a result of supply chain volatilities have not had a material impact on our liquidity and capital resources, our results of operations in these periods have been negatively affected. See “Item 3. Key Information—D. Risk Factors—Risks Related to Our Business and Industry—Our business, financial condition and results of operations may be adversely affected by natural disasters, health epidemics and other outbreaks.” While we have been working closely with supply chain partners and have been actively seeking alternative sources of supply, cooperating with new suppliers will subject us to uncertainties with respect to the reliability of these suppliers and the quality of the components they provide. We cannot assure you that our component supply will enable us to meet the quality, price, design, engineering, and production standards, as well as the production volumes to satisfy the market demand for our vehicles. Any defects of or quality issues with these components or any non-compliance incidents associated with these third-party suppliers could result in quality issues with our vehicles, which may lead to vehicle recalls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repair or replacement costs, warranty claims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operational disruptions, and regulatory inquiries or fines, and hence compromise our brand image and results of operations. Any of the foregoing could materially and adversely affect our results of operations, financial condition and prospects.</w:t>
      </w:r>
    </w:p>
    <w:p>
      <w:pPr>
        <w:spacing w:after="0" w:line="13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rely on Battery Asset Company to provide Battery as a Service to our users. If Battery Asset Company fails to achieve smooth and stable operations, our Battery as a Service may be materially and adversely affected.</w:t>
      </w:r>
    </w:p>
    <w:p>
      <w:pPr>
        <w:spacing w:after="0" w:line="9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On August 20, 2020, we introduced the Battery as a Service, or BaaS, which allows users to purchase electric vehicles and subscribe for the usage of batteries separately. If users opt to purchase a vehicle and subscribe for the battery under the BaaS, they can enjoy a deduction off the original vehicle purchase price and pay a monthly subscription fee for the battery.</w:t>
      </w:r>
    </w:p>
    <w:p>
      <w:pPr>
        <w:spacing w:after="0" w:line="128"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For each user under the BaaS model, we sell a battery to Wuhan Weineng Battery Asset Co., Ltd., or the Battery Asset Company, and the user subscribes for the usage of the battery from the Battery Asset Company. The service we provide to our users under the BaaS relies, in part, on the smooth operation of and stability and quality of service delivered by the Battery Asset Company, which we cannot guarantee. We invested in the Battery Asset Company with certain other investors since its establishment. The Battery Asset Company subsequently completed several additional financings. As of the date of this annual report, NIO China beneficially owns approximately 16.5% of the equity interests in the Battery Asset Company. As a result, we have significant influence, but not control, over the business operations of the Battery Asset Company. If it fails in delivering smooth and stable operations, we will suffer from negative customer reviews and even returns of products or services and our reputation may be materially and adversely affected.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Additionally, given that we generate a portion of our total revenues from sales of battery and provision of service to the Battery Asset Company, our results of operations and financial performance will be negatively affected if the Battery Asset Company fails to operate smoothly. The Battery Asset Company may finance the purchase of batteries through issuance of equity and debt or bank borrowing. If the Battery Asset Company is unable to obtain future financings from the Battery Asset Company Investors or other third parties to meet its operational needs, it may not be able to make payments to us for the batteries purchased from us on time, to continue purchasing batteries from us and providing them to our users through battery subscription, or to otherwise maintain its healthy and sustainable operations. On the other hand, if the Battery Asset Company bears a significant rate of customer default on its payment obligations, its results of operations and financial performance may be materially impacted, which will in turn reduce the value of our and the Battery Asset Company Investors’ investments in the Battery Asset Company. In addition, in furtherance of the BaaS, we agreed to provide a guarantee to the Battery Asset Company for the default in payment of monthly subscription fees from users, while the maximum amount of guarantee that can be claimed shall not be higher than the accumulated service fees we receive from the Battery Asset Company. As the BaaS user base is expanding, if an increased number of default occurs, our results of operations and financial performance will be negatively affected. As of December 31, 2025, the guarantee liability we provided to Battery Asset Company was immaterial.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Reservations for our vehicles are subject to cancellation.</w:t>
      </w:r>
    </w:p>
    <w:p>
      <w:pPr>
        <w:spacing w:after="0" w:line="179"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Reservations for our vehicles are subject to cancellation by the customer until delivery of the vehicle. We have experienced cancellations in the past. While we require a deposit of less than 3.0% of the manufacturer’s suggested retail price, such deposit becomes non-refundable after a certain period of time upon which the reservation will be automatically confirmed. Notwithstanding the non-refundable deposit, our users may still cancel their reservations for many reasons outside of our control. The potentially long wait from the time a reservation is made until the time the vehicle is delivered could also impact user decisions on whether to ultimately make a purchase, due to potential changes in preferences, competitive developments and other factors. If we encounter delays in the delivery of our current or future vehicle models, we believe that a significant number of reservations may be cancelled. As a result, no assurance can be made that reservations will not be cancelled and will ultimately result in the final purchase, delivery, and sale of the vehicle. Such cancellations could harm our financial condition, business, prospects and operating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risks associated with assisted and intelligent driving technologies.</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provide an enhanced advanced driver assistance system, or ADAS, and plan to offer higher levels of assisted and intelligent driving functionalities, and through our research and development, we continually update and improve our assisted and intelligent driving technologies.</w:t>
      </w:r>
    </w:p>
    <w:p>
      <w:pPr>
        <w:spacing w:after="0" w:line="100"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Regulatory, safety and reliability issues, or the perception thereof, many of which are beyond our control, could cause the public, our users or our potential business partners to lose confidence in the assisted and intelligent driving solutions in general. The development, testing and commercial deployment of our assisted and intelligent driving technology is subject to applicable regulatory restrictions relating to, among others, surveying and mapping, driverless road testing, data usage, over-the-air software update, all of which may change from time to time as a result of various factors and have an unfavorable effect on our business as well as our research and development.</w:t>
      </w:r>
    </w:p>
    <w:p>
      <w:pPr>
        <w:spacing w:after="0" w:line="13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The safety of our assisted and intelligent driving technology depends in part on the end users of vehicles, as well as traffic condition, interactions with other drivers and pedestrians, other obstacles on the roadways, weather conditions, or other unforeseen events. For example, there have been traffic accidents involving vehicles equipped with ADAS, including our vehicles. Users may become overly reliant on our assisted and intelligent driving technology and overlook its limitations in certain scenarios, which may result in safety incidents. Any component of ADAS, including sensors and algorithms, may not perform as expected under certain weather or road conditions. In addition, as we deploy updates to ADAS through over-the-air updates, unexpected system or software issues may affect the technology’s performance or user experience in general. In addition, even if certain traffic accidents are not caused by the use of ADAS, they could result in significant negative publicity, and, in severe cases, in suspension or prohibition of vehicles equipped with ADAS and other assisted and intelligent driving systems, as well as regulatory investigations, recalls, systems or features modifications and related actions.</w:t>
      </w:r>
    </w:p>
    <w:p>
      <w:pPr>
        <w:spacing w:after="0" w:line="12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In addition, to the extent accidents associated with our ADAS and other assisted and intelligent driving systems (once launched) occur, we could be subject to liability, government scrutiny and further regulation. We are subject to uncertainties associated with the continuous evolution of applicable regulatory policies. Any further tightening of regulatory restrictions could significantly impede our development of assisted and intelligent driving technologies, require us to incur additional costs or subject us to additional risks. Any of the foregoing could materially and adversely affect our results of operations, financial condition and growth prospects.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face challenges in expanding our business and operations internationally and our ability to conduct business in international markets may be adversely affected by legal, regulatory, political and economic risks.</w:t>
      </w:r>
    </w:p>
    <w:p>
      <w:pPr>
        <w:spacing w:after="0" w:line="9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face challenges and risks associated with expanding our business and operations globally into new geographic markets and developing diversified sales channels and marketing strategies.</w:t>
      </w:r>
    </w:p>
    <w:p>
      <w:pPr>
        <w:spacing w:after="0" w:line="100"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New geographic markets may have competitive conditions, user preferences, and discretionary spending patterns that are more difficult to predict or satisfy than our existing markets. Local companies may have a substantial competitive advantage because of their greater understanding of, and focus on, the local users, as well as their more established local brand names, requiring us to build brand awareness in that market through greater investments in advertising and promotional activity. In certain markets, we have relatively little operating experience and may not benefit from any first-to-market advantages or otherwise succeed. Therefore, we may also need to adapt our product and service offerings, adjust pricing strategies, and align with local economic conditions. Moreover, our expansion into international markets require us to respond timely and effectively to rapidly evolving market dynamics in the respective countries and regions. While we are committed to executing our global business strategy, we cannot guarantee that our product and service offerings will achieve the desired success in these new markets.</w:t>
      </w:r>
    </w:p>
    <w:p>
      <w:pPr>
        <w:spacing w:after="0" w:line="138"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In overseas markets, we adopt a combination of the direct sales model and cooperation with business partners to facilitate our expansion in international markets, such as working with general distribution agencies and forming joint venture partnerships. The adoption of these approaches could have potential negative impacts on certain financial metrics. For example, we have entered into overseas markets by cooperating with local partners in, among others, Europe, the Middle East, and Southeast Asia, and we expect to enter into more markets and continue working closely with our business partners to provide local users with our products and services. Our entry into more overseas markets exposes us to a number of challenges relating to the selection of business partners, negotiations of commercial terms, adapting to local policies, and managing cross-border warehousing and logistics. In addition, an increased revenue contribution from our distributors and authorized agents may lead to increase in our trade receivables, which our distributors and authorized agents may not be able to settle in a timely manner, and any deterioration in the financial position and credit profile of our distributors and authorized agents could create challenges in collecting our trade receivables. Furthermore, international expansion typically requires substantial capital investment, which may strain our financial resources and adversely affect our current financial performance while increasing the complexity of our operational structure.</w:t>
      </w:r>
    </w:p>
    <w:p>
      <w:pPr>
        <w:spacing w:after="0" w:line="130"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As we continue to expand the operations and sales of our smart electric vehicles in international markets, we may face operational issues that could have a material adverse effect on our reputation, business and results of operations, if we fail to address certain factors including, but not limited to, the following:</w:t>
      </w:r>
    </w:p>
    <w:p>
      <w:pPr>
        <w:spacing w:after="0" w:line="116" w:lineRule="exact"/>
        <w:rPr>
          <w:sz w:val="20"/>
          <w:szCs w:val="20"/>
          <w:color w:val="auto"/>
        </w:rPr>
      </w:pPr>
    </w:p>
    <w:p>
      <w:pPr>
        <w:ind w:left="920" w:hanging="301"/>
        <w:spacing w:after="0"/>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acceptance of our products and services, and challenges of localizing our offerings to appeal to local tastes;</w:t>
      </w:r>
    </w:p>
    <w:p>
      <w:pPr>
        <w:spacing w:after="0" w:line="18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capital required for entering into new geographical markets, including cost of promoting our current and future brands in the new markets, building sales and services networks and power infrastructures;</w:t>
      </w:r>
    </w:p>
    <w:p>
      <w:pPr>
        <w:spacing w:after="0" w:line="100"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obtain or maintain required permits and certifications for our products or services in these markets;</w:t>
      </w:r>
    </w:p>
    <w:p>
      <w:pPr>
        <w:spacing w:after="0" w:line="17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conform our products to regulatory and safety requirements and charging and other electric infrastructures;</w:t>
      </w:r>
    </w:p>
    <w:p>
      <w:pPr>
        <w:spacing w:after="0" w:line="18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and cost relating to compliance with different commercial and legal requirements of the overseas markets in which we offer or plan to offer our products and services;</w:t>
      </w:r>
    </w:p>
    <w:p>
      <w:pPr>
        <w:spacing w:after="0" w:line="100"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provide consistent high-quality customer service and support in these markets;</w:t>
      </w:r>
    </w:p>
    <w:p>
      <w:pPr>
        <w:spacing w:after="0" w:line="17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attract and retain capable personnel with international perspectives who can effectively manage and operate local businesses;</w:t>
      </w:r>
    </w:p>
    <w:p>
      <w:pPr>
        <w:spacing w:after="0" w:line="18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in identifying appropriate local business partners and establishing and maintaining good working relationships with them;</w:t>
      </w:r>
    </w:p>
    <w:p>
      <w:pPr>
        <w:spacing w:after="0" w:line="17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business partners’ ability to effectively market and sell our vehicles and address other business or financial issues;</w:t>
      </w:r>
    </w:p>
    <w:p>
      <w:pPr>
        <w:spacing w:after="0" w:line="17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obtain, maintain or enforce our intellectual property rights;</w:t>
      </w:r>
    </w:p>
    <w:p>
      <w:pPr>
        <w:spacing w:after="0" w:line="18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reliability and security of international payment systems and logistics infrastructure;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920" w:hanging="301"/>
        <w:spacing w:after="0" w:line="298" w:lineRule="auto"/>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of maintaining efficient and consolidated internal systems, including technology infrastructure, and of achieving customization and integration of these systems with the other parts of our technology platform;</w:t>
      </w:r>
    </w:p>
    <w:p>
      <w:pPr>
        <w:spacing w:after="0" w:line="100"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in replicating or adapting our company policies and procedures to operating environments different from that of China;</w:t>
      </w:r>
    </w:p>
    <w:p>
      <w:pPr>
        <w:spacing w:after="0" w:line="17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develop appropriate risk management and internal control structures tailored to overseas operations;</w:t>
      </w:r>
    </w:p>
    <w:p>
      <w:pPr>
        <w:spacing w:after="0" w:line="18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national security policies that restrict our ability to utilize technologies that are deemed by local governmental regulators to pose a threat to their national security;</w:t>
      </w:r>
    </w:p>
    <w:p>
      <w:pPr>
        <w:spacing w:after="0" w:line="100"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privacy laws and data security laws and compliance costs across different legal systems;</w:t>
      </w:r>
    </w:p>
    <w:p>
      <w:pPr>
        <w:spacing w:after="0" w:line="17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heightened restrictions and barriers on the transfer of data and streamlined supply chain among different jurisdictions;</w:t>
      </w:r>
    </w:p>
    <w:p>
      <w:pPr>
        <w:spacing w:after="0" w:line="18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complex and potentially adverse customs, import/export laws, tax rules and regulations or other trade barriers or restrictions related compliance obligations and consequences of non-compliance, and any new developments in these areas;</w:t>
      </w:r>
    </w:p>
    <w:p>
      <w:pPr>
        <w:spacing w:after="0" w:line="100"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in the implementation of BaaS and other innovative business models in countries and regions outside of China;</w:t>
      </w:r>
    </w:p>
    <w:p>
      <w:pPr>
        <w:spacing w:after="0" w:line="17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rate fluctuations; and</w:t>
      </w:r>
    </w:p>
    <w:p>
      <w:pPr>
        <w:spacing w:after="0" w:line="18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instability and general economic or political conditions in particular countries or regions, including territorial or trade disputes, war and terrorism.</w:t>
      </w:r>
    </w:p>
    <w:p>
      <w:pPr>
        <w:spacing w:after="0" w:line="100"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In addition, our operations are subject to both PRC law and the laws of countries and jurisdictions in which we operate. Any violations of these laws by our overseas operations, associates, or agents could result in sanctions or penalties, potentially damaging our reputation, business operations, and financial results. We may also encounter protectionist measures or be subject to trade remedy cases that could impede our business strategies and place us at a competitive disadvantage compared to domestic companies. For example, starting from October 30, 2024, the European Commission imposed definitive countervailing duties on imports of battery electric vehicles (BEVs) from China for a period of five years unless an expiry review is initiated before that date.</w:t>
      </w:r>
    </w:p>
    <w:p>
      <w:pPr>
        <w:spacing w:after="0" w:line="12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Our success in international markets hinges on our ability to navigate diverse legal, regulatory, economic, environmental, social, and political landscapes, many aspects of which are beyond our direct control. In new geographical areas and jurisdictions, our business operations may face disruptions due to changes in local laws, regulations, and policies. Failure to manage these risks and challenges could negatively affect our ability to expand our business and operations overseas as well as materially and adversely affect our business, financial condition and results of operations.</w:t>
      </w:r>
    </w:p>
    <w:p>
      <w:pPr>
        <w:spacing w:after="0" w:line="13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industry is rapidly evolving and may be subject to unforeseen changes. Developments in alternative technologies may materially and adversely affect the demand for our electric vehicles.</w:t>
      </w:r>
    </w:p>
    <w:p>
      <w:pPr>
        <w:spacing w:after="0" w:line="96" w:lineRule="exact"/>
        <w:rPr>
          <w:sz w:val="20"/>
          <w:szCs w:val="20"/>
          <w:color w:val="auto"/>
        </w:rPr>
      </w:pPr>
    </w:p>
    <w:p>
      <w:pPr>
        <w:jc w:val="both"/>
        <w:ind w:firstLine="594"/>
        <w:spacing w:after="0" w:line="267" w:lineRule="auto"/>
        <w:rPr>
          <w:sz w:val="20"/>
          <w:szCs w:val="20"/>
          <w:color w:val="auto"/>
        </w:rPr>
      </w:pPr>
      <w:r>
        <w:rPr>
          <w:rFonts w:ascii="Times New Roman" w:cs="Times New Roman" w:eastAsia="Times New Roman" w:hAnsi="Times New Roman"/>
          <w:sz w:val="16"/>
          <w:szCs w:val="16"/>
          <w:color w:val="auto"/>
        </w:rPr>
        <w:t>We operate in the electric vehicle market, which is rapidly evolving and may not develop as we anticipate. We face unanticipated risks such as an increase in the prices of lithium, semiconductor chips, and relevant commodities, which may increase the cost of our vehicles, reduce the demand of battery electric vehicle and negatively impact on our business. Also, government policies, regulations and incentive programs have a significant impact on the development of the industry. As our industry and our business develop, we may need to modify our business model or change our services and solutions. These changes may not achieve expected results, which could have a material adverse effect on our results of operations and prospects.</w:t>
      </w:r>
    </w:p>
    <w:p>
      <w:pPr>
        <w:spacing w:after="0" w:line="32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provide vehicles with the latest technology, in particular digital technologies, which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Developments in alternative technologies, such as advanced diesel, ethanol, fuel cells or compressed natural gas, or improvements in the fuel economy of the internal combustion engine, may materially and adversely affect our business and prospects in ways we do not currently anticipate. For example, fuel which is abundant and relatively inexpensive in China, such as compressed natural gas, may emerge as consumers’ preferred alternative to petroleum based propulsion. Any of our failure to successfully react to changes in existing technologies could materially harm our competitive position and growth prospects.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effectively control the costs associated with our operations.</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have required significant capital to develop and grow our business, including conducting research and development, manufacturing vehicles and enhancing production capacity, and establishing our power network and sales and service network. As our sales volume grows and our business rapidly develops, we expect to continue making significant investments in these areas. In addition, we may incur significant costs in connection with our services, including providing power solutions and honoring our commitments under our service package. Our ability to become profitable in the future will not only depend on our ability to successfully market our vehicles and other products and services but also to control our costs. If we are unable to cost-efficiently design, manufacture, market and sell our vehicles and services, our margins, profitability and prospects will be materially and adversely affected.</w:t>
      </w:r>
    </w:p>
    <w:p>
      <w:pPr>
        <w:spacing w:after="0" w:line="162"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Furthermore, in order to improve our operational efficiency, we continually evaluate and adjust our organizational structure, which has historically led to reductions in headcount that may have negatively affected our reputation, brand image and our ability to retain the remaining qualified staff and skilled employees. We may continue to optimize our organizational structure in the future, the occurrence of which may pose negative implications on our competitive position, cost us qualified employees and subject us to potential employment lawsuits. Any of the above would negatively affect our business,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could experience cost increases or disruptions in supply of raw materials or other components used in our vehicles.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incur significant costs related to procuring raw materials required to manufacture and assemble our vehicles. We use various raw materials in our vehicles including aluminum, steel, carbon fiber, non-ferrous metals such as copper, lithium, nickel as well as cobalt. We also use components such as computing chips. The prices for these raw materials and components fluctuate depending on factors beyond our control, including market conditions and global demand for these materials, and could adversely affect our business and operating results. For example, there was a substantial increase in chip prices in 2025, which increased our costs.</w:t>
      </w:r>
    </w:p>
    <w:p>
      <w:pPr>
        <w:spacing w:after="0" w:line="16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business also depends on the continued supply of batteries for our vehicles. Battery manufacturers may refuse to supply electric vehicle manufacturers to the extent they determine that the vehicles are not sufficiently safe. We are exposed to multiple risks relating to availability and pricing of quality lithium-ion battery cells. These risks include:</w:t>
      </w:r>
    </w:p>
    <w:p>
      <w:pPr>
        <w:spacing w:after="0" w:line="153" w:lineRule="exact"/>
        <w:rPr>
          <w:sz w:val="20"/>
          <w:szCs w:val="20"/>
          <w:color w:val="auto"/>
        </w:rPr>
      </w:pPr>
    </w:p>
    <w:p>
      <w:pPr>
        <w:ind w:left="920" w:hanging="301"/>
        <w:spacing w:after="0" w:line="314" w:lineRule="auto"/>
        <w:tabs>
          <w:tab w:leader="none" w:pos="9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or unwillingness of current battery manufacturers to build or operate battery manufacturing plants to supply the numbers of lithium-ion cells required to support the growth of the electric or plug-in hybrid vehicle industry as demand for such cells increases;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in the supply of cells due to quality issues or recalls by the battery manufacturers; and</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the cost of raw materials, such as lithium, nickel and cobalt, used in lithium-ion cells.</w:t>
      </w:r>
    </w:p>
    <w:p>
      <w:pPr>
        <w:spacing w:after="0" w:line="224"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production capacity could result in shortages which would result in increased costs in raw materials to us or impact of prospects.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a variety of laws and regulations regarding cybersecurity, privacy, data protection and information security in China and elsewhere. Any failure to comply with these laws and regulations could subject us to significant adverse consequences.</w:t>
      </w:r>
    </w:p>
    <w:p>
      <w:pPr>
        <w:spacing w:after="0" w:line="13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face significant challenges with respect to cybersecurity, privacy, data protection and information security in China and other jurisdictions that we operate in, including the collection, storage, transmission and sharing of information. We may use our vehicles’ electronic systems to log information about each vehicle’s use, such as charge time, battery usage, mileage and driving behavior, in order to aid us in vehicle diagnostics, repair and maintenance, as well as to help us optimize the driving and riding experience. Our users may object to the use of this data, which may hinder our capabilities in conducting our business and improving our vehicles. We also transmit and store certain confidential and private information of our vehicle buyers, including certain personal information such as names, accounts, user IDs and passwords, and payment or transaction related information. Collection, transmission, possession and use of our user’s data in conducting our business may subject us to legislative and regulatory burdens in China and other jurisdictions that could require notification of any data breach, restrict our use of such information and hinder our ability to acquire new customers or market to existing customers.</w:t>
      </w:r>
    </w:p>
    <w:p>
      <w:pPr>
        <w:spacing w:after="0" w:line="16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We are required by law to ensure the confidentiality, integrity, availability and authenticity of the information of our customers,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the measures that we use. If we are unable to protect our systems, and hence the information stored in our systems, from unauthorized access, use, disclosure, disruption, modification or destruction, such problems or security breaches could cause a loss, give rise to our liabilities to the owners of information or even subject us to fines and penalties. If users allege that we have improperly collected, used, transmitted, released or disclosed their personal information, we could face legal claims and reputational damage. In addition, we may incur significant expenses to comply with privacy, consumer protection and security standards and protocols imposed by laws, regulations, industry standards or contractual obligations, some of which may not be compatible with our existing business practice. If third parties improperly obtain and use the personal information of our users, we may be required to expend significant resources to resolve these problems. For example, in December 2022, we were made aware that certain user information and vehicle sales information in China before August 2021 was for sale on the internet by third parties for illegal purposes. This incident has been duly addressed following applicable PRC regulatory requirements. As of the date of this annual report, we are not aware of significant issues related to the security of our electronic systems. Nonetheless, we cannot assure you that similar incidents will not happen again despite our efforts.</w:t>
      </w:r>
    </w:p>
    <w:p>
      <w:pPr>
        <w:spacing w:after="0" w:line="167"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In general, we expect that data security and data protection compliance will receive greater attention and focus from regulators, both domestically and globally, as well as attract continued or greater public scrutiny and attention going forward, which could increase our compliance costs and subject us to heightened risks and challenges associated with data security and protection. Significant capital and other resources may be required to protect against data security breaches or to alleviate problems caused by such breaches or to comply with our privacy policies or privacy-related legal obligations. The resources required may increase over time as the methods used by hackers and others engaged in cyber criminal activities are increasingly sophisticated and constantly evolving. Any of our failure or perceived failure to prevent data security breaches or to comply with privacy policies or privacy-related legal requirements, or any security breach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The PRC regulatory and enforcement regime with regard to data security and data protection is evolving and may be subject to different interpretations or significant changes. Moreover, different PRC regulatory bodies, including the Standing Committee of the National People’s Congress of China, the Ministry of Industry and Information Technology, the CAC, the Ministry of Public Security, and the State Administration for Market Regulation have enforced a variety of laws and regulations regarding cybersecurity, privacy, data protection and information security with varying standards and applications in recent years, including, among others, the PRC National Security Law, the PRC Cyber Security Law, the PRC Personal Information Protection Law, the PRC Data Security Law, the Regulations on the Protection of the Security of Critical Information Infrastructure, the Cybersecurity Review Measures, the Several Provisions on Automobile Data Security Management (Trial Implementation), the Administration Measures on Data Security in the Field of Industry and Information Technology (Trial Implementation), the Measures for the Security Assessment of Data Exit, the Measures on the Standard Contract for Cross-border Transfer of Personal Information, the Provisions on Promoting and Regulating Cross-border Data Flows, the Implementing Rules for the Risk Assessment of Data Security in the Field of Industry and Information Technology (Trial Implementation) and the Regulation on Network Data Security Management. See “Item 4. Information on the Company—B. Business Overview—Regulations—Regulations on Internet Information Security and Privacy Protection.” The following are examples of certain recent PRC regulatory activities in this area:</w:t>
      </w:r>
    </w:p>
    <w:p>
      <w:pPr>
        <w:spacing w:after="0" w:line="3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Data Security</w:t>
      </w:r>
    </w:p>
    <w:p>
      <w:pPr>
        <w:spacing w:after="0" w:line="142"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In July 2021, the State Council of the PRC promulgated the Regulations on the Protection of the Security of Critical Information Infrastructure took effect on September 1, 2021. Pursuant to this regulation, critical information infrastructure means key network facilities or information systems of critical industries or sectors, such as public communication and information service, energy, transportation, water conservation, finance, public services, e-government affairs and national defense science, the damage, malfunction or data leakage of which may endanger national security, people’s livelihoods and the public interest. In December 2021, the CAC, together with other authorities, jointly promulgated the Cybersecurity Review Measures, which took effect on February 15, 2022 and replaces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public offering at a foreign stock exchange. PRC governmental authorities may also initiate cybersecurity review if they determine certain network products, services, or data processing activities affect or may affect national security. As of the date of this annual report, we are not aware of official release of detailed rules or implementation rules by any authority and we have not been informed that we are a critical information infrastructure operator by any government authorities. Furthermore, the scope of “network products or services or data processing activities that will or may affect national security” and the scope of operators of “critical information infrastructure” remains unclear, and the PRC government authorities may have wide discretion in the interpretation and enforcement of the applicable laws.</w:t>
      </w:r>
    </w:p>
    <w:p>
      <w:pPr>
        <w:spacing w:after="0" w:line="365"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In the past, the PRC government has initiated cybersecurity reviews against a number of mobile applications operated by several US-listed Chinese companies and prohibited applications from registering new users during the review period. We expect that cybersecurity and data protection issues will receive greater and continued attention and scrutiny from regulators and the public going forward, which could increase our compliance costs and subject us to heightened risks and challenges associated with data security and protection, as well as negative publicity. If the Cybersecurity Review Measures mandates clearance of cybersecurity review and other specific actions to be taken by overseas listed companies like us, we face uncertainties as to whether we can complete these additional procedures timely, or at all, which may subject us to government enforcement actions and investigations, fines, penalties, revocation of the required licenses, suspension of our non-compliant operations, or removal of our mobile application from the application stores, and materially and adversely affect our business and results of operations. As of the date of this annual report, we have not been involved in any formal investigations on cybersecurity review made by the CAC on such basis.</w:t>
      </w:r>
    </w:p>
    <w:p>
      <w:pPr>
        <w:spacing w:after="0" w:line="104"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In September 2024, the State Council promulgated the Regulation on Network Data Security Management, which took effect January 1, 2025. This regulation restates and further specifies the additional legal requirements for personal information, important data, cross-border data transfer, network platform services, and data security. Among others, this regulation requires that if the network data processing activities affects or may affect national security, such activities shall be subject to national security review in accordance with relevant laws and regulations. However, there have been no clarifications from the authorities as of the date of this annual report as to the standards for determining whether an activity is one that “affects or may affect national security.”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In October 2025, the Standing Committee of the National People’s Congress of China promulgated the revised PRC Cybersecurity Law, which took effect on January 1, 2026. This revised Cybersecurity Law further strengthens cybersecurity obligations, expands regulatory coverage, introduces requirements for artificial intelligence security, and significantly increases penalties for violations compared with the original version. However, as of the date of this annual report, no detailed implementation standards or clarification have been issued by the competent authorities with respect to the new and revised provisions under the updated Cybersecurity Law.</w:t>
      </w:r>
    </w:p>
    <w:p>
      <w:pPr>
        <w:spacing w:after="0" w:line="161" w:lineRule="exact"/>
        <w:rPr>
          <w:sz w:val="20"/>
          <w:szCs w:val="20"/>
          <w:color w:val="auto"/>
        </w:rPr>
      </w:pPr>
    </w:p>
    <w:p>
      <w:pPr>
        <w:jc w:val="both"/>
        <w:ind w:firstLine="594"/>
        <w:spacing w:after="0" w:line="267" w:lineRule="auto"/>
        <w:rPr>
          <w:sz w:val="20"/>
          <w:szCs w:val="20"/>
          <w:color w:val="auto"/>
        </w:rPr>
      </w:pPr>
      <w:r>
        <w:rPr>
          <w:rFonts w:ascii="Times New Roman" w:cs="Times New Roman" w:eastAsia="Times New Roman" w:hAnsi="Times New Roman"/>
          <w:sz w:val="16"/>
          <w:szCs w:val="16"/>
          <w:color w:val="auto"/>
        </w:rPr>
        <w:t>In February 2026, the Ministry of Industry and Information Technology, together with the CAC, the NDRC, the National Data Administration, the Ministry of Public Security, the Ministry of Natural Resources, the Ministry of Transport, and the State Administration for Market Regulation formally issued the Guidelines for the Security of Cross-border Transfer of Automotive Data (2026 Edition), providing compliance guidance for cross-border data transfer activities as well as identification of important data in the automotive industry. As there are uncertainties with respect to the interpretation of certain provisions, we may be required to make further adjustments to our business practices to comply with the guidance.</w:t>
      </w:r>
    </w:p>
    <w:p>
      <w:pPr>
        <w:spacing w:after="0" w:line="3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Personal Information and Privacy</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On August 16, 2021, the CAC, the NDRC, the Ministry of Public Security, the Ministry of Industry and Information Technology and the Ministry of Transport jointly promulgated the Several Provisions on Automobile Data Security Management (Trial Implementation), which impose a series of additional personal information and data security protection obligations on automobile data processors like us, including, among other things, (i) in-car processing of automobile data in principle, (ii) enhanced notification and consent requirements, (iii) enhanced individual control over their automobile personal information, and (iv) submitting annual report for processing automobile important data. We may be required to make further adjustments to our business practices to comply with the personal information and data protection laws and regulations.</w:t>
      </w:r>
    </w:p>
    <w:p>
      <w:pPr>
        <w:spacing w:after="0" w:line="16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Many of the data-related legislations are relatively new and certain concepts thereunder remain subject to interpretation by the regulators. Moreover, different PRC regulatory bodies have enforced data privacy and protections laws and regulations with varying standards and applications. In general, compliance with the existing PRC laws and regulations, as well as additional laws and regulations that PRC regulatory bodies may enact in the future, related to data security and personal information protection, may be costly and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163"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In addition to the aforementioned PRC regulations, regulatory authorities in the U.S., Europe and elsewhere around the world have adopted or are considering a number of legislative and regulatory proposals concerning data protection. These legislative and regulatory proposals, if adopted, and the uncertain interpretations and application thereof could, in addition to the possibility of fines, result in an order requiring that we change our data practices and policies, which could have an adverse effect on our business and results of operations. For example, the European Union adopted the European Union General Data Protection Regulation (GDPR) which took effect on May 25, 2018. This regulation includes operational requirements for companies that receive or process personal data of residents of the European Economic Area, and establishes new requirements applicable to the processing of personal data, affords new data protection rights to individuals and imposes penalties for serious data breaches. Individuals also have a right to compensation under this regulation for financial or non-financial losses. As we offer our products and services in European market, we are subject to provisions of this regulation. Although the GDPR has been in effect for years, data protection authorities and courts within the European Union member states have adopted varying interpretations of the GDPR. This divergence in interpretation has resulted in a complex legal and protracted process in the event of investigations or court proceedings.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significantly on our ability to build our brands. We may not succeed in continuing to establish, maintain and strengthen our brands.</w:t>
      </w:r>
    </w:p>
    <w:p>
      <w:pPr>
        <w:spacing w:after="0" w:line="13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Our business and prospects are heavily dependent on our ability to develop, maintain and strengthen our brands. If we do not continue to establish, maintain and strengthen our brands, we may lose the opportunity to build a critical mass of customers. Promoting and positioning our brands will likely depend significantly on our ability to provide high quality vehicles and services, implement competitive marketing strategies, and engage with our customers as intended, and we have limited experience in these areas. In addition, we expect that our ability to develop, maintain and strengthen our brands will depend heavily on the success of our user development and branding efforts. Such efforts mainly include building a community of online and offline users engaged with us through our mobile application, expanding our physical stores, placing online advertisements as well as holding other branding initiatives such as our annual NIO Day and the launch events for our new products and innovative technologies. Moreover, we are also continuously expanding our branding channels, such as placing offline advertisements and hosting online live streams to increase our brand awareness. Such efforts may not achieve the desired results. To promote our brands, we may be required to change our user development and branding practices, which could result in substantially increased expenses, including the need to use traditional media, offline advertisements as well as other promotional methods. If we do not develop and maintain a strong brand image, our business, prospects, financial condition and operating results will be materially and adversely impacted.</w:t>
      </w:r>
    </w:p>
    <w:p>
      <w:pPr>
        <w:spacing w:after="0" w:line="17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Additionally, we have adopted a multi-brand operating strategy, launching two new electric vehicle brands in 2024, positioned and priced in a manner that varies from our “NIO” brand and its vehicle models. In May 2024, we launched our family-oriented smart electric vehicle brand, ONVO, as well as its first vehicle model, the L60, a smart electric mid-size family SUV. ONVO L90, a smart large-space flagship SUV, was officially launched on July 31, 2025, with user deliveries starting shortly after. FIREFLY, our small smart high-end electric car brand, was launched in December 2024. FIREFLY’s namesake model was launched and commenced delivery in April 2025. The development of new brands within the electric vehicle market involves substantial risks related to market differentiation and consumer acceptance. Establishing a clear position and price range for these new brands in an already competitive landscape requires significant investment in product design and development, branding and marketing efforts. We also face the inherent uncertainty of consumer response to the new brands, which poses a risk to achieving the desired market penetration and sales volumes. Moreover, introducing new brands could cause potential dilution to the brand equity of our “NIO” brand and the diversion of our resources, leading to potential inefficiencies. Moreover, the vehicles under the new brands could potentially cannibalize sales from our vehicles under the NIO brand, adversely affecting our current market position and revenue streams. Furthermore, if any of our brands are poorly received by customers, the overall image of our company may be adversely affected, and the negative receptions may have spillover effects to our other brands. Any of the foregoing could materially and adversely affect our ability to grow our business and our results of operations.</w:t>
      </w:r>
    </w:p>
    <w:p>
      <w:pPr>
        <w:spacing w:after="0" w:line="171"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In addition, if incidents occur or are perceived to have occurred, whether or not such incidents are our fault, we could be subject to adverse publicity. In particular, given the popularity of social media, any negative publicity, whether true or not, could quickly proliferate and harm consumer perceptions and confidence in our brands. Furthermore, there is the risk of potential adverse publicity related to our business and other partners, whether or not such publicity related to their collaboration with us. Although we have transitioned to independent manufacturing, any product quality issues with vehicles that were historically jointly manufactured by our partners and us could adversely harm our brands and reputation.</w:t>
      </w:r>
    </w:p>
    <w:p>
      <w:pPr>
        <w:spacing w:after="0" w:line="161"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Furthermore, from time to time, our vehicles are evaluated and reviewed by third-party media or review organizations. Any negative reviews or reviews which compare us unfavorably to competitors could adversely affect consumer perception about our vehicles.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substantially on the continuing efforts of our executive officers, key employees and qualified personnel, and our operations may be severely disrupted if we lose their services.</w:t>
      </w:r>
    </w:p>
    <w:p>
      <w:pPr>
        <w:spacing w:after="0" w:line="13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Our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As we build our brands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electric vehicles are based on a different technology platform than traditional ICE vehicles, individuals with sufficient training in electric vehicles may not be available to hire, and we will need to expend significant time and expense training the employees we hire. We also require sufficient talent in areas such as assisted and intelligent driving,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6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we may lose customers, know-how and key professionals and staff members. To the extent permitted by laws,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PRC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growth is dependent on the demand for, and upon consumers’ willingness to adopt, electric vehicles.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Demand for automobile sales depends to a large extent on economic, political and social conditions in a given market and the introduction of new vehicles and technologies. As our business grows, economic conditions and trends as well as shifting user preferences will impact our business, prospects and operating results as well.</w:t>
      </w:r>
    </w:p>
    <w:p>
      <w:pPr>
        <w:spacing w:after="0" w:line="15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Demand for our electric vehicles may also be affected by factors directly impacting automobile prices or the cost of purchasing and operating automobiles, such as sales and financing incentives, prices of raw materials and parts and components, cost of fuel and electricity, and governmental regulations, including tariffs, import regulation and other taxes. Volatility in demand may lead to reduced sales and pricing pressure, which may result in reduced revenue and adversely affect our business, prospects, financial condition and operating results.</w:t>
      </w:r>
    </w:p>
    <w:p>
      <w:pPr>
        <w:spacing w:after="0" w:line="15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 addition, the demand for our vehicles and services highly depends upon the adoption by consumers of new energy vehicles in general and electric vehicles in particular. The market for new energy vehicles is still rapidly evolving, characterized by rapidly changing technologies, evolving government regulation and industry standards and changing consumer demands and behaviors.</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Other factors that may influence the adoption of alternative fuel vehicles, and specifically electric vehicles, include:</w:t>
      </w:r>
    </w:p>
    <w:p>
      <w:pPr>
        <w:spacing w:after="0" w:line="212" w:lineRule="exact"/>
        <w:rPr>
          <w:sz w:val="20"/>
          <w:szCs w:val="20"/>
          <w:color w:val="auto"/>
        </w:rPr>
      </w:pPr>
    </w:p>
    <w:p>
      <w:pPr>
        <w:ind w:left="920" w:hanging="301"/>
        <w:spacing w:after="0" w:line="298" w:lineRule="auto"/>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perceptions about electric vehicle quality, safety, design, performance and cost, especially if adverse events or accidents occur that are linked to the quality or safety of electric vehicles, whether or not such vehicles are produced by us or other companies;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perceptions about vehicle safety in general, in particular safety issues that may be attributed to the use of advanced technology;</w:t>
      </w:r>
    </w:p>
    <w:p>
      <w:pPr>
        <w:spacing w:after="0" w:line="212" w:lineRule="exact"/>
        <w:rPr>
          <w:rFonts w:ascii="Times New Roman" w:cs="Times New Roman" w:eastAsia="Times New Roman" w:hAnsi="Times New Roman"/>
          <w:sz w:val="16"/>
          <w:szCs w:val="16"/>
          <w:color w:val="auto"/>
        </w:rPr>
      </w:pPr>
    </w:p>
    <w:p>
      <w:pPr>
        <w:ind w:left="920" w:hanging="301"/>
        <w:spacing w:after="0" w:line="269" w:lineRule="auto"/>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limited range over which electric vehicles may be driven on a single battery charge and the speed at which batteries can be recharged;</w:t>
      </w:r>
    </w:p>
    <w:p>
      <w:pPr>
        <w:spacing w:after="0" w:line="38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decline of an electric vehicle’s range resulting from deterioration over time in the battery’s ability to hold a charge;</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concerns about electric grid capacity and reliability;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920" w:hanging="301"/>
        <w:spacing w:after="0"/>
        <w:tabs>
          <w:tab w:leader="none" w:pos="9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new energy vehicles, including plug-in hybrid electric vehicles;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improvements in the fuel economy of the internal combustion engine;</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service for electric vehicles;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environmental consciousness of consumers;</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charging stations, standardization of electric vehicle charging systems and consumers’ perceptions about convenience and cost to charge an electric vehicle;</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tax and other governmental incentives to purchase and operate electric vehicles or future regulation requiring increased use of nonpolluting vehicles;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perceptions about and the actual cost of alternative fuel;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factors.</w:t>
      </w:r>
    </w:p>
    <w:p>
      <w:pPr>
        <w:spacing w:after="0" w:line="21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Any of the factors described above may cause current or potential customers not to purchase our electric vehicles and use our services. If the market for electric vehicles does not develop as we expect or develops more slowly than we expect, our business, prospects, financial condition and operating results will be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user credit.</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offer auto financing arrangements to users directly through our subsidiaries. Under the financing arrangements we typically receive a small portion of the total vehicle purchase price at the commencement of the financing term, followed by a stream of payments over the financing term. To the extent our users fail to make payments on time under any of the foregoing arrangements, our results of operations may be adversely affected. As of December 31, 2025, the amount of auto financing receivables was RMB1,360.5 million (US$194.6 million). As we continue to grow our business, we may increase the amount of our auto financing receivables. We may fail to effectively manage the credit risks related to our auto financing arrangements. To the extent our users’ default on their obligations to us or fail to make payments on time under any of the foregoing arrangements, our results of operations may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exposed to credit risk of our receivables.</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Our receivables primarily include amounts due from the Battery Asset Company in relation to battery sales under the BaaS model, auto financing receivables, deposits and others. We have identified the risk characteristics of our customers and the related receivables, deposits and other receivables which include size, type of the services or the products we provide, or a combination of these characteristics. Receivables with similar risk characteristics have been grouped into pools. For each pool, we consider the historical credit loss,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our receivables. Additionally, external data and macroeconomic factors are also considered. In 2023, 2024 and 2025, we reversed RMB26.3 million, RMB3.8 million and RMB46.7 million (US$6.7 million) expected credit loss expense in selling, general and administrative expenses, respectively. We cannot assure you that all of our customers will not default on their obligations to us in the future, despite our efforts to conduct credit assessments on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inventory risks that, if not properly managed, could harm our financial condition, operating results, and prospects.</w:t>
      </w:r>
    </w:p>
    <w:p>
      <w:pPr>
        <w:spacing w:after="0" w:line="21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We are exposed to significant inventory risks that may adversely affect our operating results as a result of increased competition, seasonality, new model launches, shortened vehicle life cycles, pricing volatility, potential defective vehicles, changes in consumer demand and consumer spending patterns, and other factors. We endeavor to accurately predict these trends and avoid overstocking or understocking issues. Demand for our vehicles, however, can change significantly between the time inventory or components are ordered and the date of sale. We coordinate various aspects of our operations to match anticipated customer demand, including procurement, manufacturing, inventory management, storage and logistics, among others. However, if our prediction does not align with the actual demand, we will likely incur additional costs due to over- or under- procurement of components, inventory buildup and possibly significant inventory write-down, or production shortfalls and delivery delays. Poor inventory management may also make it more difficult for us to inspect and control quality and ensure proper handling, storage and delivery of our vehicles. We may experience higher return rates on new vehicles, receive more customer complaints about them and face costly product liability claims as a result of selling them, which would harm our brand reputation as well as our financial performance.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might not be able to fulfil our obligation in respect of deferred revenue, which might have impact on our cash or liquidity position.</w:t>
      </w:r>
    </w:p>
    <w:p>
      <w:pPr>
        <w:spacing w:after="0" w:line="21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Our recognition of deferred revenue is subject to future performance obligations, mainly including the transaction price allocated to the performance obligations that are unsatisfied, or partially satisfied, which mainly arises from the extended warranty services, battery swapping services, vehicle connectivity services, and points and coupons offered to customers. We may have multiple performance obligations identified in the vehicle sales contract and the sales of packages to transfer goods or services to a customer for which we have received consideration, or an amount of consideration is due, from the customer, which is recorded as deferred revenue. Due to potential future changes in customer preferences and the need for us to satisfactorily perform product support and other services, deferred revenue at any particular date may not be representative of actual revenue for any future period. Any failure to fulfil the obligations in respect of deferred revenue may have an adverse impact on our results of operations and liquidity.</w:t>
      </w:r>
    </w:p>
    <w:p>
      <w:pPr>
        <w:spacing w:after="0" w:line="361"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Fluctuation of fair value change of short-term and long-term investments that we made may adversely affect our financial condition, results of operations, and prospects.</w:t>
      </w:r>
    </w:p>
    <w:p>
      <w:pPr>
        <w:spacing w:after="0" w:line="133"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The fluctuation in the fair value of our short-term and long-term investments could adversely affect our financial condition, results of operations and prospects. For the years ended December 31, 2023, 2024 and 2025, our short-term investments consisted primarily of investments in fixed deposits with maturities between three months and one year and structured deposits issued by banks, and our long-term investments consisted primarily of equity investments in publicly traded companies and privately-held companies, and debt security investments. Determining the fair value of our short-term and long-term investments involves using certain valuation methodologies, which rely heavily on management judgment and are inherently uncertain. Factors beyond our control, such as changes in general economic conditions, market volatility and liquidity, asset values, and the performance of the companies we invested in, can lead to adverse changes in the estimates we use, thereby adversely affecting the fair value of our investments. In addition, we are exposed to credit risks in relation to our short-term and long-term investments, which may further affect the net changes in their fair value. We cannot assure you that market conditions will result in fair value gains on our short-term and long-term investments or we will not incur any fair value losses on these investments in the future. If we incur such fair value losses, our results of operations, financial condition and prospects may be adversely affected.</w:t>
      </w:r>
    </w:p>
    <w:p>
      <w:pPr>
        <w:spacing w:after="0" w:line="36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3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may become subject to product liability claims, which could harm our business, prospects, operating results and financial condition.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In addition, we may be subject to product liability claims for defective components and parts that are manufactured by our third-party partners. A successful product liability claim against us could require us to pay a substantial monetary award. Moreover, a product liability claim could generate substantial negative publicity about our vehicles and business and inhibit or prevent commercialization of our future vehicle candidates which would have a material adverse effect on our brands,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vehicles are subject to motor vehicle standards and any failure to satisfy such mandated safety standards would have a material adverse effect on our business and operating results.</w:t>
      </w:r>
    </w:p>
    <w:p>
      <w:pPr>
        <w:spacing w:after="0" w:line="13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All vehicles sold must comply with various standards of the market where the vehicles were sold. In China, vehicles must meet or exceed all mandated safety standards. Rigorous testing and the use of approved materials and equipment are among the requirements for achieving such standards. Vehicles must pass various tests and undergo a certification process and be affixed with the China Compulsory Certificate mark, before receiving delivery from the factory, being sold, or being used in any commercial activity. In addition, the Opinion on Strengthening the Access Administration of Intelligent Connected Vehicles Manufacturing Enterprises and Their Products requires vehicles manufacturing enterprises to ensure the compliance of vehicle products with laws, regulations, technical standards and technical specification and file for record with the Ministry of Industry and Information Technology prior to over-the-air updates, and shall file with the Ministry of Industry and Information Technology in the event of any change to the safety, energy saving, environment protection, anti-theft and other technical parameters and shall ensure conformance by vehicle products and production. Without the approval, no over-the-air update shall be conducted to add or update the autonomous driving function. Any delays or lags of the over-the-air updates due to the Ministry of Industry and Information Technology prior filing procedures may materially and adversely affect our business and operating results. Furthermore, given we are delivering our vehicles in international markets and consistently expanding our reach, we are also subject to mandated safety standards and other local requirements in these markets. If we fail to have any of our current or future vehicle models satisfy motor vehicle standards or any new laws and regulations in China and other markets where our vehicles are sold, it would have a material adverse effect on our business and operating results.</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may be compelled to undertake product recalls or take other actions, which could adversely affect our brand image and financial performance.</w:t>
      </w:r>
    </w:p>
    <w:p>
      <w:pPr>
        <w:spacing w:after="0" w:line="390"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Recalls of our vehicles can cause adverse publicity, damage to our brands and liability for costs. We have initiated product recalls in the past.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or caused by systems or components that we or our suppliers engineered or manufactured, could involve significant expenses and could adversely affect our brand image in our target markets, as well as our business, prospects,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long-term viability of our distribution model is unproven.</w:t>
      </w:r>
    </w:p>
    <w:p>
      <w:pPr>
        <w:spacing w:after="0" w:line="21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In China, we conduct vehicle sales directly to users rather than through dealerships. This model of vehicle distribution subjects us to substantial risks as it requires, in the aggregate, significant expenditures and provides for slower expansion and less coverage of our distribution and sales systems than may be possible by utilizing the traditional dealer franchise system commonly applied for the sales of ICE vehicles and other EV companies. Moreover, we compete with companies with well established distribution channels.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 In overseas markets, we adopt more diverse sales approaches, including direct sales and cooperating with business partners. However, as we are less familiar with overseas markets and may not have sufficient understanding and experience with cooperating with overseas partners or adapting to local economic and political conditions, local consumer preferences, and local market situations, our overseas sales model may not be as efficient as we anticipate and may continuously evolve, potentially requiring us to incur higher expenses. In addition, the lead time in fulfilling our orders could lead to cancelled orders. If we are unable to timely fulfil our orders, our customer satisfaction could be adversely affected, harming our business and reputation.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results may vary significantly from period to period due to the seasonality of our business and fluctuations in our operating costs.</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Our operating results may vary significantly from period to period due to many factors, including seasonal factors that may have an effect on the demand for our electric vehicles. In the past few years, demand for new vehicles in the automotive industry in China was generally higher in the fourth quarter and lower during the Chinese New Year period. Such variation may or may not continue in the future. Our limited operating history makes it difficult for us to judge the exact nature or extent of the seasonality of our business. Also, any unusually severe weather conditions in some markets may impact demand for our vehicles. The seasonal fluctuations in the demand for our vehicles may have a negative impact on our cash flow and could adversely affect our liquidity position. Our operating results could also suffer if we do not achieve revenue consistent with our expectations for this seasonal demand because many of our expenses are based on anticipated levels of annual revenue.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We also expect our period-to-period operating results to vary based on our operating costs which may increase in future periods as we, among other things, design, develop and manufacture our electric vehicles, invest in research and development of core technologies, build and equip new manufacturing facilities, develop our power network, expand our sales and service network, and increase our sales and marketing activities to support our operations.</w:t>
      </w:r>
    </w:p>
    <w:p>
      <w:pPr>
        <w:spacing w:after="0" w:line="15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As a result of these factors, we believe that period-to-period comparisons of our operating results are not necessarily meaningful and that these comparisons cannot be relied upon as indicators of future performance. Moreover, our operating results may not meet expectations of equity research analysts or investors. If this occurs, the trading price of our ADSs could fall substantially either suddenly or over time.</w:t>
      </w:r>
    </w:p>
    <w:p>
      <w:pPr>
        <w:spacing w:after="0" w:line="14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our vehicle owners customize our vehicles or change the charging infrastructure with aftermarket products, the vehicles may not operate properly, which may create negative publicity and could harm our business.</w:t>
      </w:r>
    </w:p>
    <w:p>
      <w:pPr>
        <w:spacing w:after="0" w:line="13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Automobile enthusiasts may seek to “hack” our vehicles to modify their performance which could compromise vehicle safety systems. Also, customers may customize their vehicles with after-market parts that can compromise driver safety. We do not test, nor do we endorse, such changes or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negatively affect our brands and harm our business, prospects, financial condition and operating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the investment in NIO China.</w:t>
      </w:r>
    </w:p>
    <w:p>
      <w:pPr>
        <w:spacing w:after="0" w:line="21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In February 2020, we entered into a collaboration framework agreement with the municipal government of Hefei, Anhui province, where our manufacturing hub is located. Subsequently from April to June 2020, we entered into definitive agreements, as amended and supplemented, or the NIO China Series A Agreements, for investments in NIO China with a group of investors, which we refer to as the Hefei Strategic Investors in this annual report. Under the NIO China Series A Agreements, the Hefei Strategic Investors agreed to invest an aggregate of RMB7 billion in cash into NIO Holding Co., Ltd. (previously known as NIO (Anhui) Holding Co., Ltd.), or NIO China, a legal entity that we wholly owned pre-investment. We agreed to inject our core businesses and assets in China, including vehicle research and development, supply chain, sales and services and NIO Power, collectively referred to as the Asset Consideration, valued at RMB17.77 billion in total, into NIO China, and invest RMB4.26 billion in cash into NIO China.</w:t>
      </w:r>
    </w:p>
    <w:p>
      <w:pPr>
        <w:spacing w:after="0" w:line="365"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From March to December 2024, we entered into a series of definitive agreements, or the NIO China Series B Agreements, for investments in NIO China with a group of investors whom we refer to as the NIO China Series B Investors. Under the NIO China Series B Agreements, the NIO China Series B Investors agreed to invest an aggregate of RMB3.3 billion in cash to subscribe for newly issued shares of NIO China, and we agreed to inject an aggregate of RMB10 billion in cash to subscribe for newly issued shares of NIO China, which we collectively refer to as the NIO China Series B Investment. As of the date of this annual report, the NIO China Series B Strategic Investors have injected an aggregate of RMB2.8 billion in cash into NIO China, while we have injected an aggregate of RMB10 billion in cash into NIO China. We and the NIO China Series B Strategic Investors are working towards the completion of the remaining portion of the investment. In July 2025, pursuant to the NIO China Series B Investment Agreements, we exercised our right to make an additional investment of RMB20 billion in NIO China at the same price and on the same terms of the NIO China Series B Investment. In December 2025 and January 2026, we entered into agreements with certain investors of NIO China to purchase their holdings of approximately 1.08% of the equity interest of NIO China, which will be settled in three tranches by September 2026, for a total consideration of no more than RMB1.002 billion. As of the date of this annual report, we hold a controlling equity interest of 91.8% in NIO China. Following the completion of the cash injection and equity purchases discussed above, we expect our controlling equity interest to increase to 92.3%.</w:t>
      </w:r>
    </w:p>
    <w:p>
      <w:pPr>
        <w:spacing w:after="0" w:line="371"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In connection with the NIO China Series B Investment, we entered into a shareholders agreement, or the NIO China Series B Shareholders Agreement with the NIO China Series B Investors and the other existing shareholders of NIO China, which we collectively referred to as NIO China Strategic Investors. The NIO China Series B Shareholders Agreement replaced a prior shareholders agreement among the shareholders of NIO China and remains in effect. Pursuant to the NIO China Series B Shareholders Agreement, NIO China granted certain minority shareholders’ rights to the NIO China Strategic Investors, including, among others, the right of first refusal, co-sale right, preemptive right, anti-dilution right, redemption right, liquidation preference and conditional drag-along right. You would not enjoy these preferential rights or treatment through investing in our ADSs and the underlying ordinary shares. Exercise of these preferential rights by the NIO China Strategic Investors may also adversely affect your investment in our company.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In particular, the NIO China Strategic Investors may require us to redeem the shares of NIO China they hold upon the occurrence of certain triggering events, at a redemption price equal to the higher of: (i) the total investment amount paid by the NIO China Strategic Investor, plus an investment income calculated at a compound rate of 8.5% (with respect to NIO China Series A Investment) or 7.5% (with respect to NIO China Series B Investment) per annum; and (ii) the value of the equity interests requested for redemption by the NIO China Strategic Investor, based on the post-investment valuation of NIO China and its affiliates and controlled entities in the most recent financing round. If any of the triggering events of redemption occurs, we will need substantial capital to redeem the shares of NIO China held by the NIO China Strategic Investors, and the value of your investment in our company will be negatively affected. In particular, if NIO China fails to complete the listing application or to issue the material assets restructuring plan related to the qualified initial public offering before December 31, 2027, or fails to complete the qualified initial public offering before December 31, 2028, the NIO China Strategic Investors may request us to redeem the equity interest in NIO China then held by them. In addition, if we pursue the initial public offering of NIO China, we will be subject to various requirements under the Hong Kong Listing Rules and practice notes, including, among others, the requirement in the level of operations and assets of the remaining business in our company following the spin-off to maintain listing status, the approval of the Hong Kong Stock Exchange and shareholder approval. As a result, the application for and the completion of the qualified initial public offering are subject to substantial uncertainties. If we do not have adequate cash available or cannot obtain additional financing, or our use of cash is restricted by applicable laws, regulations or agreements governing our current or future indebtedness, we may not be able to redeem shares of NIO China when required under the NIO China Series B Shareholders Agreement, which would constitute an event of default under the NIO China Series B Shareholders Agreement and subject us to liabilities.</w:t>
      </w:r>
    </w:p>
    <w:p>
      <w:pPr>
        <w:spacing w:after="0" w:line="165"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addition, before NIO China completes its potential qualified initial public offering, without the prior written consent of the NIO China Strategic Investors, we may not directly or indirectly transfer, pledge or otherwise dispose of NIO China’s shares to a third party that may result in our shareholding in NIO China falling below 60%. For more information, see “Item 4. Information on the Company—B. Business Overview—Certain Other Cooperation Arrangements—NIO China Strategic Investors” included elsewhere in this annual report.</w:t>
      </w:r>
    </w:p>
    <w:p>
      <w:pPr>
        <w:spacing w:after="0" w:line="159"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Because we have injected the core businesses and assets into NIO China, the NIO China Strategic Investors will have senior claims over the assets of NIO China compared to NIO China’s other shareholders (i.e., our other subsidiaries) when a liquidation event of NIO China occurs. As a result, holders of our Class A ordinary shares and ADSs will be structurally subordinated to the NIO China Strategic Investors, which may negatively affect the value of the investment of ADS holders and holders of Class A ordinary shares in our company. We may not have sufficient funding to repay our existing debts. We essentially control the daily operation of and substantially all of the corporate matters of NIO China. Notwithstanding this, the NIO China Strategic Investors have voting rights with respect to various significant corporate matters of NIO China and its consolidated entities, such as change in NIO China’s corporate structure, change of its core business and amendment to its articles of association, which may limit our ability to make certain major corporate decisions with regard to NIO China. Any of the foregoing could materially adversely affect your investment in our Class A ordinary shares and ADSs.</w:t>
      </w:r>
    </w:p>
    <w:p>
      <w:pPr>
        <w:spacing w:after="0" w:line="16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business plans require a significant amount of capital, and we may issue additional equity or debt securities that may have an adverse effect on our shareholders or may otherwise adversely affect our business.</w:t>
      </w:r>
    </w:p>
    <w:p>
      <w:pPr>
        <w:spacing w:after="0" w:line="47"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operate in the electric vehicle industry, which is highly capital-intensive. We will need significant capital to, among other things, conduct research and development and expand our production capacity as well as roll out our power network, and sales and service network. As we ramp up our production capacity and operations, we may also require significant capital to maintain our property, plant and equipment and such costs may be greater than anticipated.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We may seek equity or debt financing to finance a portion of our capital expenditures. Such financing might not be available to us in a timely manner or on terms that are acceptable, or at all. Our substantial amount of currently outstanding indebtedness may also affect our ability to obtain financing in a timely manner and on reasonable terms.</w:t>
      </w:r>
    </w:p>
    <w:p>
      <w:pPr>
        <w:spacing w:after="0" w:line="16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Our ability to obtain the necessary financing to carry out our business plan is subject to a number of factors, including general market conditions, investor acceptance of our business plan, and other factors beyond our control. These factors may make the timing, amount, terms and conditions of such financing unattractive or unavailable to us. If we are unable to raise sufficient funds, we will have to significantly reduce our spending of, delay or cancel some or all of our planned research and development, manufacturing, marketing or other business activities, or substantially change our corporate structure, any of which could materially harm our business. We might not be able to obtain any funding, and we might not have sufficient resources to conduct our business as projected, both of which could mean that we would be forced to curtail or discontinue our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In addition, our future capital needs and other business reasons could require us to issue additional equity or debt securities or obtain a credit facility. If we raise funds through the issuance of additional equity or debt, including convertible notes or debt secured by some or all of our assets, holders of any debt securities or preferred shares issued will have rights, preferences and privileges senior to those of holders of our ordinary shares in the event of liquidation. The terms of the convertible notes we issued do not restrict our ability to issue additional debt. If additional debt is issued, there is a possibility that once all senior claims are settled, there may be no assets remaining to pay out to the holders of ordinary shares. In addition, if we raise funds through the issuance of additional equity, whether through private placements or public offerings, such an issuance would dilute ownership of our current shareholders that do not participate in the issuance.</w:t>
      </w:r>
    </w:p>
    <w:p>
      <w:pPr>
        <w:spacing w:after="0" w:line="162"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Furthermore, the terms of any additional debt securities we may issue in the future may impose restrictions on our operations, which may include limiting our ability to incur additional indebtedness, pay dividends on or repurchase our share capital, or make certain acquisitions or investments. In addition, we may be subject to covenants requiring us to satisfy certain financial tests and ratios, and our ability to satisfy such covenants may be affected by events outside of our control.</w:t>
      </w:r>
    </w:p>
    <w:p>
      <w:pPr>
        <w:spacing w:after="0" w:line="159"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The terms of the convertible notes we issued could delay or prevent an attempt to take over our company. The terms of the 2027 Notes, 2029 Notes and 2030 Notes require us to repurchase the respective notes in the event of a fundamental change. A takeover of our company would constitute a fundamental change. This could have the effect of delaying or preventing a takeover of our company that may otherwise be beneficial to our shareholders.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warranty reserves may be insufficient to cover future warranty claims which could adversely affect our financial performance.</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offer comprehensive warranty policies covering the entire vehicle as well as key electric components, including the battery, electric motor, and power electronic units. In addition to the standard warranty required by local laws and regulations, we also provide extended warranty services, with specific terms and conditions varying by markets and vehicle models. Our warranty program is similar to other auto company’s warranty programs intended to cover all parts and labor to repair defects in material or workmanship in the body, chassis, interior, electric system, battery, electric powertrain and other related vehicle parts. We plan to record and adjust warranty reserves based on changes in estimated costs and actual warranty costs. However, we have little experience with warranty claims regarding our vehicles or with estimating warranty reserves. As of December 31, 2025, we had warranty reserves in respect of our vehicles of RMB5,642.9 million (US$781.2 million). We cannot assure you that such reserves will be sufficient to cover future claims. We could, in the future, become subject to significant and unexpected warranty claims, resulting in significant expenses, which would in turn materially and adversely affect our results of operations, financial condition and prospects.</w:t>
      </w:r>
    </w:p>
    <w:p>
      <w:pPr>
        <w:spacing w:after="0" w:line="16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need to defend ourselves against patent or trademark infringement claims, which may be time-consuming and would cause us to incur substantial costs.</w:t>
      </w:r>
    </w:p>
    <w:p>
      <w:pPr>
        <w:spacing w:after="0" w:line="13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Companies, organizations or individuals, including our competitors, may hold or obtain patents, trademarks or other proprietary rights that would prevent, limit or interfere with our ability to make, use, develop, sell or market our vehicles or components, which could make it difficult for us to operate our business. From time to time, owners of patents or trademarks may contact us regarding their proprietary rights. Companies holding patents or other intellectual property rights may bring suits alleging infringement of such rights or otherwise assert their rights and urge us to take licenses. Our applications and uses of patented technologies and trademarks relating to, among others, our designs, software or artificial intelligence technologies could subject us to the risk of infringing existing intellectual property rights. For example, beginning in 2021, a German automotive manufacturer claimed that we infringed its trademark rights based on resemblance of model designations of certain of our vehicles with those of the manufacturer’s. For that purpose, the manufacturer filed an infringement lawsuit with the Munich Regional Court against us and brought certain opposition and cancellation proceedings against our trademark applications and registrations of the aforesaid model designations in front of competent intellectual property authorities in certain jurisdictions. In response, we renamed some of our car models in Europe. As of the date of this annual report, to the best of our knowledge, all related proceedings involving this manufacturer have concluded. We may also be subject to additional patent or trademark disputes with other parties. We may have to incur substantial costs in responding to these disputes, similar to our experience with the German manufacturer discussed above. If we are not permitted to use any of our existing model names in jurisdictions where our vehicles are offered, our sales performance there may be negatively affected, which in turn would harm our results of operations and financial condition.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firstLine="594"/>
        <w:spacing w:after="0" w:line="269" w:lineRule="auto"/>
        <w:rPr>
          <w:sz w:val="20"/>
          <w:szCs w:val="20"/>
          <w:color w:val="auto"/>
        </w:rPr>
      </w:pPr>
      <w:r>
        <w:rPr>
          <w:rFonts w:ascii="Times New Roman" w:cs="Times New Roman" w:eastAsia="Times New Roman" w:hAnsi="Times New Roman"/>
          <w:sz w:val="16"/>
          <w:szCs w:val="16"/>
          <w:color w:val="auto"/>
        </w:rPr>
        <w:t>If we are determined to have infringed upon a third party’s intellectual property rights, we may be required to do one or more of the following:</w:t>
      </w:r>
    </w:p>
    <w:p>
      <w:pPr>
        <w:spacing w:after="0" w:line="388" w:lineRule="exact"/>
        <w:rPr>
          <w:sz w:val="20"/>
          <w:szCs w:val="20"/>
          <w:color w:val="auto"/>
        </w:rPr>
      </w:pPr>
    </w:p>
    <w:p>
      <w:pPr>
        <w:ind w:left="920" w:hanging="301"/>
        <w:spacing w:after="0" w:line="298" w:lineRule="auto"/>
        <w:tabs>
          <w:tab w:leader="none" w:pos="9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cease selling, incorporating certain components into, or using vehicles or offering goods or services that incorporate or use the challenged intellectual property;</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substantial damages;</w:t>
      </w:r>
    </w:p>
    <w:p>
      <w:pPr>
        <w:spacing w:after="0" w:line="212" w:lineRule="exact"/>
        <w:rPr>
          <w:rFonts w:ascii="Times New Roman" w:cs="Times New Roman" w:eastAsia="Times New Roman" w:hAnsi="Times New Roman"/>
          <w:sz w:val="16"/>
          <w:szCs w:val="16"/>
          <w:color w:val="auto"/>
        </w:rPr>
      </w:pPr>
    </w:p>
    <w:p>
      <w:pPr>
        <w:ind w:left="920" w:hanging="301"/>
        <w:spacing w:after="0" w:line="269" w:lineRule="auto"/>
        <w:tabs>
          <w:tab w:leader="none" w:pos="9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a license from the holder of the infringed intellectual property right, which license may not be available on reasonable terms or at all;</w:t>
      </w:r>
    </w:p>
    <w:p>
      <w:pPr>
        <w:spacing w:after="0" w:line="38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 our vehicles or other goods or services; or</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maintain alternative branding for our products and services.</w:t>
      </w:r>
    </w:p>
    <w:p>
      <w:pPr>
        <w:spacing w:after="0" w:line="212"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prevent others from unauthorized use of our intellectual property, which could harm our business and competitive position.</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regard our trademarks, service marks, patents, domain names, trade secrets, proprietary technologies and similar intellectual property as critical to our success. We rely on trademark and patent law, trade secret protection and confidentiality agreements, and technology license agreements with our employees, business constituents and others to protect our proprietary rights.</w:t>
      </w:r>
    </w:p>
    <w:p>
      <w:pPr>
        <w:spacing w:after="0" w:line="15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15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Implementation and enforcement of PRC intellectual property-related laws have historically been challenging. Furthermore, policing unauthorized use or leakage of proprietary technology or various infringement on our intellectual property rights is difficult and expensive. We rely on a combination of patent, copyright, trademark and trade secret laws and contractual restrictions on disclosure and usage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36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patent rights may not protect us effectively, and we may not be able to prevent others from developing or exploiting competing technologies, which could have a material and adverse effect on our business.</w:t>
      </w:r>
    </w:p>
    <w:p>
      <w:pPr>
        <w:spacing w:after="0" w:line="133"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As of December 31, 2025, we had 6,404 issued patents and 3,246 patent applications pending, including around 40% relating to vehicle engineering and design, around 35% relating to battery swapping, battery and electric powertrain, and the remaining 25% relating to core electric vehicle technologies such as intelligent driving and digital technologies. For our pending application, we cannot assure you that we will be granted patents pursuant to our pending applications. Even if our patent applications succeed and we are issued patents in accordance with them, it is still uncertain whether these patents will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limited insurance coverage, which could expose us to significant costs and business disruption.</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have limited liability insurance coverage for our products and business operations. A successful liability claim against us due to injuries suffered by our users could materially and adversely affect our financial condition, results of operations and reputation. In addition, we do not have any business disruption insurance. Any business disruption event could result in substantial costs to us and diversion of our resources.</w:t>
      </w:r>
    </w:p>
    <w:p>
      <w:pPr>
        <w:spacing w:after="0" w:line="14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maintain a considerable level of debt that are senior in capital structure and cash flow to our shareholders. Satisfying these debt obligations could adversely affect the amount or timing of any distributions to our shareholders or result in dilution.</w:t>
      </w:r>
    </w:p>
    <w:p>
      <w:pPr>
        <w:spacing w:after="0" w:line="13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maintain a considerable level of indebtedness to finance our operations and business expansion. As of December 31, 2025, we had RMB8,626.3 million (US$1,233.5 million) in total long-term borrowings outstanding, consisting primarily of (i) our 3.875% convertible senior notes due 2029 and 4.625% convertible senior notes due 2030, (ii) our long-term bank debt, (iii) our 0.50% convertible senior notes due 2027, and (iv) other financing arrangements. Meanwhile, as of December 31, 2025, we had RMB5,347.9 million (US$764.7 million) in total short-term borrowings, including the current portions of long-term borrowings.</w:t>
      </w:r>
    </w:p>
    <w:p>
      <w:pPr>
        <w:spacing w:after="0" w:line="161"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January 2021, we issued US$750 million aggregate principal amount of 0.00% convertible senior notes due 2026, or the 2026 Notes, and US$750 million aggregate principal amount of 0.50% convertible senior notes due 2027, or the 2027 Notes. The 2026 Notes matured on February 1, 2026, and we repaid the then outstanding 2026 Notes that had not been redeemed, repurchased or converted in full. Substantially all of the 2027 Notes have also been repurchased or exchanged, with an aggregate principal amount of US$0.2 million outstanding as of December 31, 2025.</w:t>
      </w:r>
    </w:p>
    <w:p>
      <w:pPr>
        <w:spacing w:after="0" w:line="15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In September and October 2023, we issued US$575 million aggregate principal amount of 3.875% convertible senior notes due 2029, or the 2029 Notes, and US$575 million aggregate principal amount of 4.625% convertible senior notes due 2030, or the 2030 Notes.</w:t>
      </w:r>
    </w:p>
    <w:p>
      <w:pPr>
        <w:spacing w:after="0" w:line="137"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The 2029 Notes and the 2030 Notes are unsecured debt. The holders of the 2029 Notes and the 2030 Notes shall have the right, at such holder’s option, to convert all or any portion of their 2029 Notes or 2030 Notes, as applicable, at any time prior to the close of business on the second scheduled trading day immediately preceding the maturity date, i.e., October 15, 2029, in the case of the 2029 Notes, and October 15, 2030, in the case of the 2030 Notes. The initial conversion rate of the 2029 Notes is 89.9685 ADSs per US$1,000 principal amount of such 2029 Notes. The Initial conversion rate of the 2030 Notes is 89.9685 ADSs per US$1,000 principal amount of such 2030 Notes. The conversion rate is subject to adjustment upon the occurrence of certain events. Holders of the 2029 Notes and 2030 Notes may require us to repurchase all or any portion of their 2029 Notes and 2030 Notes for cash on October 15, 2027, in the case of the 2029 Notes, and October 15, 2028, in the case of 2030 Notes, or in the event of certain fundamental changes, at a repurchase price equal to 100% of the principal amount of the 2029 Notes or the 2030 Notes to be repurchased plus accrued and unpaid interest, if any, to, but excluding, the repurchase date. In addition, on or after October 22, 2027, in the case of the 2029 Notes, and October 22, 2028, in the case of the 2030 Notes, until the 20th scheduled trading day immediately prior to the maturity date, i.e., October 15, 2029, in the case of the 2029 Notes, and October 15, 2030, in the case of the 2030 Notes, we may redeem all or part of the 2029 Notes and 2030 Notes, as applicable for cash subject to certain conditions, at a redemption price equal to 100% of the principal amount of the 2029 Notes or the 2030 Notes to be redeemed, plus accrued and unpaid interest, if any, to, but excluding, the optional redemption date. Furthermore, we may redeem all but not part of the 2029 Notes or the 2030 Notes in the event of certain changes in the tax laws.</w:t>
      </w:r>
    </w:p>
    <w:p>
      <w:pPr>
        <w:spacing w:after="0" w:line="16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Satisfying the obligations of all these indebtedness and interest liabilities could adversely affect the amount or timing of any distributions to our shareholders. We may choose to satisfy, repurchase, or refinance any of these liabilities through public or private equity or debt financings if we deem such financings available on favorable terms. If we do not have adequate cash available or cannot obtain additional financing, or our use of cash is restricted by applicable law, regulations or agreements governing our current or future indebtedness, we may not be able to repurchase any of these notes when required under the respective transaction documents, which would constitute an event of default under the respective transaction documents. An event of default could also lead to a default under other agreements governing our current and future indebtedness, and if the repayment of such other indebtedness were accelerated, we may not have sufficient funds to repay the indebtedness and repurchase any of these notes or make cash payments upon conversion of any of these notes. In addition, the holders of any of these notes may convert their notes to a number of our ADSs in accordance with the respective transaction documents. Any conversion will result in immediate dilution to the ownership interests of existing shareholders and such dilution could be material. Lastly, we are exposed to interest rate risk related to our portfolio of investments in debt securities and the debt that we have issued. Among other things, some of our bank loans carry floating interest, and increases in interest rates would result in a decrease in the fair value of our outstanding debt. In the event that we incur a decrease in the fair value of our outstanding debt, our financial performance will be adversely affected.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or may be subject to risks associated with strategic alliances or acquisitions.</w:t>
      </w:r>
    </w:p>
    <w:p>
      <w:pPr>
        <w:spacing w:after="0" w:line="216"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We have entered into and may in the future enter into strategic alliances, including technology partnerships, joint ventures or minority equity investments, with various third parties to further our business purpose from time to time. For example, in February 2024, we entered into a technology license agreement with Forseven Limited, or Forseven. Under this agreement, we granted a non-exclusive and non-transferrable worldwide license to Forseven to use certain of our technical information, technical solutions, software and intellectual property rights related to or subsisting in our existing and future smart electric vehicle platforms within a certain period, for, among other things, the research and development, manufacturing, sales, import and export of vehicle models sold or marketed under Forseven’s brand, subject to the terms and conditions set forth in the agreement. In addition to the technology license agreement, we also entered into various service agreements to assist Forseven to develop vehicles based on the technology license agreement for pre-agreed fees. In August 2025, in light of an internal restructuring of Forseven’s corporate group that resulted in the business and assets of Forseven being transferred to McLaren Automotive Limited, or McLaren Automotive, we entered into certain deeds of novation and variation with Forseven and McLaren Automotive. Pursuant to these deeds, on October 1, 2025, the rights and obligations of Forseven under the technology license agreement and service agreements were transferred to, and assumed by, McLaren Automotive, which replaced Forseven under these agreements. These alliances could subject us to a number of risks, including risks associated with sharing proprietary information, non-performance by the third party and increased expenses in establishing new strategic alliances.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 Specifically, any problems arising from McLaren Automotive’s use of the licensed technologies or the related service agreements, including product recalls, safety issues, or resulting legal disputes, could negatively harm our brands and reputation. Furthermore, in addition to our strategic alliance with McLaren Automotive, collaborations relating to our Power Swap network are also subject to certain risks. Any technical failure in the coordination with our Power Swap network partners can disrupt our charging and battery swapping services to users and delay the expansion of our Power Swap network and the adoption of our battery swapping technology. Also, inefficient processes or inadequate workforce training could lead to operational inefficiencies and increased costs. Any of these risks may materially and adversely affect our business, results of operation and financial conditions.</w:t>
      </w:r>
    </w:p>
    <w:p>
      <w:pPr>
        <w:spacing w:after="0" w:line="369"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In addition, we may acquire additional assets, products, technologies or businesses that are complementary to our existing business. In addition to possible shareholder approval, we may have to obtain approvals and licenses from government authorities for the acquisitions and to comply with any applicable PRC laws and regulations,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manage our growth effectively, we may not be able to execute our growth strategies successfully.</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As we continue to expand our operations and scale up production and sales, further significant expansion may be required, especially in connection with providing our users with high-quality services, expansion of our power infrastructures, managing multiple brands and different models of vehicles, and building our sales network across multiple markets. As technology develops, particularly with respect to artificial intelligence, we may invest in artificial intelligence to improve our production and operation efficiency and enhance user experience. We may also invest in other areas as our business develops. Our future operating results depend to a large extent on our ability to manage this expansion and growth successfully. Risks that we face in undertaking this expansion include, among others:</w:t>
      </w:r>
    </w:p>
    <w:p>
      <w:pPr>
        <w:spacing w:after="0" w:line="163" w:lineRule="exact"/>
        <w:rPr>
          <w:sz w:val="20"/>
          <w:szCs w:val="20"/>
          <w:color w:val="auto"/>
        </w:rPr>
      </w:pPr>
    </w:p>
    <w:p>
      <w:pPr>
        <w:ind w:left="920" w:hanging="301"/>
        <w:spacing w:after="0"/>
        <w:tabs>
          <w:tab w:leader="none" w:pos="9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a larger organization with different divisions and brands;</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recruiting and training a greater number of employees and managing their behaviors, including but not limited to deterring or preventing employee misconducts or illegal actions;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controlling expenses and investments in anticipation of expanded operations;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or expanding design, manufacturing, sales and service facilities;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920" w:hanging="301"/>
        <w:spacing w:after="0"/>
        <w:tabs>
          <w:tab w:leader="none" w:pos="9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and enhancing administrative infrastructure, systems and processes;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new markets and potentially unforeseen challenges as they arise;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responding to the challenges and opportunities created by the development of artificial intelligence.</w:t>
      </w:r>
    </w:p>
    <w:p>
      <w:pPr>
        <w:spacing w:after="0" w:line="212"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Any failure to manage our growth effectively could materially and adversely affect our business, prospects, results of operations and financial condition.</w:t>
      </w:r>
    </w:p>
    <w:p>
      <w:pPr>
        <w:spacing w:after="0" w:line="13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have granted, and may continue to grant options and other types of awards under our share incentive plan, which may result in increased share-based compensation expenses.</w:t>
      </w:r>
    </w:p>
    <w:p>
      <w:pPr>
        <w:spacing w:after="0" w:line="133"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We adopted share incentive plans in 2015, 2016, 2017, 2018, and 2024, which we refer to as the 2015 Plan, the 2016 Plan, the 2017 Plan, the 2018 Plan and the 2024 Plan, respectively, for the purpose of granting share-based compensation awards to employees, directors and consultants to incentivize their performance and align their interests with ours. Each of the 2015 Plan, 2016 Plan and 2017 Plan has a term of 10 years and the 2015 Plan expired in 2025. Each of the 2018 Plan and 2024 Plan has a term of 5 years and the 2018 Plan expired in 2023. The terms of the 2015 Plan, the 2016 Plan and the 2017 Plan are substantially similar, and the terms of the 2018 Plan and the 2024 Plan are substantially similar. The maximum number of Class A ordinary shares which may be issued pursuant to all awards are 46,264,378 under the 2015 Plan, 18,000,000 under the 2016 Plan and 33,000,000 under the 2017 Plan. The maximum number of shares available for issuance pursuant to all awards under the 2018 Plan was initially 23,000,000 Class A ordinary shares, and the amount automatically increased at the beginning of each new year by the number of shares representing 1.5% of the then total issued and outstanding share capital of our company as of the end of the prior year during the term of the 2018 Plan. The maximum number of shares available for issuance pursuant to all awards under the 2024 Plan was initially 19,288,470 Class A ordinary shares, and the amount automatically increases at the beginning of each new year by the number of shares representing 1.2% of the then total issued and outstanding share capital of our company as of the last day of the immediately preceding fiscal year during the term of the 2024 Plan. In addition, any awards not granted under an earlier plan when it terminates are automatically added to the 2024 Plan. As of March 31, 2026, awards to purchase an aggregate amount of 83,205,685 Class A ordinary shares under the 2015 Plan, the 2016 Plan, the 2017 Plan, the 2018 Plan and the 2024 Plan had been granted and were outstanding, excluding awards that were forfeited or cancelled after the grant dates. In addition, one of our subsidiaries also adopted a share incentive plan in 2021, pursuant to which the subsidiary can grant share options to its employees. As of December 31, 2025, our unrecognized share-based compensation expenses related to the stock option and restricted shares amounted to RMB1,723.7 million (US$246.5 million).</w:t>
      </w:r>
    </w:p>
    <w:p>
      <w:pPr>
        <w:spacing w:after="0" w:line="374"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On March 6, 2026, we adopted the 2026 Share Incentive Plan, which we refer to as the 2026 Plan, under which a maximum aggregate amount of 248,454,460 Class A ordinary shares may be issued, representing 10% of our total outstanding shares as of February 28, 2026. The 2026 Plan has a term of 12 years. We subsequently granted 248,454,460 restricted share units to Mr. Bin Li, our founder, chairman of the board of directors and chief executive officer. The restricted share units are divided into ten equal tranches, and the vesting of each tranche is contingent upon our achievement of specific performance targets and Mr. Li’s continued service in key positions of the Company.</w:t>
      </w:r>
    </w:p>
    <w:p>
      <w:pPr>
        <w:spacing w:after="0" w:line="16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5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face challenges in developing and operating our vehicle subscription business and leasing program, including theft of or damage to vehicles and operational difficulties with car leasing partners.</w:t>
      </w:r>
    </w:p>
    <w:p>
      <w:pPr>
        <w:spacing w:after="0" w:line="13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began to offer vehicle subscription offerings in European markets starting from October 2022, which requires significant capital. We may incur losses or otherwise fail to introduce the service successfully. For example, we may incur insufficient utilization rate of our fleets under the subscription offering and therefore only generate lower-than-expected revenue. We also face risks in connection with the expansion of our customer base in Europe through our subscription offering. For example, customers of our vehicle subscription may have a higher-than-expected rate of default due to macroeconomic factors or if we fail to correctly assess their creditworthiness, which would result in increased costs incurred by our company.</w:t>
      </w:r>
    </w:p>
    <w:p>
      <w:pPr>
        <w:spacing w:after="0" w:line="161"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addition, we cooperate with partners in European market who engage in car leasing business. We sell vehicles to the car leasing partners who will then lease the cars purchased from us to the end customers. As such customers would use our vehicles and enjoy certain part of our services, such as using our apps and entering into NIO House, if our car leasing partners run into any operational difficulties, our users’ experience may be negatively affected, our brand name could be compromised.</w:t>
      </w:r>
    </w:p>
    <w:p>
      <w:pPr>
        <w:spacing w:after="0" w:line="15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Furthermore, given that our vehicles are typically stored in unroofed parking lots under the vehicle subscription offering, force majeure events such as flooding, fires or hail may affect a large number of our vehicles. This type of parking lot also has an increased risk of theft or vandalism. Such events may cause us to incur large, uninsured damages, deprive us of a significant portion of our inventory and reduce customer satisfaction if we cannot deliver subscribed vehicles. In addition, vehicles provided to customers under our vehicle subscription service may be stolen, damaged or destroyed before being returned to us. While we carry insurance for our vehicles, the insurance coverage may not be sufficient.</w:t>
      </w:r>
    </w:p>
    <w:p>
      <w:pPr>
        <w:spacing w:after="0" w:line="161"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We have a limited operating history in overseas markets and the business model of our service offerings overseas may continue to evolve, exposing us to new risks not discussed above. In addition, with the expansion of the subscription business and leasing programs in international markets in the future, any of the foregoing could have a material adverse effect on our business, financial condition, results of operations and prospects.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the risk of a decrease in the residual value of used vehicles under our subscription offering.</w:t>
      </w:r>
    </w:p>
    <w:p>
      <w:pPr>
        <w:spacing w:after="0" w:line="21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As the economic owner of the vehicles under the subscription offering, we are exposed to the risk that the market value of our existing vehicles could decrease after new vehicle models are released, which will reduce our asset value. We are also exposed to the risk that the market value of the vehicles returned at the end of the subscription term may be lower than the calculated residual value at the time the subscription contract was entered into, which may in turn increases the likelihood that the future subscription price for the returned vehicle turns out to be lower than expected. A decline in the value of used vehicles can be caused by a broad range of external factors affecting the vehicle market, including adverse changes in customer confidence and preferences, economic conditions, government policies, exchange rates, marketing programs, price pressure in the new vehicle, the actual or perceived safety or reliability of vehicles, the price of raw materials regained from recycling or scrapping, or technological developments.</w:t>
      </w:r>
    </w:p>
    <w:p>
      <w:pPr>
        <w:spacing w:after="0" w:line="365"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Uncertainties may also exist regarding the internal methods for calculating residual values. Although we continually employ residual value models and monitor used vehicle prices, demand and supply trends and other factors to forecast residual values, the assumptions on which residual value assessments are based may prove to be incorrect. In addition, in the case that actual residual values, due to changes in market or regulatory conditions, turn out to be lower than the amounts calculated for our subscription pricing, provisions for residual value risk may be insufficient. Similarly, if the market value of the used cars decreases, we may have to record write-downs beyond its existing reserves for used vehicle inventory risk. Finally, a significant decrease in the value of used vehicles may create pricing pressure for our new car business if customers are not willing to pay significantly higher prices in monthly subscription payments as a consequence of decreased residual values.</w:t>
      </w:r>
    </w:p>
    <w:p>
      <w:pPr>
        <w:spacing w:after="0" w:line="16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As a result of the above factors, with the expansion of the subscription business in the future, if the market value of the used vehicles under our subscription service is significantly below our estimate, it may have a material adverse effect on our business, assets,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do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spacing w:after="0" w:line="13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We are subject to reporting obligations under the U.S. securities laws. The SEC, as required under Section 404 of the Sarbanes-Oxley Act of 2002, adopted rules requiring public companies to include a report of management on such company’s internal control over financial reporting in its document, which contains management’s assessment of the effectiveness of the company’s internal control over financial reporting. In addition, an independent registered public accounting firm must attest to and report on the effectiveness of the company’s internal control over financial reporting.</w:t>
      </w:r>
    </w:p>
    <w:p>
      <w:pPr>
        <w:spacing w:after="0" w:line="15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Our management has concluded that our internal control over financial reporting was effective as of December 31, 2025. In addition, our independent registered public accounting firm has audited the effectiveness of our internal control over financial reporting as of December 31, 2025.</w:t>
      </w:r>
    </w:p>
    <w:p>
      <w:pPr>
        <w:spacing w:after="0" w:line="137"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the future,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with adverse opinion if it is not satisfied with our internal controls or the level at which our controls are documented, designed, operated or reviewed, or if it interprets the requirements differently from us.</w:t>
      </w:r>
    </w:p>
    <w:p>
      <w:pPr>
        <w:spacing w:after="0" w:line="159"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If we fail to implement and maintain an effective internal control environment, we could suffer material misstatements in our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listed securities. Furthermore, we may incur additional costs and use additional management and other resources as our business and operations further expand or in an effort to remediate any significant control deficiencies that may be identified in the future.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our suppliers fail to use ethical business practices and comply with applicable laws and regulations, our brand image could be harmed due to negative publicity.</w:t>
      </w:r>
    </w:p>
    <w:p>
      <w:pPr>
        <w:spacing w:after="0" w:line="13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 in delayed delivery of our products, product shortages or other disruptions of our operations.</w:t>
      </w:r>
    </w:p>
    <w:p>
      <w:pPr>
        <w:spacing w:after="0" w:line="161" w:lineRule="exact"/>
        <w:rPr>
          <w:sz w:val="20"/>
          <w:szCs w:val="20"/>
          <w:color w:val="auto"/>
        </w:rPr>
      </w:pPr>
    </w:p>
    <w:p>
      <w:pPr>
        <w:jc w:val="both"/>
        <w:ind w:firstLine="594"/>
        <w:spacing w:after="0" w:line="270" w:lineRule="auto"/>
        <w:rPr>
          <w:sz w:val="20"/>
          <w:szCs w:val="20"/>
          <w:color w:val="auto"/>
        </w:rPr>
      </w:pPr>
      <w:r>
        <w:rPr>
          <w:rFonts w:ascii="Times New Roman" w:cs="Times New Roman" w:eastAsia="Times New Roman" w:hAnsi="Times New Roman"/>
          <w:sz w:val="16"/>
          <w:szCs w:val="16"/>
          <w:color w:val="auto"/>
        </w:rPr>
        <w:t>Violation of labor or other laws by our suppliers or the divergence of an independent supplier’s labor or other practices from those generally accepted as ethical in the markets in which we do business could also attract negative publicity for us and our brands. This could diminish the value of our brand image and reduce demand for our electric vehicles if, as a result of such violation, we were to attract negative publicity. If we, or other players in our industry, encounter similar problems in the future, it could harm our brand image, business, prospects, results of operations and financial condition.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update our manufacturing equipment more quickly than expected, we may have to shorten the useful lives of any equipment to be retired, which could negatively affect our financial results.</w:t>
      </w:r>
    </w:p>
    <w:p>
      <w:pPr>
        <w:spacing w:after="0" w:line="13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We have invested, and we expect to continue to invest, significantly in what we believe is state of the art tooling, machinery and other manufacturing equipment, and we depreciate the cost of such equipment over their expected useful lives. Manufacturing technology may evolve rapidly, and therefore we may decide to update our manufacturing process with advanced equipment more quickly than expected. Moreover, as our engineering and manufacturing expertise and efficiency increase, we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 An increased amount of investment into the manufacturing plants will lead to an increased cost in asset depreciation and amortization, which could negatively affect our results of operations and financial conditions.</w:t>
      </w:r>
    </w:p>
    <w:p>
      <w:pPr>
        <w:spacing w:after="0" w:line="36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construction and operation of our manufacturing facilities are subject to regulatory approvals or filings and may be subject to changes, delays, cost overruns or may not produce expected benefits.</w:t>
      </w:r>
    </w:p>
    <w:p>
      <w:pPr>
        <w:spacing w:after="0" w:line="13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In February 2020, we entered into a collaboration framework agreement with the municipal government of Hefei, Anhui province. Subsequently from April to June 2020, we entered into definitive agreements, as amended and supplemented, for investments in NIO China. Pursuant to the definitive agreements, we collaborated with the Hefei Strategic Investors and Hefei Economic and Technological Development Area to develop NIO China’s business and to support the accelerated development of the smart electric vehicle sectors in Hefei. In February 2021, we, through NIO China, entered into a further collaboration framework agreement with the municipal government of Hefei, Anhui province, pursuant to which the Hefei government and NIO China agreed in principle to jointly build a world-class industrial campus to support the development and innovations of the smart electric vehicle industry and related supply chains led by NIO China. In addition, the Hefei government and its associated parties plan to re-invest their returns from the equity investments in NIO China to support the further cooperation in Hefei.</w:t>
      </w:r>
    </w:p>
    <w:p>
      <w:pPr>
        <w:spacing w:after="0" w:line="12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Under PRC law, construction projects are subject to broad and strict government supervision and approval procedures, including but not limited to project approvals and filings, construction land and project planning approvals, environment protection approvals, pollution discharge permits, work safety approvals, fire protection approvals, and the completion of inspection and acceptance by authorities. Some of the construction projects being carried out by us are undergoing necessary approval procedures as required by law. As a result, the entities operating such construction projects may be subject to administrative uncertainty, and construction projects in question may be subject to fines or the suspension of use of such projects. Failure to complete the construction projects on schedule and within budget, and failure to obtain necessary approvals or any incompliance with government supervision could have a material adverse impact on our operations, and we may not be able to find commercially reasonable alternatives.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vehicles make use of lithium-ion battery cells, which have been observed to catch fire or vent smoke and flame.</w:t>
      </w:r>
    </w:p>
    <w:p>
      <w:pPr>
        <w:spacing w:after="0" w:line="21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Our vehicles make use of lithium-ion cells. On rare occasions, lithium-ion cells can rapidly release the energy they contain by venting smoke and flames in a manner that can ignite nearby materials as well as other lithium-ion cells. While we have designed the battery to passively contain any single cell’s release of energy without spreading to neighboring cells, and have taken measures to enhance the safety of our battery designs, a field or testing failure of our vehicles or other batteries that we produce could occur in the future. The battery cells may catch fire due to design defects, improper handling or storage, degradation due to aging, extensive use or environmental conditions, malfunction of the thermal management system, and other factors beyond our control. In addition, third parties from which we source our battery components may provide products with design defects, quality issues, or manufacturing deficiencies. Any safety incidents related to the batteries on our vehicles could subject us to lawsuits, product recalls, redesign efforts, and regulatory scrutiny, all of which would be time-consuming and expensive, and negatively affect our sales, brand reputation, user confidence and stock performance. Also, negative public perceptions regarding the suitability of lithium-ion cells for automotive applications or any future incident involving lithium-ion cells such as a vehicle or other fire, even if such incident does not involve our vehicles, could seriously harm our business.</w:t>
      </w:r>
    </w:p>
    <w:p>
      <w:pPr>
        <w:spacing w:after="0" w:line="368"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brands and harm our business, prospects, financial condition and operating results.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Interruption or failure of our information technology and communications systems could impact our ability to effectively provide our services.</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We aim to provide our users with an innovative suite of services through our mobile application and in-car digital services, which depend to a certain extent on network connectivity. The availability and effectiveness of our services depend on the continued operation of our information technology and communications systems. Any interruption, delays or failures of network connectivity could disrupt the normal operation of our in-car digital services, remote control support, navigation services, ADAS, and entertainment offerings. Our systems are vulnerable to damage or interruption from, among other adverse effects, fire, terrorist attacks, natural disasters, power loss, telecommunications failures, computer viruses, computer denial of service attacks or other attempts to harm our systems.</w:t>
      </w:r>
    </w:p>
    <w:p>
      <w:pPr>
        <w:spacing w:after="0" w:line="16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We have designed, implemented and tested security measures intended to prevent unauthorized access to our information technology networks, our vehicles and their systems. However, it is likely that there will be hackers who attempt to gain unauthorized access to modify, alter and use such networks, vehicles and systems to gain control of, or to change, our vehicles’ functionality, user interface and performance characteristics, or to gain access to data stored in or generated by the vehicle. Vulnerabilities could possibly be identified in the future and there is a chance that our remediation efforts may not be successful. Any unauthorized access to or control of our vehicles or their systems or any loss of data could result in legal claims or proceedings. In addition, regardless of their veracity, reports of unauthorized access to our vehicles, their systems or data, as well as other factors that may result in the perception that our vehicles, their systems or data are capable of being “hacked,” could negatively affect our brands and harm our business, prospects, financial condition and operating results.</w:t>
      </w:r>
    </w:p>
    <w:p>
      <w:pPr>
        <w:spacing w:after="0" w:line="16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Our products and services are highly technical and complex and may contain errors or vulnerabilities. Our data centers are also subject to break-ins, sabotage, and intentional acts of vandalism, and potential disruptions. Some of our systems are not fully redundant, and our disaster recovery planning cannot account for all eventualities. Any outage problems at our data centers could result in potential interruptions in our digital services. While we provide over-the-air software updates, any interruption to or error during the update process may result in the malfunction of certain vehicle features. We are also subject to the risk of technology failure on the part of our business partners, including telecommunication service providers, map service providers, and cloud service providers. Even if other smart vehicle brands encounter the aforementioned incidents, consumers may become less confident in our information technology and communication systems as well. Any of the above could result in interruptions in our services, negative user experiences, or the failure of our systems, which could harm our brand reputation, user satisfaction and user confidence, and negatively affect our business operations and financial performance.</w:t>
      </w:r>
    </w:p>
    <w:p>
      <w:pPr>
        <w:spacing w:after="0" w:line="16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anti-corruption, anti-money laundering and similar laws, and non-compliance with these laws may subject us to penalties, expenses and other adverse consequences, which could adversely affect our business, financial condition and reputation.</w:t>
      </w:r>
    </w:p>
    <w:p>
      <w:pPr>
        <w:spacing w:after="0" w:line="13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We are subject to anti-corruption, anti-bribery, anti-money laundering, financial and economic sanctions and similar laws and regulations in various jurisdictions in which we conduct activities, including, among others, the U.S. Foreign Corrupt Practices Act and the U.K. Bribery Act 2010. These acts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Foreign Corrupt Practices Act also requires companies to make and keep books, records and accounts that accurately reflect transactions and dispositions of assets and to maintain a system of adequate internal accounting controls. The U.K. Bribery Act also prohibits non-governmental “commercial” bribery and soliciting or accepting bribes. A violation of these laws or regulations could adversely affect our business, results of operations, financial condition and reputation.</w:t>
      </w:r>
    </w:p>
    <w:p>
      <w:pPr>
        <w:spacing w:after="0" w:line="16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In the ordinary course of business, we have direct or indirect interactions with officials and employees of government agencies and state-owned affiliated entities. We have also entered into joint ventures and/or other business partnerships with government agencies and state-owned or affiliated entities. These interactions subject us to an increased level of compliance-related concerns. We have implemented, and from time to time update, policies and procedures designed to promote compliance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financial condition and results of operations may be adversely affected by natural disasters, health epidemics and other outbreaks.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Our business could be adversely affected by the effects of epidemics. In recent years, there have been outbreaks of epidemics in China and globally, including the COVID-19 pandemic. Our results of operations could be adversely affected to the extent that future outbreak harms the Chinese economy in general. Further, to the extent the future outbreaks adversely affect our business and financial results, they may heighten many of the other risks described in this annual report, such as those relating to our level of indebtedness, our need to generate sufficient cash flows to service our indebtedness and our ability to comply with the covenants contained in the agreements that govern our indebtedness.</w:t>
      </w:r>
    </w:p>
    <w:p>
      <w:pPr>
        <w:spacing w:after="0" w:line="161"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We are also vulnerable to natural disasters and other calamities. Our vehicle production, supply chain, sales and delivery and our service operations and capacities could be materially and adversely affected by natural disasters and other calamities in the areas where we operate and where our vehicles are sold to.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revenues and financial results may be adversely affected by any economic slowdown in China as well as globally.</w:t>
      </w:r>
    </w:p>
    <w:p>
      <w:pPr>
        <w:spacing w:after="0" w:line="21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The success of our business ultimately depends on consumer spending. We derive a substantial majority of our revenues from China. As a result, our revenues and financial results are impacted to a significant extent by economic conditions in China. The growth rate of the Chinese economy has gradually slowed down since 2010 and the Chinese population began to decline in 2022, and the trend may continue. Any slowdown could significantly reduce domestic commerce in China. In addition, as we continue to expand our global presence and offer products and services to markets outside China, we expect our results of operations will also be impacted by the global economic conditions. The global macroeconomic environment is facing numerous challenges. For example, regional conflicts such as the Russia-Ukraine conflict and the unstable situations in the Middle East and the Strait of Hormuz have heightened geopolitical tensions across the world. While these events have not had a direct impact on our business operations and financial results to date, it could raise energy prices, cause supply chain volatilities and disrupt global markets in general, and may negatively affect our business expansion in Europe and other international markets, which may adversely affect our results of operations and financial results. Regional unrest, terrorist threats and the potential for war may increase market volatility across the globe. There have also been concerns about the relationship between China and other countries, including the surrounding Asian countries, which may potentially have economic effects. In particular, there is significant uncertainty about the future relationship between the United States and China with respect to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167"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Sales of electric vehicles, depend in part on discretionary consumer spending and are even more exposed to adverse changes in general economic conditions. In response to their perceived uncertainty in economic conditions, consumers might delay, reduce or cancel purchases of our electric vehicles and our results of operations may be materially and adversely affected.</w:t>
      </w:r>
    </w:p>
    <w:p>
      <w:pPr>
        <w:spacing w:after="0" w:line="15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cannot predict the duration or direction of current trends or their impact on China and globally. If we experience unfavorable global market conditions, or if we cannot or do not maintain operations at a scope that is commensurate with such conditions or are later required to or choose to suspend such operations again, our business, prospects, financial condition and operating results may be harmed.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Shutdowns of the U.S. federal government could materially impair our business and financial condition.</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Over the last several years the U.S. government has shut down several times and certain regulatory agencies, such as the SEC, have had to furlough critical SEC and other government employees and stop critical activities. In our operations as a public company, future government shutdowns could impact our ability to access the public markets, such as delaying the declaration of effectiveness of registration statements and obtaining necessary capital to properly capitalize and continue our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are uncertainties relating to our users trust arrangement involving a portion of our chairman’s shareholding in our company.</w:t>
      </w:r>
    </w:p>
    <w:p>
      <w:pPr>
        <w:spacing w:after="0" w:line="21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In conjunction with our pursuit of being a user enterprise and with the goal of building a deeper connection between NIO and our users, Mr. Bin Li, our founder, chairman of the board of directors and chief executive officer, transferred certain of his ordinary shares to NIO Users Trust after the completion of the initial public offering of our ADSs on the New York Stock Exchange in September 2018. As of the date of this annual report, NIO Users Trust holds 16,967,776 Class A ordinary shares and 33,032,224 Class C ordinary shares through two holding companies controlled by it. Mr. Li continues to retain the voting rights of these shares. In 2019, our user committee adopted the NIO Users Trust Charter by way of voting, and established a User Council to generally discuss and give advice on the management and the operation of NIO Users Trust. In this way, our users have the opportunity to discuss and propose the use of the economic benefits from the shares in NIO Users Trust, which is intended to be composed mainly of the dividends from the shares that it holds, future interests accrued from and investment returns generated by cash assets to be held under the trust, and proceeds from the pledging of such shares from time to time, through the User Council consisting of members of our user community elected by our users. See “Item 4. Information on the Company—B. Business Overview—User Development and User Community—NIO Users Trust” for further details about NIO Users Trust.</w:t>
      </w:r>
    </w:p>
    <w:p>
      <w:pPr>
        <w:spacing w:after="0" w:line="167"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The current NIO Users Trust Charter provides certain mechanisms for the User Council to discuss the management and supervision of the operations of NIO Users Trust. There is no assurance that such current mechanisms for managing the operations of NIO Users Trust we have adopted are to the satisfaction of all of our users, or that such mechanisms will be carried out in the way it was intended. The User Council may not be able to achieve its intended work focus or carry out their work effectively and efficiently as the power to give instructions to the trustee vests with the settlor, protector and investment advisor of the trust. Furthermore, depending on the proposed use of the economic interests of the shares held by the NIO Users Trust in the future, there could be accounting implications to us that cannot presently be ascertained.</w:t>
      </w:r>
    </w:p>
    <w:p>
      <w:pPr>
        <w:spacing w:after="0" w:line="15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and certain of our directors and officers have been named as defendants in shareholder class action lawsuits and legal proceedings, which could have a material adverse impact on our business, financial condition, cash flows and reputation.</w:t>
      </w:r>
    </w:p>
    <w:p>
      <w:pPr>
        <w:spacing w:after="0" w:line="13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Several shareholder class action lawsuits have been filed against us and certain of our directors and officers. See “Item 8. Financial Information—A. Consolidated Statements and Other Financial Information—Legal Proceedings” for more details. We are currently unable to estimate the potential loss, if any, associated with the resolution of such lawsuits, if they proceed. We anticipate that we will continue to be a target for lawsuits in the future, including class action lawsuits brought by shareholders. From time to time, we may also be involved in legal proceedings in the ordinary course of our business.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changes to our business practices, or negative publicity, and thus have a material adverse effect on our business, financial condition, results of operation, cash flows and reputation. In addition, there can be no assurance that our insurance carriers will cover all or part of the defense costs, or any liabilities that may arise from these matters. The litigation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Corporate Structure</w:t>
      </w:r>
    </w:p>
    <w:p>
      <w:pPr>
        <w:spacing w:after="0" w:line="21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the PRC government deems that our VIE arrangements do not comply with PRC laws, or if these PRC laws change, we could be subject to severe penalties or be forced to relinquish our interests in those operations.</w:t>
      </w:r>
    </w:p>
    <w:p>
      <w:pPr>
        <w:spacing w:after="0" w:line="13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Foreign ownership of certain areas of businesses is subject to restrictions and prohibitions under current PRC laws and regulations. For example, pursuant to the 2024 Negative List, foreign investors are not allowed to, among other things, (i) own more than 50% of the equity interests in a value-added telecommunication service provider (other than for e-commerce, domestic multi-parties communications, storage and forwarding categories, call centers); and (ii) invest in certain services related to autonomous driving. Additionally, in practice, subject to the qualifications set by the China Banking and Insurance Regulatory Commission for foreign shareholders of the insurance brokerage companies, the China Banking and Insurance Regulatory Commission typically would not approve the establishment of foreign-invested insurance brokerage companies.</w:t>
      </w:r>
    </w:p>
    <w:p>
      <w:pPr>
        <w:spacing w:after="0" w:line="16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are a Cayman Islands exempted company and our PRC subsidiaries are considered foreign-invested enterprises. Accordingly, we have entered into a series of contractual arrangements with Beijing NIO, Anhui NIO AT, Anhui NIO DT and their respective shareholders that enable us to hold or to apply for all the required licenses in China, including, among others, the ICP license, the insurance brokerage license and certain licenses relating to the operation of certain services related to autonomous driving. For a detailed description of these contractual arrangements, see “Item 4. Information on the Company—C. Organizational Structure—Contractual Agreements with the VIEs and Their Shareholders.”</w:t>
      </w:r>
    </w:p>
    <w:p>
      <w:pPr>
        <w:spacing w:after="0" w:line="161"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In the opinion of Han Kun Law Offices, our PRC legal counsel, (i) the ownership structures of NIO Co., Ltd. and Beijing NIO, the ownership structure of Anhui NIO AD and Anhui NIO AT, and the ownership structure of NIO China and Anhui NIO DT, in China do not result in any violation of PRC laws and regulations currently in effect; and (ii) the contractual arrangements between our subsidiaries, the VIEs and their shareholders governed by PRC laws will not result in any violation of PRC laws or regulations currently in effect.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 See “Item 4. Information on the Company—B. Business Overview—Regulations— Regulations on Foreign Investment in China” and “Item</w:t>
      </w:r>
    </w:p>
    <w:p>
      <w:pPr>
        <w:spacing w:after="0" w:line="3" w:lineRule="exact"/>
        <w:rPr>
          <w:sz w:val="20"/>
          <w:szCs w:val="20"/>
          <w:color w:val="auto"/>
        </w:rPr>
      </w:pPr>
    </w:p>
    <w:p>
      <w:pPr>
        <w:jc w:val="both"/>
        <w:spacing w:after="0" w:line="276" w:lineRule="auto"/>
        <w:tabs>
          <w:tab w:leader="none" w:pos="19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Key Information—D. Risk Factors—Risks Related to Doing Business in China—Our business may be significantly affected by the Foreign Investment Law.” It is uncertain whether any new PRC laws or regulations relating to VIE structures will be adopted or, if adopted, what they would provide.</w:t>
      </w:r>
    </w:p>
    <w:p>
      <w:pPr>
        <w:spacing w:after="0" w:line="35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If the ownership structure, contractual arrangements and businesses of our PRC subsidiaries or the VIEs are found to be in violation of any existing or future PRC laws or regulations, or our PRC subsidiaries or the VIEs fail to obtain or maintain any of the required permits or approvals, the PRC regulatory authorities would have broad discretion to take action in dealing with such violations or failures, including:</w:t>
      </w:r>
    </w:p>
    <w:p>
      <w:pPr>
        <w:spacing w:after="0" w:line="153" w:lineRule="exact"/>
        <w:rPr>
          <w:sz w:val="20"/>
          <w:szCs w:val="20"/>
          <w:color w:val="auto"/>
        </w:rPr>
      </w:pPr>
    </w:p>
    <w:p>
      <w:pPr>
        <w:ind w:left="920" w:hanging="301"/>
        <w:spacing w:after="0"/>
        <w:tabs>
          <w:tab w:leader="none" w:pos="9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revoking the business licenses and/or operating licenses of such entities;</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shutting down our servers or blocking our website, or discontinuing or placing restrictions or onerous conditions on our operation through any transactions between our PRC subsidiaries and the VIEs;</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fines, confiscating the income from our PRC subsidiaries or the VIEs, or imposing other requirements with which we or the VIEs may not be able to comply;</w:t>
      </w:r>
    </w:p>
    <w:p>
      <w:pPr>
        <w:spacing w:after="0" w:line="137"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restructure our ownership structure or operations, including terminating the contractual arrangements with the VIEs and deregistering the equity pledge of the VIEs, which in turn would affect our ability to consolidate, derive economic interests from, or exert effective control over the VIEs; or</w:t>
      </w:r>
    </w:p>
    <w:p>
      <w:pPr>
        <w:spacing w:after="0" w:line="15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or prohibiting our use of the proceeds of any financing outside China to finance our business and operations in China, and taking other regulatory or enforcement actions that could be harmful to our business.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the VIEs that most significantly impact their economic performance, and/or our failure to receive the economic benefits from the VIEs, we may not be able to consolidate the entities in our consolidated financial statements in accordance with U.S. GAAP. Currently, Beijing NIO, Anhui NIO AT, and Anhui NIO DT, taking into account all of their respective business with or without foreign investment restrictions under PRC laws, contributed insignificantly to our total revenues in 2023, 2024 and 2025. As of December 31, 2023, 2024 and 2025, the consolidated VIEs did not have significant operations or any material assets or liabilities.</w:t>
      </w:r>
    </w:p>
    <w:p>
      <w:pPr>
        <w:spacing w:after="0" w:line="1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rely on contractual arrangements with the VIEs and their shareholders to hold a controlling financial interest over each VIE, which may not be as effective as direct ownership in providing operational control.</w:t>
      </w:r>
    </w:p>
    <w:p>
      <w:pPr>
        <w:spacing w:after="0" w:line="13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have relied and expect to continue to rely on contractual arrangements with Beijing NIO, Anhui NIO AT, Anhui NIO DT and their shareholders to maintain a controlling financial interest as the primary beneficiary of each of them (as defined in U.S. GAAP, ASC 810) and to conduct a portion of our operations in China. For a description of these contractual arrangements, see “Item 4. Information on the Company—C. Organizational Structure—Contractual Agreements with the VIEs and Their Shareholders.” The shareholders of VIEs may not act in the best interests of our company or may not perform their obligations under these contracts. If we had direct ownership of the VIEs, we would be able to exercise our rights as a shareholder to control the VIEs to exercise rights of shareholders to effect changes in the board of directors of the VIEs, which in turn could implement changes, subject to any applicable fiduciary obligations, at the management and operational level. However, under the contractual arrangements, we would rely on legal remedies under PRC law for breach of contract in the event that the VIEs and their shareholders did not perform their obligations under the contracts. These legal remedies may not be as effective as direct ownership in providing us with control over the VIEs.</w:t>
      </w:r>
    </w:p>
    <w:p>
      <w:pPr>
        <w:spacing w:after="0" w:line="364"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If the VIEs or their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Uncertainties in the interpretation and enforcement of PRC laws and regulations could limit our ability to enforce these contractual arrangements.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the VIEs, and our ability to conduct our business may be negatively affected. See “Risks Related to Doing Business in China—Uncertainties in the interpretation and enforcement of PRC laws and regulations could limit the legal protections available to you and us.”</w:t>
      </w:r>
    </w:p>
    <w:p>
      <w:pPr>
        <w:spacing w:after="0" w:line="16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ability to enforce the equity pledge agreements between us and the VIEs’ shareholders may be subject to limitations based on PRC laws and regulations.</w:t>
      </w:r>
    </w:p>
    <w:p>
      <w:pPr>
        <w:spacing w:after="0" w:line="13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Pursuant to the equity pledge agreements under our VIE contractual arrangements, each shareholder of the VIEs agrees to pledge its equity interests in the respective VIE to our PRC subsidiary to secure the respective VIE’s performance of its obligations under the contractual arrangements. The equity pledges of shareholders of each VIE under equity pledge agreements have been registered with the local branch of the State Administration for Market Regulation. In addition, in the registration forms of the local branch of the State Administration for Market Regulation for the pledges over the equity interests under the equity pledge agreements, the aggregate amount of registered equity interests pledged to NIO Co., Ltd. represents 100% of the registered capital of Beijing NIO, the aggregate amount of registered equity interests pledged to Anhui NIO AD represents 100% of the registered capital of Anhui NIO AT, and the aggregate amount of registered equity interests pledged to NIO China represents 100% of the registered capital of Anhui NIO DT See “Item 4. Information on the Company—C. Organizational Structure—Contractual Agreements with the VIEs and Their Shareholders” for more information.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The equity pledge agreements with the VIEs’ shareholders provide that the pledged equity interests shall constitute continuing security for any and all of the indebtedness, obligations and liabilities under all of the principal service agreements and the scope of pledge shall not be limited by the amount of the registered capital of that VIE. However, a PRC court may take the position that the amount listed on the equity pledge registration forms represents the full amount of the collateral that has been registered and perfected. If this is the case, the obligations that are supposed to be secured in the equity pledge agreements in excess of the amount listed on the equity pledge registration forms could be determined by the PRC court as unsecured debt, which typically takes last priority among creditors.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shareholders of the VIEs have conflicts of interest with us, which may materially and adversely affect our business and financial condition.</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Our founders, Bin Li and Lihong Qin, own 80% and 20%, respectively, of the equity interests in Beijing NIO and Anhui NIO DT, and own 80% and 2.24%, respectively, of the equity interests in Anhui NIO AT. Shaoqing Ren, a senior vice president of our company, owns 17.76% of the equity interests in Anhui NIO AT. See “Item 4. Information on the Company—C. Organizational Structure—Contractual Agreements with the VIEs and Their Shareholders” for more information. As shareholders of the VIEs, they have conflicts of interest with us. These shareholders may breach, or cause the VIEs to breach, or refuse to renew, the existing contractual arrangements we have with them and the VIEs, which would have a material and adverse effect on our ability to effectively control the VIEs and receive economic benefits from it.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Currently, we do not have any arrangements to address conflicts of interest between these shareholders and our company. Each of Bin Li and Lihong Qin is also a director and executive officer of our company, and Shaoqing Ren is a senior vice president of our company. We rely on Bin Li, Lihong Qin and Shaoqing Ren to abide by the laws of the Cayman Islands and China, which provide that directors and senior management owe a fiduciary duty to the company that requires them to act in good faith and in what they believe to be the best interests of the company and not to use their position for personal gain. There is currently no specific and clear guidance under PRC laws that addresses any conflict between PRC laws and the laws of Cayman Islands in respect of any conflict relating to corporate governance. If we cannot resolve any conflict of interest or dispute between us and the shareholders of VIEs, we would have to rely on legal proceedings, which could result in disruption of our business and subject us to substantial uncertainty as to the outcome of any such legal proceedings.</w:t>
      </w:r>
    </w:p>
    <w:p>
      <w:pPr>
        <w:spacing w:after="0" w:line="15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contractual arrangements with the VIEs may be subject to scrutiny by the PRC tax authorities and they may determine that we or the VIEs owe additional taxes, which could negatively affect our financial condition.</w:t>
      </w:r>
    </w:p>
    <w:p>
      <w:pPr>
        <w:spacing w:after="0" w:line="13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PRC subsidiaries the VIEs in China, and the VIEs’ shareholders were not entered into on an arm’s length basis in such a way as to result in an impermissible reduction in taxes under applicable PRC laws, rules and regulations, and adjust VIEs’ income in the form of a transfer pricing adjustment. A transfer pricing adjustment could, among other things, result in a reduction of expense deductions recorded by VIEs for PRC tax purposes, which could in turn increase their tax liabilities without reducing our PRC subsidiary’s tax expenses. If any of our PRC subsidiaries requests the shareholders of the respective VIE to transfer their equity interests in such VIE at nominal or no value pursuant to the contractual agreements, such transfer could be viewed as a gift and subject our PRC subsidiary to PRC income tax. Furthermore, the PRC tax authorities may impose late payment fees and other penalties on VIEs for the adjusted but unpaid taxes according to the applicable regulations. Our financial position could be materially and adversely affected if any of the VIEs’ tax liabilities increase or if any VIE is required to pay late payment fees and other penalties.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lose the ability to use and benefit from assets held by the VIEs that are material to the operation of our business if the VIEs go bankrupt or becomes subject to dissolution or liquidation proceedings.</w:t>
      </w:r>
    </w:p>
    <w:p>
      <w:pPr>
        <w:spacing w:after="0" w:line="13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As part of our contractual arrangements with the VIEs, the entities may in the future hold certain assets that are material to the operation of our business. If any VIE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the VIEs may not, in any manner, sell, transfer, mortgage or dispose of their assets or legal or beneficial interests in the business without our prior consent. If any VIE undergoes voluntary or involuntary liquidation proceedings, unrelated third-party creditors may claim rights to some or all of these assets, thereby hindering our ability to operate our business, which could materially and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Divestitures of businesses and assets may have a material and adverse effect on our business and financial condition.</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We may undertake in the future, partial or complete divestitures or other disposal transactions in connection with certain of our businesses and assets, particularly ones that are not closely related to our core focus areas or might require excessive resources or financial capital, to help our company meet its objectives. These decisions are largely based on our management’s assessment of the business models and likelihood of success of these businesses. However, our judgment could be inaccurate, and we may not achieve the desired strategic and financial benefits from these transactions. Our financial results could be adversely affected by the impact from the loss of earnings and corporate overhead contribution/allocation associated with divested businesses.</w:t>
      </w:r>
    </w:p>
    <w:p>
      <w:pPr>
        <w:spacing w:after="0" w:line="16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spacing w:after="0" w:line="16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or spin off, finding buyers for them (or the equity interests in them to be sold)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w:t>
      </w:r>
    </w:p>
    <w:p>
      <w:pPr>
        <w:spacing w:after="0" w:line="16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The Hong Kong Stock Exchange has granted us a waiver from strict compliance with the requirements in Paragraph 3(b) of Practice Note 15 to the Hong Kong Listing Rules such that we are able to list a subsidiary entity on the Hong Kong Stock Exchange within three years of the listing of our Class A ordinary shares on the Hong Kong Stock Exchange. While we currently do not have any plan with respect to any spin-off listing on the Hong Kong Stock Exchange, we may consider a spin-off listing on the Hong Kong Stock Exchange for one or more of our businesses within the three-year period subsequent to our listing in Hong Kong. The waiver granted by the Hong Kong Stock Exchange is conditional upon us confirming to the Hong Kong Stock Exchange in advance of any spin-off that it would not render our company incapable of fulfilling the eligibility requirements under Rule 19C.05 of the Hong Kong Listing Rules based on the financial information of the entity or entities to be spun-off at the time of the listing of our Class A ordinary shares on the Hong Kong Stock Exchange (calculated cumulatively if more than one entity is spun-off).</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21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3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Our auditor, the independent registered public accounting firm that issued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the Chinese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the Chinese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the Chinese mainland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150"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5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On December 16, 2021, the PCAOB issued a report to notify the SEC of its determination that the PCAOB was unable to inspect or investigate completely registered public accounting firms headquartered in the Chinese mainland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the Chinese mainland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HFCAA after we file this annual report on Form 20-F.</w:t>
      </w:r>
    </w:p>
    <w:p>
      <w:pPr>
        <w:spacing w:after="0" w:line="365"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Each year, the PCAOB will determine whether it can inspect and investigate completely audit firms in the Chinese mainland and Hong Kong, among other jurisdictions. If the PCAOB determines in the future that it no longer has full access to inspect and investigate completely accounting firms in the Chinese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Class A ordinary shares have been listed on the Hong Kong Stock Exchange and the Singapore Exchange, and the ADSs and Class A ordinary shares can be exchanged based on the relevant procedures, we cannot assure you that an active trading market for our Class A ordinary shares on the Hong Kong Stock Exchange and the Singapore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Changes in China’s economic, political or social conditions or government policies could have a material and adverse effect on our business and results of operations.</w:t>
      </w:r>
    </w:p>
    <w:p>
      <w:pPr>
        <w:spacing w:after="0" w:line="13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The majority of our revenues are expected to be derived in China in the near future and most of our operations, including all of our manufacturing, is conducted in China. Accordingly, our results of operations, financial condition and prospects are influenced by economic, political and legal developments in China. The PRC government may influence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Uncertainties in the interpretation and enforcement of PRC laws and regulations could limit the legal protections available to you and us.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PRC legal system is a civil law system based on written statutes. Prior court decisions may be cited for reference but have limited precedential value. Our PRC subsidiaries are foreign-invested enterprises and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spacing w:after="0" w:line="161" w:lineRule="exact"/>
        <w:rPr>
          <w:sz w:val="20"/>
          <w:szCs w:val="20"/>
          <w:color w:val="auto"/>
        </w:rPr>
      </w:pPr>
    </w:p>
    <w:p>
      <w:pPr>
        <w:jc w:val="both"/>
        <w:ind w:firstLine="594"/>
        <w:spacing w:after="0" w:line="267" w:lineRule="auto"/>
        <w:rPr>
          <w:sz w:val="20"/>
          <w:szCs w:val="20"/>
          <w:color w:val="auto"/>
        </w:rPr>
      </w:pPr>
      <w:r>
        <w:rPr>
          <w:rFonts w:ascii="Times New Roman" w:cs="Times New Roman" w:eastAsia="Times New Roman" w:hAnsi="Times New Roman"/>
          <w:sz w:val="16"/>
          <w:szCs w:val="16"/>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like other jurisdictions do, it may be difficult to evaluate the outcome of administrative and court proceedings and the level of protection we enjoy in China.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35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approval of or the filing with the CSRC or other PRC government authorities may be required in connection with our future offshore listings and capital raising activities. We cannot predict whether we can or how long it will take us to obtain such approval or filing.</w:t>
      </w:r>
    </w:p>
    <w:p>
      <w:pPr>
        <w:spacing w:after="0" w:line="13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The Regulations on Mergers and Acquisitions of Domestic Enterprises by Foreign Investors require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uncertain. If the CSRC approval is required for any of our offshore listings and capital raising activities, it is uncertain whether we can or how long it will take us to obtain the approval and, even if we obtain such CSRC approval, such CSRC approval could be rescinded. Any failure to obtain or delay in obtaining the CSRC approval for our offshore listings and capital raising activities if such approval is required, or a rescission of such CSRC approval that we have obtained, would subject us to sanctions imposed by the CSRC or other PRC regulatory authorities, which could include fines and penalties on our operations in the PRC, restrictions or limitations on our ability to pay dividends outside of the PRC, and other forms of sanctions that may materially and adversely affect our business, financial condition, and results of operations.</w:t>
      </w:r>
    </w:p>
    <w:p>
      <w:pPr>
        <w:spacing w:after="0" w:line="164" w:lineRule="exact"/>
        <w:rPr>
          <w:sz w:val="20"/>
          <w:szCs w:val="20"/>
          <w:color w:val="auto"/>
        </w:rPr>
      </w:pPr>
    </w:p>
    <w:p>
      <w:pPr>
        <w:jc w:val="both"/>
        <w:ind w:firstLine="594"/>
        <w:spacing w:after="0" w:line="272" w:lineRule="auto"/>
        <w:rPr>
          <w:sz w:val="20"/>
          <w:szCs w:val="20"/>
          <w:color w:val="auto"/>
        </w:rPr>
      </w:pPr>
      <w:r>
        <w:rPr>
          <w:rFonts w:ascii="Times New Roman" w:cs="Times New Roman" w:eastAsia="Times New Roman" w:hAnsi="Times New Roman"/>
          <w:sz w:val="16"/>
          <w:szCs w:val="16"/>
          <w:color w:val="auto"/>
        </w:rPr>
        <w:t xml:space="preserve">On July 6, 2021, the PRC government authorities issued the </w:t>
      </w:r>
      <w:r>
        <w:rPr>
          <w:rFonts w:ascii="Times New Roman" w:cs="Times New Roman" w:eastAsia="Times New Roman" w:hAnsi="Times New Roman"/>
          <w:sz w:val="16"/>
          <w:szCs w:val="16"/>
          <w:i w:val="1"/>
          <w:iCs w:val="1"/>
          <w:color w:val="auto"/>
        </w:rPr>
        <w:t>Opinions on Strictly Cracking Down Illegal Securities Activities in Accordance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with the Law</w:t>
      </w:r>
      <w:r>
        <w:rPr>
          <w:rFonts w:ascii="Times New Roman" w:cs="Times New Roman" w:eastAsia="Times New Roman" w:hAnsi="Times New Roman"/>
          <w:sz w:val="16"/>
          <w:szCs w:val="16"/>
          <w:color w:val="auto"/>
        </w:rPr>
        <w:t>, which called for the enhanced administration over illegal securities activities and supervision of overseas-listed China-based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companies, proposed to revise the regulation governing the overseas issuance and listing of shares by such companies and clarified the responsibilities of competent domestic industry regulators and government authorities.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On February 17, 2023, the CSRC issued the Trial Administrative Measures of Overseas Securities Offering and Listing by Domestic Companies and five supporting guidelines, which took effect on March 31, 2023. According to these rules, the issuer or a major domestic operating company designated by the issuer, as the case may be, shall file with the CSRC, among other things, (i) with respect to its follow-on offering in the same foreign market within three business days, after completion of the follow-on offering, and (ii) with respect to its follow-on offering and listing in other foreign markets within three business days, after its initial filing of the listing application to the regulator in the place of such intended listing. Non-compliance with these rules or an overseas listing completed in breach of them may result in a warning on the domestic companies and a fine of RMB1 million to RMB10 million on them. Furthermore, the supervisors directly responsible and other directly responsible persons of the domestic enterprises may be warned, and fined between RMB500,000 to RMB5,000,000. The controlling shareholders or actual controllers of the domestic company which organize or instigate the illegal acts, or conceal matters resulting in the illegal acts, may be fined between RMB1 million to RMB10 million. On February 17, 2023, the CSRC issued the Notice on Administrative Arrangements for the Filing of Domestic Enterprise’s Overseas Offering and Listing, which stipulates the domestic enterprises like us that have completed overseas listings are not required to file with the CSRC in accordance with these rules immediately, but shall carry out filing procedures as required if we conduct refinancing or fall within other circumstances that require filing with the CSRC.</w:t>
      </w:r>
    </w:p>
    <w:p>
      <w:pPr>
        <w:spacing w:after="0" w:line="371"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Considering that these rules have been promulgated recently, there are still some uncertainties about how to further refine and implement the requirements, which needs to be further guided and clarified by the CSRC and other regulatory authorities. If we have subsequent filing or reporting matters in the future, such as future offshore listings, refinancing and other capital raising activities, as well as other major events, including but not limited to the change of control, investigated or punished by overseas securities regulatory authorities or competent authorities, changing listing status or listing sector, terminating the listing voluntarily or forcibly, and changing our major business activities, given the substantial uncertainties surrounding the latest CSRC filing requirements at this stage, we cannot assure you that we will be able to complete the filings or reporting and fully comply with the new rules and requirements in a timely manner or at all. See “Item 4. Information on the Company—B. Business Overview— Regulations—M&amp;A Rules and Overseas Listing.”</w:t>
      </w:r>
    </w:p>
    <w:p>
      <w:pPr>
        <w:spacing w:after="0" w:line="16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The CSRC or other PRC regulatory authorities also may take actions requiring us, or making it advisable for us, to halt our offshore listings or future capital raising activities before settlement and delivery of the proceeds hereby. Consequently, if you engage in market trading or other activities in anticipation of and prior to settlement and delivery, you do so at the risk that settlement and delivery may not occur. In addition, if the CSRC or other regulatory authorities later promulgate new rules or explanations requiring that we obtain their approvals or accomplish the required filing or other regulatory procedures for our offshore listings or future capital raising activities, we may be unable to obtain a waiver of such approval requirements, if and when procedures are established to obtain such a waiver. Any uncertainties or negative publicity regarding such approval, filing or other requirements could materially and adversely affect our business, prospects, financial condition, reputation, and the proceeds of the shares.</w:t>
      </w:r>
    </w:p>
    <w:p>
      <w:pPr>
        <w:spacing w:after="0" w:line="1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be adversely affected by the complexity, uncertainties and changes in PRC regulations on internet-related business, automotive businesses and other business carried out by our PRC subsidiaries and the VIEs.</w:t>
      </w:r>
    </w:p>
    <w:p>
      <w:pPr>
        <w:spacing w:after="0" w:line="13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operate in the automotive and internet industry, both of which are extensively regulated by the PRC government. For example, the PRC government imposes foreign ownership restrictions and licensing and permit requirements for companies in the internet industry. See “Item 4. Information on the Company—B. Business Overview—Regulations—Regulations on Foreign Investment in China” and “—Regulations on Value-added Telecommunications Services.” Manufacturing of our vehicles is subject to extensive regulations in China. See “Item 4. Information on the Company—B. Business Overview—Regulations—Regulations and Approvals Covering the Manufacturing of New Energy Vehicles.”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and furthermore, we cannot assure you that we have complied or will be able to comply with all applicable laws at all times. Consequently, we could face the risks of being subject to governmental investigations, orders by the competent authorities for rectification, administrative penalties or other legal proceedings.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Currently, we rely on the contractual arrangements with Beijing NIO and its shareholders to hold an ICP license, and separately own the domain names and trademarks in connection with our internet services and operate our website and mobile application mainly through NIO Co., Ltd. Our internet services may be treated as a value-added telecommunications business. If so, we may be required to transfer the domain names, trademark and the operations of the internet services from NIO Co., Ltd. to Beijing NIO, and we may also be subject to administrative penalties. We rely on the contractual arrangements with Anhui NIO DT and its shareholders to operate insurance brokerage services. NIO Insurance Broker Co., Ltd., the subsidiary of Anhui NIO DT, currently holds an insurance brokerage license and provides insurance brokerage services primarily related to vehicles and properties. We intend to apply for requisite licenses for Anhui NIO AT for certain supporting functions during the development of our assisted and intelligent driving technology. Any challenge to the validity of these arrangements may significantly disrupt our business, subject us to sanctions, compromise enforceability of our contractual arrangements, or have other harmful effects on us. It is uncertain, (i) if Beijing NIO or NIO Co., Ltd. will be required to obtain a separate operating license for certain services that we carried out through our mobile application in addition to the valued-added telecommunications business operating licenses for internet content provision services, and if Beijing NIO will be required to supplement our current ICP license in the future, (ii) if Anhui NIO DT, its subsidiary or NIO China will be required to obtain a separate operating license for certain services that we carried out in addition to the insurance brokerage license, and if Anhui NIO DT or its subsidiary will be required to supplement our current insurance brokerage license in the future; and (iii) if Anhui NIO AT or Anhui NIO AD will be required to obtain a separate operating license for certain services that we carried out in addition to certain required licenses to be applied for, and if Anhui NIO AT will be required to supplement certain required licenses to be applied for in the future.</w:t>
      </w:r>
    </w:p>
    <w:p>
      <w:pPr>
        <w:spacing w:after="0" w:line="165"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In addition, our mobile applications are also regulated by the Administrative Provisions on Information Services of Mobile Internet Applications promulgated by CAC in June 2022, which took effect on August 1, 2022 and replaces its predecessor regulation. According to these provisions, the providers of mobile applications shall be responsible for the information contents presented and shall not produce and disseminate illegal information and shall consciously prevent and resist unhealthy information. However, we cannot assure that all the information or content displayed on, retrieved from or linked to our mobile applications complies with the requirements of these provisions at all times. If our mobile applications were found to be violating these provisions, we may be subject to administrative penalties, including warning, service suspension or removal of our mobile applications from the mobile application store, which may materially and adversely affect our business and operating results.</w:t>
      </w:r>
    </w:p>
    <w:p>
      <w:pPr>
        <w:spacing w:after="0" w:line="16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interpretation and application of existing PRC laws, regulations and policies and possible new laws, regulations or policies relating to the internet industry, particularly the policies relating to value-added telecommunications services, have created substantial uncertainties regarding the legality of existing and future foreign investments in the businesses and activities of internet businesses in China, including our business.</w:t>
      </w:r>
    </w:p>
    <w:p>
      <w:pPr>
        <w:spacing w:after="0" w:line="11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Several PRC regulatory authorities, such as the State Administration for Market Regulation, the NDRC, the Ministry of Industry and Information Technology, and the Ministry of Commerce, oversee different aspects of our operations, and we are required to obtain a wide range of government approvals, licenses, permits and registrations in connection with our operations. For example, certain filings must be made by automobile dealers through the information system for the national automobile circulation operated by the commerce department within 90 days after the receipt of a business license. Furthermore, the NEV industry is relatively new in China, and the PRC government has not adopted a clear regulatory framework to regulate the industry. As some of the laws, rules and regulations that we may be subject to were primarily enacted with a view toward application to ICE vehicles, or are relatively new, there is significant uncertainty regarding their interpretation and application with respect to our business. For example, it remains unclear under PRC laws whether our charging vans need to be registered with related local traffic management authorities or obtain transportation operation licenses for their services, and whether we would be required to obtain any particular permit or license to be qualified to provide our charging services in cooperation with third-party charging stations. In addition, the PRC government may enact new laws and regulations that require additional licenses, permits, approvals and/or registrations for the operation of any of our existing or future business. As a result, we cannot assure you that we have all the permits, licenses, registrations, approvals and/or business license covering the sufficient scope of business required for our business or that we will be able to obtain, maintain or renew permits, licenses, registrations, approvals and/or business license covering sufficient scope of business in a timely manner or at all.</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PRC government’s significant oversight and discretion over our business operation could result in a material adverse change in our operations and the value of our ADSs.</w:t>
      </w:r>
    </w:p>
    <w:p>
      <w:pPr>
        <w:spacing w:after="0" w:line="13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conduct our business primarily in China. Our operations in China are governed by PRC laws and regulations. The PRC government has significant oversight and discretion over the conduct of our business, and may intervene or influence our operations as the government deems appropriate to advance regulatory and societal goals and policy positions.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Therefore, investors of our company and our business face potential uncertainty from actions taken by the PRC government affecting our business.</w:t>
      </w:r>
    </w:p>
    <w:p>
      <w:pPr>
        <w:spacing w:after="0" w:line="1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rely on distributions by our PRC subsidiaries for our financing requirements, and any limitation on our PRC subsidiaries to make payments to us could have a material and adverse effect on our business.</w:t>
      </w:r>
    </w:p>
    <w:p>
      <w:pPr>
        <w:spacing w:after="0" w:line="13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As of December 31, 2025, most of our PRC subsidiaries and the VIEs had not made appropriations to statutory reserves as most of our PRC subsidiaries and the VIEs reported accumulated loss. For a detailed discussion of applicable PRC regulations governing distribution of dividends, see “Item 4. Information on the Company—B. Business Overview—Regulations—Regulations on Dividend Distribution.”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the VIEs in a manner that would materially and adversely affect their ability to pay dividends and other distributions to us. See “Risks Related to Our Corporate Structure—Our contractual arrangements with the VIEs may be subject to scrutiny by the PRC tax authorities and they may determine that we or the VIEs owe additional taxes, which could negatively affect our financial condition.” In addition, the incurrence of indebtedness by our PRC subsidiaries could result in operating and financing covenants and undertakings to creditors that would restrict the ability of our PRC subsidiaries to pay dividends to us.</w:t>
      </w:r>
    </w:p>
    <w:p>
      <w:pPr>
        <w:spacing w:after="0" w:line="167"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labor costs and enforcement of stricter labor laws and regulations in the PRC may adversely affect our business and our profitability.</w:t>
      </w:r>
    </w:p>
    <w:p>
      <w:pPr>
        <w:spacing w:after="0" w:line="216"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those who pay for our services, our profitability and results of operations may be materially and adversely affected.</w:t>
      </w:r>
    </w:p>
    <w:p>
      <w:pPr>
        <w:spacing w:after="0" w:line="358"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In addition, we have been subject to stricter regulatory requirements in terms of entering into labor contracts with our employees, limitation with respect to utilization of labor dispatching, applying for foreigner work permits,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Companies registered and operating in China are required under the PRC Social Insurance Law (latest amended in 2018) and the Regulations on the Administration of Housing Funds (latest amended in 2019)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certain of our PRC subsidiaries and the VIEs that do not hire any employees and are not a party to any employment agreement, have not applied for and obtained such registration, and instead of paying the social insurance payment on their own for their employees, certain of our PRC subsidiaries and the VIEs use third-party agencies to pay in the name of such agency. We could be subject to orders by the competent labor authorities for rectification and failure to comply with the orders may further subject us to administrative fines.</w:t>
      </w:r>
    </w:p>
    <w:p>
      <w:pPr>
        <w:spacing w:after="0" w:line="16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labor laws and regulations, we could be required to provide additional compensation to our employees and our business, financial condition and results of operations will be adversely affected.</w:t>
      </w:r>
    </w:p>
    <w:p>
      <w:pPr>
        <w:spacing w:after="0" w:line="161"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Furthermore, in order to control labor costs, we conducted organizational restructuring to cut headcount in the past, which we believe has negatively affected our reputation, brand image and our ability to retain the remaining qualified staff and skilled employees. We could undertake an organizational restructuring again in the future, the occurrence of which will pose negative implications on our competitive position, cost us qualified employees and subject us to potential employment lawsuits. Any of the above would negatively affect our business,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have a material and adverse effect on our results of operations.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We cannot assure you that RMB will not appreciate or depreciate significantly in value against the U.S. dollar in the future. It is difficult to predict how market forces or PRC or U.S. government policy may impact the exchange rate between RMB and the U.S. dollar in the future.</w:t>
      </w:r>
    </w:p>
    <w:p>
      <w:pPr>
        <w:spacing w:after="0" w:line="161"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Any significant appreciation or depreciation of RMB may materially and adversely affect our revenues, earnings and financial position, and the value of, and any dividends payable on, our ADSs in U.S. dollars.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ADSs.</w:t>
      </w:r>
    </w:p>
    <w:p>
      <w:pPr>
        <w:spacing w:after="0" w:line="161" w:lineRule="exact"/>
        <w:rPr>
          <w:sz w:val="20"/>
          <w:szCs w:val="20"/>
          <w:color w:val="auto"/>
        </w:rPr>
      </w:pPr>
    </w:p>
    <w:p>
      <w:pPr>
        <w:jc w:val="both"/>
        <w:ind w:firstLine="594"/>
        <w:spacing w:after="0" w:line="270" w:lineRule="auto"/>
        <w:rPr>
          <w:sz w:val="20"/>
          <w:szCs w:val="20"/>
          <w:color w:val="auto"/>
        </w:rPr>
      </w:pPr>
      <w:r>
        <w:rPr>
          <w:rFonts w:ascii="Times New Roman" w:cs="Times New Roman" w:eastAsia="Times New Roman" w:hAnsi="Times New Roman"/>
          <w:sz w:val="16"/>
          <w:szCs w:val="16"/>
          <w:color w:val="auto"/>
        </w:rPr>
        <w:t>Very limited hedging options are available in China to reduce our exposure to exchange rate fluctuations. While we have entered into and may continue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PRC regulation on funding PRC subsidiaries by offshore entities and governmental control of currency conversion may delay or prevent us from funding our PRC subsidiaries, which could materially and adversely affect our liquidity and business.</w:t>
      </w:r>
    </w:p>
    <w:p>
      <w:pPr>
        <w:spacing w:after="0" w:line="133"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Under PRC laws and regulations, we are permitted to utilize the proceeds of any financing outside China to fund our PRC subsidiaries by making loans to or additional capital contributions to our PRC subsidiaries, subject to applicable government registration, statutory limitations on amount and approval requirements. For more details, see “Item 4. Information on the Company—B. Business Overview—Regulations—Regulations on Foreign Exchange.” These PRC laws and regulations may significantly limit our ability to use Renminbi converted from the net proceeds of any financing outside China to fund the establishment of new entities in China by our PRC subsidiaries, to invest in or acquire any other PRC companies through our PRC subsidiaries, or to establish new VIEs in China. Moreover, we cannot assure you that we will be able to complete the necessary registrations or obtain the necessary government approvals on a timely basis, if at all, with respect to future loans to our PRC subsidiaries or future capital contributions that we made to our PRC subsidiaries.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170"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On December 26, 2017, the NDRC issued the Management Rules for Overseas Investment by Enterprises. On February 11, 2018, the Catalog on Overseas Investment in Sensitive Industries (2018 Edition) was promulgated. Overseas investment governed by these rules refers to the investment activities conducted by an enterprise located in the territory 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these rules. According to these rules, before being conducted, any overseas investment in a sensitive industry or any direct investment by a Chinese enterprise in a non-sensitive industry but with an investment amount over US$300 million requires approval from, or filing with, the NDRC, and for those non-sensitive investments indirectly by Chinese investors (including PRC individuals) with investment amounts over US$300 million need to be reported. However, uncertainties remain with respect to the interpretation and application of these rules, we are not sure whether our using of proceeds will be subject to these rules. If we fail to obtain the approval, complete the filing or report our overseas investment with our proceeds (as the case may be) in a timely manner provided that these rules are applicable, we may be forced to suspend or cease our investment, or be subject to penalties or other liabilities, which could materially and adversely affect our business, financial condition and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Governmental control of currency conversion may limit our ability to utilize our revenues effectively.</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Renminbi is to be converted into a foreign currency and remitted out of China to pay capital expenses, such as the repayment of loans denominated in foreign currencies. See “Item 4. Information on the Company—B. Business Overview—Regulations— Regulations on Foreign Exchange.”</w:t>
      </w:r>
    </w:p>
    <w:p>
      <w:pPr>
        <w:spacing w:after="0" w:line="365"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Since 2016, the PRC government has further tightened its foreign exchange policies and enhanced its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5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PRC regulations on offshore investment by PRC residents may prevent our PRC subsidiaries from distributing profits to us or expose us or our PRC resident beneficial owners to penalties under PRC law.</w:t>
      </w:r>
    </w:p>
    <w:p>
      <w:pPr>
        <w:spacing w:after="0" w:line="13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“Item 4. Information on the Company—B. Business Overview—Regulations—Regulations on Foreign Exchange—Offshore Investment.”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spacing w:after="0" w:line="159"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our failure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China’s M&amp;A Rules and other regulations establish complex procedures for certain acquisitions of PRC companies by foreign investors, which could make it difficult for us to pursue growth through acquisitions in China.</w:t>
      </w:r>
    </w:p>
    <w:p>
      <w:pPr>
        <w:spacing w:after="0" w:line="13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A number of PRC laws and regulations have established procedures and requirements that could make merger and acquisition activities in China by foreign investors more time-consuming and complex. In addition to the Anti-Monopoly Law of China itself, these include the Rules on Mergers and Acquisitions of Domestic Enterprises by Foreign Investors, adopted by six PRC governmental and regulatory agencies in 2006 and amended in 2009, and the Rules of the Ministry of Commerce on Implementation of Security Review System of Mergers and Acquisitions of Domestic Enterprises by Foreign Investors, promulgated in 2011. These laws and regulations impose requirements in some instances that the Ministry of Commerce be notified in advance of any change-of-control transaction in which a foreign investor takes control of a PRC domestic enterprise. In addition, the Anti-Monopoly Law of China requires that the Ministry of Commerce be notified in advance of any concentration of undertaking if certain thresholds are triggered. Moreover, these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regulations to complete such transactions could be time-consuming, and any required approval processes, including approval from the Ministry of Commerce, may delay or inhibit our ability to complete such transactions, which could affect our ability to expand our business or maintain our market share.</w:t>
      </w:r>
    </w:p>
    <w:p>
      <w:pPr>
        <w:spacing w:after="0" w:line="16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3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Under SAFE regulations, PRC residents who participate in a stock incentive plan in an overseas publicly listed company are required to register with SAFE or its local branches and complete certain other procedures. See “Item 4. Information on the Company—B. Business Overview— Regulations—Regulations on Employment and Social Welfare—Employee Stock Incentive Plan.” We and our PRC resident employees who participate in our share incentive plans are subject to these regulations since we became a public company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spacing w:after="0" w:line="1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3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Our PRC subsidiaries currently benefit from a number of preferential tax treatments. For example, one of our subsidiaries, NIO Technology (Anhui) Co., Ltd., is entitled to enjoy, after completing certain application formalities, a 15% preferential enterprise income tax from 2022 as it has been qualified as a “High and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addition, our PRC subsidiaries have received various financial subsidies from PRC local government authorities. The financial subsidies result from discretionary incentives and policies adopted by PRC local government authorities.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11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9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Under the PRC Enterprise Income Tax Law and its implementation rules, an enterprise established outside of the PRC with a “de facto management body” within the PRC is considered a PRC resident enterprise. The implementation rules define the term “de facto management body” as the body that exercises full and substantial control over and overall management of the business, productions, personnel, accounts and properties of an enterprise. In 2009, the State Taxation Administration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Taxation Administration’s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344"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we may be required to withhold a 10% withholding tax from interest or dividends we pay to our shareholders that are non-PRC resident enterprises, including the holders of our ADSs. In addition, non-PRC resident enterprise shareholders (including our ADS holders) may be subject to PRC tax at a rate of 10% on gains realized on the sale or other disposition of our ADSs or ordinary shares, if such income is treated as sourced from within the PRC. Furthermore, if PRC tax authorities determine that we are a PRC resident enterprise for enterprise income tax purposes, interest or dividends paid to our non-PRC individual shareholders (including our ADS holders) and any gain realized on the transfer of the ADSs or ordinary shares by such holders may be subject to PRC tax at a rate of 20% (which, in the case of interest or dividends, we may withhold at source), if such gains are deemed to be from PRC sources. These rates may be reduced by an applicable tax treaty, but it is unclear whether our non-PRC shareholders would be able to claim the benefits of any tax treaties between their country of tax residence and the PRC in the event that we are treated as a PRC resident enterprise.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obtain certain benefits under tax arrangements on dividends paid by our PRC subsidiaries to us through our Hong Kong subsidiary.</w:t>
      </w:r>
    </w:p>
    <w:p>
      <w:pPr>
        <w:spacing w:after="0" w:line="9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Chinese Mainland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Treaties, which took effect in January 2020, require non-resident enterprises to determine whether they are qualified to enjoy the preferential tax treatment under the tax treaties and file report and materials with the tax authorities. There are also other conditions for enjoying the reduced withholding tax rate according to other tax rules and regulations. See “Item 5. Operating and Financial Review and Prospects—A. Operating Results—Taxation—PRC.” As of December 31, 2025, most of our subsidiaries and the VIEs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tax authority and we may not be able to complete the necessary filings with the tax authority and enjoy the preferential withholding tax rate of 5% under the arrangement with respect to dividends to be paid by our PRC subsidiaries to our Hong Kong subsidiary.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uncertainty with respect to indirect transfers of equity interests in PRC resident enterprises by their non-PRC holding companies.</w:t>
      </w:r>
    </w:p>
    <w:p>
      <w:pPr>
        <w:spacing w:after="0" w:line="21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In February 2015, the State Taxation Administration issued the Circular on Issues of Enterprise Income Tax on Indirect Transfers of Assets by Non-PRC Resident Enterprises, or Circular 7. Circular 7 extends its tax jurisdiction to not only indirect transfers but also transactions involving transfer of other taxable assets, through the offshore transfer of a foreign intermediate holding company. In addition, Circular 7 provides certain criteria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State Taxation Administration issued Circular on Issues of Tax Withholding regarding Non-PRC Resident Enterprise Income Tax, or Circular 37, which took effect on December 1, 2017 and was amended on June 15, 2018. Circular 37 further clarifies the practice and procedure of the withholding of non-resident enterprise income tax.</w:t>
      </w:r>
    </w:p>
    <w:p>
      <w:pPr>
        <w:spacing w:after="0" w:line="367"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non-PRC resident enterprises with respect to a filing or the transferees with respect to withholding obligations, and request our PRC subsidiaries to assist in the filing. As a result, we and non-PRC resident enterprises in such transactions may become at risk of being subject to filing obligations or being taxed under Circular 7 and Circular 37, and may be required to expend valuable resources to comply with them or to establish that we and our non-PRC resident enterprises should not be taxed under these regulations, which may have a material adverse effect on our financial condition and results of operations.</w:t>
      </w:r>
    </w:p>
    <w:p>
      <w:pPr>
        <w:spacing w:after="0" w:line="36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the authorized users of our non-tangible assets, including our corporate chops and seals, fail to fulfill their responsibilities, or misuse these assets, our business could be materially and adversely affected.</w:t>
      </w:r>
    </w:p>
    <w:p>
      <w:pPr>
        <w:spacing w:after="0" w:line="133"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Under PRC law, legal documents for corporate transactions are executed using the chops or seal of the signing entity or with the signature of a legal representative whose designation is registered and filed with the branch of the State Administration for Market Regulation.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Although we usually utilize chops to enter into contracts, the designated legal representatives of each of our PRC subsidiaries and the VIEs have the apparent authority to enter into contracts on behalf of such entities without chops and bind such entities. All designated legal representatives of our PRC subsidiaries and the VIEs are members of our senior management team who have signed employment agreements with us or our PRC subsidiaries and the VIEs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and the VIEs.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entities and experience significant disruption to our operations. If a designated legal representative obtains control of the chops in an effort to obtain control over any of our PRC subsidiaries or the VIEs, we or our PRC subsidiaries or the VIEs would need to pass a new shareholders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6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interest in leased property may be defective or subject to lien and our right to lease, own or use the properties may be therefore challenged, which could cause significant disruption to our business.</w:t>
      </w:r>
    </w:p>
    <w:p>
      <w:pPr>
        <w:spacing w:after="0" w:line="13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Under PRC laws, all lease agreements are required to be registered with the local housing authorities. We presently lease several premises in China, some of which have not completed the registration of the ownership rights or the registration of our leases with the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59"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Some of the ownership certificates or other similar proof of certain leased properties have not been provided to us by the lessors. Therefore, we cannot assure you that such lessors are entitled to lease the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 agreements are claimed as null and void by third parties who are the real owners of such leased real properties, we could be required to vacate the properties, in the event of which we could only initiate the claim against the lessors under lease agreements for indemnities for their breach of the leasing agreements. In addition, we may not be able to renew our existing lease agreements before their expiration dates, in which case we may be required to vacate the properties. We cannot assure you that suitable alternative locations are readily available on commercially reasonable terms, or at all, and if we are unable to relocate our operations in a timely manner, our operations may be adversely affected.</w:t>
      </w:r>
    </w:p>
    <w:p>
      <w:pPr>
        <w:spacing w:after="0" w:line="16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Some of our PRC subsidiaries have incurred or will incur indebtedness and may, in connection therewith, create mortgage, pledge or other lien over substantive operating assets, facilities or equity interests of certain PRC subsidiaries as guarantee to their repayment of indebtedness or as counter guarantee to third-party guarantors which provide guarantee to our PRC subsidiaries’ repayment of indebtedness. In the event that the PRC subsidiaries fail to perform their repayment obligations, or such guarantors perform their guarantee obligations, claims may be raised to our substantive operating assets, facilities or equity interests of the PRC subsidiaries in question. If we cannot continue to own or use such assets, facilities or equity interests, our operation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ADSs and Class A Ordinary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adopt different practices as to certain matters as compared with many other companies listed on the Hong Kong Stock Exchange.</w:t>
      </w:r>
    </w:p>
    <w:p>
      <w:pPr>
        <w:spacing w:after="0" w:line="21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The trading of our Class A ordinary shares on the Hong Kong Stock Exchange commenced on March 10, 2022 under the stock code “9866.” As a company listed on the Hong Kong Stock Exchange pursuant to Chapter 19C of the Hong Kong Listing Rules, we are not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of our Class A ordinary shares on the Hong Kong Stock Exchange, we have applied for a number of waivers and/or exemptions from strict compliance with the Hong Kong Listing Rules, the Codes on Takeovers and Mergers and Shares Buy-backs issued by the Securities and Futures Commission, and the Securities and Futures Ordinance. As a result, we will adopt different practices as to those matters as compared with other companies listed on the Hong Kong Stock Exchange that do not enjoy those exemptions or waivers.</w:t>
      </w:r>
    </w:p>
    <w:p>
      <w:pPr>
        <w:spacing w:after="0" w:line="16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Our thirteenth amended and restated articles of association are specific to us and include certain provisions that may be different from the requirements under the Hong Kong Listing Rules and common practices in Hong Kong. In particular, in our thirteenth amended and restated amended articles of associations put forth in the first annual general meeting after the listing of our Class A ordinary shares on the Hong Kong Stock Exchange, or the First AGM, we refer to the Relevant Period as the period commencing from the date on which any of our Class A ordinary shares first become secondary listed on the Hong Kong Stock Exchange to and including the date immediately before the day which the secondary listing is withdrawn from the Hong Kong Stock Exchange. For example, in order to comply with applicable Hong Kong Listing Rules, during the Relevant Period, (i) NIO Users Trust will not have any director nomination right; (ii) our company shall have only one class of shares with enhanced or weighted voting rights;</w:t>
      </w:r>
    </w:p>
    <w:p>
      <w:pPr>
        <w:spacing w:after="0" w:line="3" w:lineRule="exact"/>
        <w:rPr>
          <w:sz w:val="20"/>
          <w:szCs w:val="20"/>
          <w:color w:val="auto"/>
        </w:rPr>
      </w:pPr>
    </w:p>
    <w:p>
      <w:pPr>
        <w:jc w:val="both"/>
        <w:spacing w:after="0" w:line="264" w:lineRule="auto"/>
        <w:tabs>
          <w:tab w:leader="none" w:pos="29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directors shall not have the power to, amongst others, authorize share split or designate a new share class with enhanced or weighted voting rights; and (iv) certain restrictions on the weighted voting right structure of our company under Chapter 8A of the Hong Kong Listing Rules shall apply, including, among others, (a) no further increase in the proportion of WVR shares, (b) only a director or a director holding vehicle being permitted to hold WVR shares, and (c) automatic conversion of WVR shares into Class A ordinary shares under certain circumstances.</w:t>
      </w:r>
    </w:p>
    <w:p>
      <w:pPr>
        <w:spacing w:after="0" w:line="164"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Notwithstanding the above and at any time after the Relevant Period, the provisions which are subject to the Relevant Period will continue to apply in the circumstances where the Company has a change of listing status on the Hong Kong Stock Exchange other than in the case where the secondary listing of the Company is withdrawn from the Hong Kong Stock Exchange pursuant to the applicable Hong Kong Listing Rules.</w:t>
      </w:r>
    </w:p>
    <w:p>
      <w:pPr>
        <w:spacing w:after="0" w:line="15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Given certain shareholder protection under the Hong Kong Listing Rules will only be applicable during the Relevant Period, our investors may be afforded less protection after the Relevant Period under our amended articles of association adopted in the First AGM—both in comparison to other companies secondarily listed on the Hong Kong Stock Exchange and to when our company had secondary listing status on the Hong Kong Stock Exchange.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We may only cease to be secondary listed under Chapter 19C of the Hong Kong Listing Rules under one of the following situations:</w:t>
      </w:r>
    </w:p>
    <w:p>
      <w:pPr>
        <w:spacing w:after="0" w:line="212" w:lineRule="exact"/>
        <w:rPr>
          <w:sz w:val="20"/>
          <w:szCs w:val="20"/>
          <w:color w:val="auto"/>
        </w:rPr>
      </w:pPr>
    </w:p>
    <w:p>
      <w:pPr>
        <w:ind w:left="920" w:hanging="301"/>
        <w:spacing w:after="0" w:line="298" w:lineRule="auto"/>
        <w:tabs>
          <w:tab w:leader="none" w:pos="9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in the case where we are primary listed on another stock exchange and voluntarily withdraw our secondary listing on the Hong Kong Stock Exchange;</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migration of the majority of trading to the Hong Kong Stock Exchange’s markets, in the case where the majority of trading in our listed shares migrates to the Hong Kong Stock Exchange’s markets on a permanent basis;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primary conversion, i.e., our voluntary conversion to a dual-primary listing on the Hong Kong Stock Exchange;</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overseas de-listing, where our shares or depositary receipts issued on our shares cease to be listed on the stock exchange which we are primary listed;</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Hong Kong Stock Exchange cancels the listing of our securities;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and Futures Commission of Hong Kong directs the Hong Kong Stock Exchange to cancel the listing of our securities.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scenarios under which we may cease to be secondary listed on the Hong Kong Stock Exchange are subject to the changing market conditions, our listing or de-listing in other jurisdictions, our compliance with the listing rules of the Hong Kong Stock Exchange and other factors beyond our control. As a result, there are substantial uncertainties relating to applicability of the shareholders’ rights and protection under the aforementioned provisions of our amended articles of association adopted in the First AGM particularly in the case where the Company de-lists from the Hong Kong Stock Exchange.</w:t>
      </w:r>
    </w:p>
    <w:p>
      <w:pPr>
        <w:spacing w:after="0" w:line="161"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As we are listed as a Non-Grandfathered Greater China Issuer pursuant to Chapter 19C of the Hong Kong Listing Rules, our articles of association must comply with the requirements of the Hong Kong Listing Rules unless waived by the Hong Kong Stock Exchange. We have put forth resolutions to our shareholders at the First AGM convened on August 25, 2022 to amend certain provisions of our articles of association in order to comply with the Hong Kong Listing Rules.</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Furthermore, if 55% or more of the total worldwide trading volume, by dollar value, of our Class A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Codes on Takeovers and Mergers and Shares Buy-backs and the Securities and Futures Ordinance, which could result in us having to amend our corporate structure, articles of association and corporate governance policies to comply with the applicable Hong Kong Listing Rules and we may incur of incremental compliance costs.</w:t>
      </w:r>
    </w:p>
    <w:p>
      <w:pPr>
        <w:spacing w:after="0" w:line="15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change the listing venue of our securities, you may lose the shareholder protection mechanisms afforded under the regulatory regimes of the applicable securities exchange.</w:t>
      </w:r>
    </w:p>
    <w:p>
      <w:pPr>
        <w:spacing w:after="0" w:line="133"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As a company listed on the New York Stock Exchange, the Hong Kong Stock Exchange and the Singapore Exchange, we are subject to various listing standards and requirements that are aimed at protecting your rights as shareholders of our company, subject to certain permitted exceptions applicable to foreign companies. For example, after our listing on the Hong Kong Stock Exchange, our thirteenth amended and restated memorandum and articles of association requires that there should only be one class of shares with enhanced voting rights, and that certain reserved matters under the Hong Kong Listing Rules are required to be voted on a one vote per share basis at the general meetings. In the event that we reduce the number of shares in issue, the holders of WVR shares shall reduce their voting rights in the Company proportionately through a conversion of a portion of their Class C shares or otherwise. If we choose to change the listing venue of our securities, including delisting from either exchanges, you may lose the shareholder protection mechanisms afforded under the regulatory regimes of the applicable securities exchange. In particular, various factors will be taken into consideration by the Company in relation to the circumstances under which it may be considered not desirable or viable for the shares to remain listed on a certain stock exchange, such as the then regulatory environment of the listing venue, whether the additional compliance burden arisen by remaining listed in a particular stock exchange will be unduly burdensome for the Company to further its interest, realize its vision or implement certain business plans.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prices of our listed securities have been and are likely to continue to be volatile, which could result in substantial losses to investors.</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The trading prices of our listed securities have been and are likely to continue to be volatile and could fluctuate widely in response to a variety of factors, many of which are beyond our control. For example, in 2025, the trading price of our ADSs ranged from a low of US$3.02 to a high of US$8.02; the trading price of our Class A ordinary shares listed on the Hong Kong Stock Exchange ranged from a low of HK$23.70 to a high of HK$61.75; the trading price of our Class A ordinary shares listed on the Main Board of the Singapore Exchange ranged from a low of US$3.09 to a high of US$7.84. The market price for our listed securities may continue to be volatile and subject to wide fluctuations in response to factors including, but not limited to, the following:</w:t>
      </w:r>
    </w:p>
    <w:p>
      <w:pPr>
        <w:spacing w:after="0" w:line="163" w:lineRule="exact"/>
        <w:rPr>
          <w:sz w:val="20"/>
          <w:szCs w:val="20"/>
          <w:color w:val="auto"/>
        </w:rPr>
      </w:pPr>
    </w:p>
    <w:p>
      <w:pPr>
        <w:ind w:left="920" w:hanging="301"/>
        <w:spacing w:after="0"/>
        <w:tabs>
          <w:tab w:leader="none" w:pos="9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quarterly results of operations and cash flows;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securities research analysts;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in automotive markets;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operating performance or market valuations of other automotive companies;</w:t>
      </w:r>
    </w:p>
    <w:p>
      <w:pPr>
        <w:spacing w:after="0" w:line="212" w:lineRule="exact"/>
        <w:rPr>
          <w:rFonts w:ascii="Times New Roman" w:cs="Times New Roman" w:eastAsia="Times New Roman" w:hAnsi="Times New Roman"/>
          <w:sz w:val="16"/>
          <w:szCs w:val="16"/>
          <w:color w:val="auto"/>
        </w:rPr>
      </w:pPr>
    </w:p>
    <w:p>
      <w:pPr>
        <w:ind w:left="920" w:hanging="301"/>
        <w:spacing w:after="0" w:line="269" w:lineRule="auto"/>
        <w:tabs>
          <w:tab w:leader="none" w:pos="9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we or our competitors made of new products, acquisitions, strategic partnerships, joint ventures or capital commitments;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920" w:hanging="301"/>
        <w:spacing w:after="0"/>
        <w:tabs>
          <w:tab w:leader="none" w:pos="9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 or departure of key personnel;</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of exchange rates between RMB and the U.S. dollar;</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government investigation or other legal or regulatory proceeding;</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of lock-up and other transfer restrictions on our Class A ordinary shares or ADSs, issuance of ADSs or ordinary shares upon conversion of the convertible notes we issued, or any ordinary shares or sales of additional ADSs;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actual or alleged illegal acts of our shareholders or management;</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 repurchase program;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or political conditions in China or elsewhere in the world.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Any of these factors may result in large and sudden changes in the volume and price at which our Class A ordinary shares and/or ADSs 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trade.</w:t>
      </w:r>
    </w:p>
    <w:p>
      <w:pPr>
        <w:spacing w:after="0" w:line="195"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In addition, the stock market in general, and the market prices for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Class A ordinary shares and/or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market price of our Class A ordinary shares and/or ADSs. Volatility or a lack of positive performance in our Class A ordinary shares and/or ADSs price may also adversely affect our ability to retain key employees, most of whom have been granted options or other equity incentives.</w:t>
      </w:r>
    </w:p>
    <w:p>
      <w:pPr>
        <w:spacing w:after="0" w:line="3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or if they adversely change their recommendations regarding our Class A ordinary shares and/or ADSs, the market price for our Class A ordinary shares and/or ADSs and trading volume could decline.</w:t>
      </w:r>
    </w:p>
    <w:p>
      <w:pPr>
        <w:spacing w:after="0" w:line="345"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trading market for our Class A ordinary shares and/or ADSs will be influenced by research or reports that industry or securities analysts publish about our business. If one or more analysts who cover us downgrade our Class A ordinary shares and/or ADSs, the market price for our Class A ordinary shares and/or ADSs would likely decline. If one or more of these analysts cease to cover us or fail to regularly publish reports on us, we could lose visibility in the financial markets, which in turn could cause the market price or trading volume for our Class A ordinary shares and/or ADSs to decline.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spacing w:after="0" w:line="150"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We had historically adopted a triple-class voting structure such that our ordinary shares consisted of Class A ordinary shares, Class B ordinary shares and Class C ordinary shares. Upon the listing of our Class A ordinary shares on the Hong Kong Stock Exchange, all of our Class B ordinary shares were converted to Class A ordinary shares pursuant to the conversion notice delivered by the shareholders. As a result, the Class B ordinary shares were eliminated in our currently effective thirteenth amended and restated memorandum and articles of association. Currently, our ordinary shares consist of Class A ordinary shares and Class C ordinary shares. Holders of Class A ordinary shares and Class C ordinary shares have the same rights other than voting and conversion rights. Each holder of our Class A ordinary shares is entitled to one vote per share, and each holder of our Class C ordinary shares is entitled to eight votes per share on all matters submitted to them for a vote. Our Class A ordinary shares and Class C ordinary shares vote together as a single class on all matters submitted to a vote of our shareholders, except as may otherwise be required by law. Each Class C ordinary share is convertible into one Class A ordinary share, whereas Class A ordinary shares are not convertible into Class C ordinary shares under any circumstances. Upon any transfer of Class C ordinary shares by a holder thereof to any person or entity which is not an affiliate of such holder, such Class C ordinary shares are automatically and immediately converted into the equal number of Class A ordinary shares.</w:t>
      </w:r>
    </w:p>
    <w:p>
      <w:pPr>
        <w:spacing w:after="0" w:line="167"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As of the date of this annual report, Mr. Bin Li, our founder, chairman and chief executive officer, together with his affiliates, beneficially own all of our issued Class C ordinary shares. Due to the disparate voting powers associated with our dual-class share structure, Mr. Li has considerable influence over important corporate matters. As of March 31, 2026, Mr. Li beneficially owned approximately 34.0% of the aggregate voting power of our company through mobike Global Ltd. and Originalwish Limited, companies wholly owned by Mr. Li, and through NIO Users Limited, a holding company ultimately controlled by Mr. Li and through NIO Users Community Limited, a company wholly owned by NIO Users Limited. Mr. Li has considerable influence over matters requiring shareholder approval, including electing directors and approving material mergers, acquisitions or other business combination transactions. This concentrated control will limit the ability of the holders of our Class A ordinary shares and ADSs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 Moreover, Mr. Li may increase the concentration of his voting power and/or share ownership in the future, which may, among other consequences, decrease the liquidity in our Class A ordinary shares and ADSs.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Techniques employed by short sellers may drive down the market price of our ADSs and/or Class A ordinary shares.</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spacing w:after="0" w:line="16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Public companies listed in the United States that have a substantial majority of their operations in China have been the subject of short selling. Much of the scrutiny and negative publicity have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61"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On June 28, 2022, Grizzly Research LLC issued a short seller report that made certain allegations against us. On June 29, 2022, we announced that our board of directors, including the audit committee, was reviewing the allegations and considering the appropriate course of action to protect the interests of all shareholders. On July 11, 2022, our board of directors, including the audit committee of our board, decided to form an independent committee, consisting of independent directors Mr. Denny Ting Bun Lee, Mr. Hai Wu, and Ms. Yu Long, to oversee an independent internal review regarding the key allegations made in the short seller report. The internal review was performed by the independent committee with the assistance of third-party professional advisors including an international law firm and forensic accounting experts from a well-regarded forensic accounting firm that is not our auditor. On August 26, 2022, we announced that the internal review was substantially completed. Based on findings of the internal review, the independent committee has concluded that the allegations in the short seller report were not substantiated.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We may be the subject of unfavorable allegations made by short sellers again in the future. Any such allegations may be followed by periods of instability in the market price of our Class A ordinary shares and ADSs and negative publicity. If and when we become the subject of any unfavorable allegations, whether such allegations are proven to be true or untrue, we would have to expend a significant amount of resources to investigate such allegations and/or defend ourselves. While we would strongly defend against any meritless short seller attacks, we may be constrained in the manner in which we can proceed against the short seller by principles of freedom of speech, applicable federal or state law or issues of commercial confidentiality. Moreover, while an internal investigation is ongoing and to ensure that its findings are reached independently without undue influence, we may also be constrained in our ability to offer a public rebuttal immediately even if the allegation can, in our view, be readily rebutted.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ADSs and/or Class A ordinary shares could be greatly reduced or rendered worthless.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sale or availability for sale of substantial amounts of our Class A ordinary shares and/or ADSs could adversely affect their market price.</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Sales of substantial amounts of our Class A ordinary shares and/or ADSs in the public market, or the perception that these sales could occur, could adversely affect the market price of our Class A ordinary shares and/or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Class A ordinary shares and/or ADSs. In addition, certain holders of our existing shareholders are entitled to certain registration rights, including demand registration rights, piggyback registration rights, and Form F-3 or Form S-3 registration rights. Registration of these shares under the Securities Act of 1933, or the Securities Act, would result in these shares becoming freely tradable without restriction under the Securities Act immediately upon the effectiveness of the registration. Sales of these registered shares in the public market, or the perception that such sales could occur, could cause the price of our Class A ordinary shares and/or ADSs to decline.</w:t>
      </w:r>
    </w:p>
    <w:p>
      <w:pPr>
        <w:spacing w:after="0" w:line="3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Because we do not expect to pay dividends in the foreseeable future, the holders of our Class A ordinary shares and/or ADSs must rely on price appreciation of our Class A ordinary shares and/or ADSs for return on their investment.</w:t>
      </w:r>
    </w:p>
    <w:p>
      <w:pPr>
        <w:spacing w:after="0" w:line="13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A ordinary shares and/or ADSs as a source for any future dividend income.</w:t>
      </w:r>
    </w:p>
    <w:p>
      <w:pPr>
        <w:spacing w:after="0" w:line="15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that we received from our subsidiaries, our financial condition, contractual restrictions and other factors deemed relevant by our board of directors. Accordingly, the return to ADS holders will likely depend entirely upon any future price appreciation of our Class A ordinary shares and/or ADSs. There is no guarantee that our Class A ordinary shares and/or ADSs will appreciate in value or even maintain the price at which Class A ordinary shares and/or ADS holders purchased the Class A ordinary shares and/or ADSs. Our Class A ordinary shares and/or ADS holders may not realize a return on their investment in our Class A ordinary shares and/or ADSs and they may even lose their entire investment in our Class A ordinary shares and/or ADSs.</w:t>
      </w:r>
    </w:p>
    <w:p>
      <w:pPr>
        <w:spacing w:after="0" w:line="15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13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 non-U.S. corporation, such as our company, will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w:t>
      </w:r>
    </w:p>
    <w:p>
      <w:pPr>
        <w:spacing w:after="0" w:line="15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Although the law in this regard is not entirely clear, we treat the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Assuming that we are the owner of the VIEs for U.S. federal income tax purposes, and based upon our current and expected income and assets, we do not believe that we were a PFIC for the taxable year ended December 31, 2025. However, no assurance can be given that we will not be or become a PFIC in the current or future taxable years because the determination of whether we will be or become a PFIC is a factual determination made annually that will depend, in part, upon the nature and composition of our income and assets (in particular, the retention of substantial amounts of cash and investments). Fluctuations in the market price of our ADSs or Class A ordinary shares may cause us to be or become classified as a PFIC for the current or future taxable years because the value of our assets for purposes of the asset test, including the value of our goodwill and other unbooked intangibles, may be determined by reference to the market price of our ADSs or Class A ordinary shares, which may be volatile. In particular, recent declines in the market price of the ADSs and Class A ordinary shares significantly increased our risk of becoming a PFIC. The market price of the ADSs and Class A ordinary shares may continue to fluctuate considerably and, consequently, we cannot assure you of our PFIC status for any taxable year. Furthermore, the composition of our income and assets may also be affected by how, and how quickly, we use our liquid assets. Under circumstances where our passive income significantly increases relative to our non-passive income, or where we determine not to deploy significant amounts of cash for active purposes, our risk of becoming classified as a PFIC may substantially increase. If we were to be or become a PFIC for any taxable year during which a U.S. holder holds our ADSs or Class A ordinary shares, certain adverse U.S. federal income tax consequences could apply to such U.S. holders.</w:t>
      </w:r>
    </w:p>
    <w:p>
      <w:pPr>
        <w:spacing w:after="0" w:line="36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memorandum and articles of association contain anti-takeover provisions that could have a material adverse effect on the rights of holders of our Class A ordinary shares and ADSs.</w:t>
      </w:r>
    </w:p>
    <w:p>
      <w:pPr>
        <w:spacing w:after="0" w:line="133"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Our thirteenth amended and restated memorandum and articles of association contain provisions that have the potential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rights and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Class A ordinary shares and/or ADSs may fall and the voting and other rights of the holders of our Class A ordinary shares and ADSs may be materially and adversely affected.</w:t>
      </w:r>
    </w:p>
    <w:p>
      <w:pPr>
        <w:spacing w:after="0" w:line="16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shareholders may face difficulties in protecting their interests, and ability to protect their rights through U.S. courts may be limited, because we are incorporated under Cayman Islands law.</w:t>
      </w:r>
    </w:p>
    <w:p>
      <w:pPr>
        <w:spacing w:after="0" w:line="133"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Our corporate affairs are governed by our thirteenth amended and restated memorandum and articles of association, the Companies Act (As Revised) of the Cayman Islands, or the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67"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corporate records (except for our thirteenth amended and restated memorandum and articles of association and our register of mortgages and charges) or to obtain copies of lists of shareholders of these companies. Our directors have discretion under our thirteenth amended and restated articles of association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a shareholder motion or to solicit proxies from other shareholders in connection with a proxy contest.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As a Cayman Islands company listed on the New York Stock Exchange, we are subject to the NYSE corporate governance listing standards. However, the NYSE corporate governance listing standards permit a foreign private issuer like us to follow the corporate governance practices of its home country. Certain corporate governance practices in the Cayman Islands, which is our home country, may differ significantly from the NYSE corporate governance listing standards.</w:t>
      </w:r>
    </w:p>
    <w:p>
      <w:pPr>
        <w:spacing w:after="0" w:line="159"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Pursuant to Sections 303A.01, 303A.04, 303A.05, 303A.07 and 302.00 of the New York Stock Exchange Listed Company Manual, a company listed on the New York Stock Exchange must have a majority of independent directors, a nominating and corporate governance committee composed entirely of independent directors, a compensation committee composed entirely of independent directors and an audit committee with a minimum of three members, and must hold an annual shareholders’ meeting during each fiscal year. We currently follow our home country practice in lieu of these requirements. We may also continue to rely on these and other exemptions available to foreign private issuers in the future, and to the extent that we choose to do so in the future, our shareholders may be afforded less protection than they otherwise would under the NYSE corporate governance listing standards applicable to U.S. domestic issuers. As a result, you may not be afforded the same protections or information, which would be made available to you, were you investing in a United States domestic issuer.</w:t>
      </w:r>
    </w:p>
    <w:p>
      <w:pPr>
        <w:spacing w:after="0" w:line="15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It may be difficult for overseas regulators to conduct investigations or collect evidence within China and it may also be challenging to export evidence from China for use in litigation.</w:t>
      </w:r>
    </w:p>
    <w:p>
      <w:pPr>
        <w:spacing w:after="0" w:line="133"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With respect to foreign regulatory investigations,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 According to Article 177 of the PRC Securities Law, which took effect in March 2020, no overseas securities regulator is allowed to directly conduct investigations or evidence collection activities within the territory of the PRC. Furthermore, pursuant to the Provisions on Strengthening the Confidentiality and Archives Administration Related to the Overseas Securities Offering and Listing by Domestic Enterprises which became effective on March 31, 2023, the investigation and evidence collection in relation to the oversea securities offering and listing of the PRC companies by overseas securities regulatory authorities and relevant authorities shall be conducted through the cross-border cooperation mechanism for supervision and administration. The PRC companies shall obtain the prior consent from the CSRC or relevant authorities before cooperating with such overseas securities regulatory authorities or relevant authorities in connection with relevant inspections or investigations or providing relevant documents to such overseas securities regulatory authorities or relevant authorities. The inability of an overseas securities regulator to directly conduct investigations or evidence collection activities within China may further increase difficulties faced by you in protecting your interests. With respect to both foreign regulatory investigations and foreign litigation, Article 36 of the PRC Data Security Law, which took effect in September 2021, provides that any organization or individual within the territory of the PRC shall not provide any foreign judicial authority and law enforcement with any data stored within the territory of the PRC without the approval of the competent authority of the PRC. Since detailed interpretation of or implementation rules under this article have yet to be promulgated, the ambiguity of “competent authority” for approving data exportation and its relations with other applicable legal provisions including Article 177 of the PRC Securities Law may further increase difficulties faced by you in protecting your interests.</w:t>
      </w:r>
    </w:p>
    <w:p>
      <w:pPr>
        <w:spacing w:after="0" w:line="36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3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The deposit agreement, dated as of September 11, 2018 by and among NIO Inc., Deutsche Bank Trust Company Americas, as ADS depositary, and the holders and beneficial owners of the ADSs issued thereunder (the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365"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If any of the holders or beneficial owners of ADSs bring a claim against us or the depositary in connection with matters arising under the deposit agreement or the ADSs, including claims under federal securities laws, such holder or beneficial owner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62"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judgments obtained against us by our shareholders may not be enforceable.</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are a Cayman Islands exempted company and the majority of our assets are located outside of the United States. The most significant portion of our operations are conducted in China. In addition, a majority of our current directors and officers are nationals and residents of countries other than the United States. Substantially all of the assets of these persons may be located outside the United States. As a result, it may be difficult or impossible for our shareholders to bring an action against us or against these individuals in the United States in the event that such shareholders believe that their rights have been infringed under the U.S. federal securities laws or otherwise. Even if such shareholders are successful in bringing an action of this kind, the laws of the Cayman Islands and of China may render them unable to enforce a judgment against our assets or the assets of our directors and officers.</w:t>
      </w:r>
    </w:p>
    <w:p>
      <w:pPr>
        <w:spacing w:after="0" w:line="36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33"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Because we are a foreign private issuer under the Exchange Act, we are exempt from certain provisions of the securities rules and regulations in the United States that are applicable to U.S. domestic issuers, including:</w:t>
      </w:r>
    </w:p>
    <w:p>
      <w:pPr>
        <w:spacing w:after="0" w:line="137" w:lineRule="exact"/>
        <w:rPr>
          <w:sz w:val="20"/>
          <w:szCs w:val="20"/>
          <w:color w:val="auto"/>
        </w:rPr>
      </w:pPr>
    </w:p>
    <w:p>
      <w:pPr>
        <w:ind w:left="920" w:hanging="301"/>
        <w:spacing w:after="0"/>
        <w:tabs>
          <w:tab w:leader="none" w:pos="9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of quarterly reports on Form 10-Q or current reports on Form 8-K with the SEC;</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liability for insiders who profit from trades made in a short period of time;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5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voting rights of holders of ADSs are limited by the terms of the deposit agreement, and they may not be able to exercise their right to vote their Class A ordinary shares.</w:t>
      </w:r>
    </w:p>
    <w:p>
      <w:pPr>
        <w:spacing w:after="0" w:line="13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Holders of our ADSs will only be able to exercise the voting rights with respect to the underlying Class A ordinary shares in accordance with the provisions of the deposit agreement. Under the deposit agreement, ADS holders must vote by giving voting instructions to the depositary. If we ask for instructions of ADS holders, then upon receipt of such voting instructions, the depositary will try to vote the underlying Class A ordinary shares in accordance with these instructions. If we do not instruct the depositary to ask for instructions of ADS holders, the depositary may still vote in accordance with instructions given by holders of ADSs, but it is not required to do so. ADS holders will not be able to directly exercise their right to vote with respect to the underlying shares unless they withdraw the shares. When a general meeting is convened, an ADS holder may not receive sufficient advance notice to withdraw the shares underlying his or her ADSs to allow such holder to vote with respect to any specific matter. If we ask for instructions of holders of ADSs, the depositary will notify ADS holders of the upcoming vote and will arrange to deliver our voting materials to ADS holders. We have agreed to give the depositary at least 30 days’ prior notice of shareholders’ meetings. Nevertheless, we cannot assure you that ADS holders will receive the voting materials in time to ensure that ADS holders can instruct the depositary to vote their shares. In addition, the depositary and its agents are not responsible for failing to carry out voting instructions or for their manner of carrying out ADS holders’ voting instructions. This means that an ADS holder may not be able to exercise the right to vote and may have no legal remedy if the shares underlying his or her ADSs are not voted as such holder requested.</w:t>
      </w:r>
    </w:p>
    <w:p>
      <w:pPr>
        <w:spacing w:after="0" w:line="36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depositary for our ADSs will give us a discretionary proxy to vote our Class A ordinary shares underlying the ADSs if the holders of such ADSs do not vote at shareholders’ meetings, except in limited circumstances, which could adversely affect the interests of our ADS holders.</w:t>
      </w:r>
    </w:p>
    <w:p>
      <w:pPr>
        <w:spacing w:after="0" w:line="133"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Under the deposit agreement for the ADSs, if any holder of the ADSs does not vote, the depositary will give us a discretionary proxy to vote our Class A ordinary shares underlying such ADSs at shareholders’ meetings unless:</w:t>
      </w:r>
    </w:p>
    <w:p>
      <w:pPr>
        <w:spacing w:after="0" w:line="137" w:lineRule="exact"/>
        <w:rPr>
          <w:sz w:val="20"/>
          <w:szCs w:val="20"/>
          <w:color w:val="auto"/>
        </w:rPr>
      </w:pPr>
    </w:p>
    <w:p>
      <w:pPr>
        <w:ind w:left="920" w:hanging="301"/>
        <w:spacing w:after="0"/>
        <w:tabs>
          <w:tab w:leader="none" w:pos="9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failed to timely provide the depositary with notice of meeting and related voting materials;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instructed the depositary that we do not wish a discretionary proxy to be given;</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informed the depositary that there is substantial opposition as to a matter to be voted on at the meeting;</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matter to be voted on at the meeting would have a material adverse impact on shareholders; or</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at the meeting is to be made on a show of hands.</w:t>
      </w:r>
    </w:p>
    <w:p>
      <w:pPr>
        <w:spacing w:after="0" w:line="212"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The effect of this discretionary proxy is that if any such holder of the ADSs does not vote at shareholders’ meetings, such holder cannot prevent our Class A ordinary shares underlying such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 ADS holder’s right to pursue claims against the depositary is limited by the terms of the deposit agreement.</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a holder of our ADSs,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an ADS holder from pursuing claims under the Securities Act or the Exchange Act in state or federal courts. Furthermore, if an ADS holder is unsuccessful in such arbitration, such holder may be responsible for the fees of the arbitrator and other costs incurred by the parties in connection with such arbitration pursuant to the deposit agreement. Also, we may amend or terminate the deposit agreement without the consent of any ADS holder. If an ADS holder continues to hold its ADSs after an amendment to the deposit agreement, such holder agrees to be bound by the deposit agreement as amended.</w:t>
      </w:r>
    </w:p>
    <w:p>
      <w:pPr>
        <w:spacing w:after="0" w:line="1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ADS holders may not receive dividends or other distributions on our Class A ordinary shares and the ADS holders may not receive any value for them, if it is illegal or impractical to make them available to the ADS holders.</w:t>
      </w:r>
    </w:p>
    <w:p>
      <w:pPr>
        <w:spacing w:after="0" w:line="13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The depositary of our ADSs has agreed to pay the ADS holders the cash dividends or other distributions it or the custodian receives on Class A ordinary shares or other deposited securities underlying our ADSs, after deducting its fees and expenses. Our ADS holders will receive these distributions in proportion to the number of Class A ordinary shares the underlying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our ADS holders may not receive distributions we make on our Class A ordinary shares or any value for them if it is illegal or impractical for us to make them available to the ADS holders. These restrictions may cause a material decline in the value of our ADSs or Class A ordinary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ADS holders may experience dilution of their holdings due to inability to participate in rights offerings.</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need additional capital, and the sale of additional Class A ordinary shares and/or ADSs or other equity securities could result in additional dilution to our shareholders, and the incurrence of additional indebtedness could increase our debt service obligations.</w:t>
      </w:r>
    </w:p>
    <w:p>
      <w:pPr>
        <w:spacing w:after="0" w:line="13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may require additional cash resources due to changed business conditions, strategic acquisitions or other future developments. If these resources are insufficient to satisfy our cash requirements, we may seek to sell additional equity or debt securities or obtain additional credit facilities. The sale of additional equity and equity-linked securities could result in additional dilution to our shareholders. The sale of substantial amounts of our Class A ordinary shares and/or ADSs (including upon conversion of our convertible notes) could dilute the interests of our shareholders and ADS holders and adversely impact the market price of our Class A ordinary shares and/or ADSs. The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Future sales or issuances, or perceived future sales or issuances, of substantial amounts of our ordinary shares or ADSs could adversely affect the price of our Class A ordinary shares and/or ADS.</w:t>
      </w:r>
    </w:p>
    <w:p>
      <w:pPr>
        <w:spacing w:after="0" w:line="13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If our existing shareholders sell, or are perceived as intending to sell, substantial amounts of our ordinary shares or ADSs, including those issued upon the exercise of our outstanding stock options, the market price of our Class A ordinary shares and/or ADSs could fall. Such sales, or perceived potential sales, by our existing shareholders might make it more difficult for us to issue new equity or equity-related securities in the future at a time and place we deem appropriate. Ordinary shares held by our existing shareholders may be sold in the public market in the future subject to the restrictions contained in Rule 144 and Rule 701 under the Securities Act and the applicable lock-up agreements. If any existing shareholder or shareholders sell a substantial amount of ordinary shares after the expiration of the applicable lock-up periods, the prevailing market price for our Class A ordinary shares and/or ADSs could be adversely affected.</w:t>
      </w:r>
    </w:p>
    <w:p>
      <w:pPr>
        <w:spacing w:after="0" w:line="16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 addition, certain of our shareholders or their transferees and assignees will have the right to cause us to register the sale of their shares under the Securities Act upon the occurrence of certain circumstances. Registration of these shares under the Securities Act would result in these shares becoming freely tradable without restriction under the Securities Act immediately upon the effectiveness of the registration.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ADS holders may be subject to limitations on transfer of their ADSs.</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different characteristics of the capital markets in the U.S., Hong Kong and Singapore may negatively affect the trading prices of our Class A ordinary shares and/or ADSs.</w:t>
      </w:r>
    </w:p>
    <w:p>
      <w:pPr>
        <w:spacing w:after="0" w:line="13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are subject to the U.S., Hong Kong and Singapore listing and regulatory requirements concurrently. The NYSE, Hong Kong Stock Exchange and Singapore Exchange have different trading hours, trading characteristics (including trading volume and liquidity), trading and listing rules, and investor bases (including different levels of retail and institutional participation). As a result of these differences, the trading prices of our Class A ordinary shares and our ADSs may not be the same, even allowing for currency differences. Fluctuations in the price of our ADSs due to circumstances peculiar to the U.S. capital markets could materially and adversely affect the price of our Class A ordinary shares, or vice versa. Certain events having significant negative impact specifically on the U.S. capital markets may result in a decline in the trading price of our Class A ordinary shares notwithstanding that such event may not impact the trading prices of securities listed in Hong Kong and Singapore generally or to the same extent, or vice versa. Because of the different characteristics of the U.S., Hong Kong and Singapore capital markets, the market prices of our ADSs may not be indicative of the trading performance of our Class A ordinary shares on the Hong Kong Stock Exchange and the Singapore Exchange, or vice versa.</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 between our Class A ordinary shares and our ADSs may adversely affect the liquidity and/or trading price of each other.</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Our ADSs are currently traded on NYSE. Subject to compliance with U.S. securities law and the terms of the deposit agreement, holders of our Class A ordinary shares may deposit Class A ordinary shares with the depositary in exchange for the issuance of our ADSs. Any holder of ADSs may also surrender ADSs and withdraw the underlying Class A ordinary shares represented by the ADSs pursuant to the terms of the deposit agreement for trading on the Hong Kong Stock Exchange or the Singapore Exchange. In the event that a substantial number of Class A ordinary shares are deposited with the depositary in exchange for ADSs or vice versa, the liquidity and trading price of our Class A ordinary shares on the Hong Kong Stock Exchange or the Singapore Exchange and our ADSs on NYSE may be adversely affected.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time required for the exchange between Class A ordinary shares and ADSs might be longer than expected and investor might not be able to settle or effect any sale of their securities during this period, and the exchange of Class A ordinary shares into ADSs involves costs.</w:t>
      </w:r>
    </w:p>
    <w:p>
      <w:pPr>
        <w:spacing w:after="0" w:line="13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There is no direct trading or settlement between the NYSE and the Hong Kong Stock Exchange or the Singapore Exchange on which our ADSs and our Class A ordinary shares are respectively traded. In addition, the time differences between New York and Hong Kong or Singapore, unforeseen market circumstances or other factors may delay the deposit of Class A ordinary shares in exchange for ADSs or the withdrawal of Class A ordinary shares underlying the ADSs. Investors will be prevented from settling or effecting the sale of their securities during such periods of delay. In addition, there is no assurance that any exchange for Class A ordinary shares into ADSs (and vice versa) will be completed in accordance with the timelines that investors may anticipate. Furthermore, the depositary for the ADSs is entitled to charge holders fees for various services including for the issuance of ADSs upon deposit of Class A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Class A ordinary shares into ADSs, and vice versa, may not achieve the level of economic return the shareholders may anticipate.</w:t>
      </w:r>
    </w:p>
    <w:p>
      <w:pPr>
        <w:spacing w:after="0" w:line="3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INFORMATION ON THE COMPANY</w:t>
      </w:r>
    </w:p>
    <w:p>
      <w:pPr>
        <w:spacing w:after="0" w:line="212" w:lineRule="exact"/>
        <w:rPr>
          <w:sz w:val="20"/>
          <w:szCs w:val="20"/>
          <w:color w:val="auto"/>
        </w:rPr>
      </w:pPr>
    </w:p>
    <w:p>
      <w:pPr>
        <w:ind w:left="580" w:hanging="580"/>
        <w:spacing w:after="0"/>
        <w:tabs>
          <w:tab w:leader="none" w:pos="58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History and Development of the Company</w:t>
      </w:r>
    </w:p>
    <w:p>
      <w:pPr>
        <w:spacing w:after="0" w:line="216"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We were founded in November 2014, as Nextev Inc., which was changed to our current name NIO Inc. in July 2017. Significant milestones in our development since 2025 include the following:</w:t>
      </w:r>
    </w:p>
    <w:p>
      <w:pPr>
        <w:spacing w:after="0" w:line="137" w:lineRule="exact"/>
        <w:rPr>
          <w:sz w:val="20"/>
          <w:szCs w:val="20"/>
          <w:color w:val="auto"/>
        </w:rPr>
      </w:pPr>
    </w:p>
    <w:p>
      <w:pPr>
        <w:jc w:val="both"/>
        <w:ind w:left="920" w:hanging="301"/>
        <w:spacing w:after="0" w:line="271" w:lineRule="auto"/>
        <w:tabs>
          <w:tab w:leader="none" w:pos="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2025, we completed the repurchase right offer relating to the 2027 Notes. US$378.3 million in aggregate principal amount of the 2027 Notes were validly surrendered and not withdrawn prior to the expiration of the repurchase right offer. Following settlement of the repurchase, US$213,000 aggregate principal amount of the 2027 Notes remained outstanding and continue to be subject to the existing terms of the indenture and the 2027 Notes.</w:t>
      </w:r>
    </w:p>
    <w:p>
      <w:pPr>
        <w:spacing w:after="0" w:line="159"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2025, we completed HK$4,030.13 million offering relating to 136,800,000 Class A ordinary shares, to non-U.S. persons in offshore transactions in reliance on Regulation S under the Securities Act.</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2025, we officially launched and started deliveries of firefly, our small smart high-end electric car.</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2025, our smart large-space flagship SUV, the ONVO L90, was officially launched, with user deliveries starting shortly after.</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2025, our flagship premium SUV, the NIO All-New ES8, was officially unveiled and made available for pre-orders, and user deliveries commenced in late September.</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2025, we completed a US$1.16 billion registered offering relating to a total of 209,090,918 Class A ordinary shares, including those in the form of ADSs.</w:t>
      </w:r>
    </w:p>
    <w:p>
      <w:pPr>
        <w:spacing w:after="0" w:line="137" w:lineRule="exact"/>
        <w:rPr>
          <w:rFonts w:ascii="Times New Roman" w:cs="Times New Roman" w:eastAsia="Times New Roman" w:hAnsi="Times New Roman"/>
          <w:sz w:val="16"/>
          <w:szCs w:val="16"/>
          <w:color w:val="auto"/>
        </w:rPr>
      </w:pPr>
    </w:p>
    <w:p>
      <w:pPr>
        <w:jc w:val="both"/>
        <w:ind w:left="920" w:hanging="301"/>
        <w:spacing w:after="0" w:line="266" w:lineRule="auto"/>
        <w:tabs>
          <w:tab w:leader="none" w:pos="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2026, NIO Inc. and GeniTech Co., Ltd., or Shenji, a subsidiary of ours, entered into definitive agreements with certain investors in China, or the Shenji Investors, pursuant to which the Shenji Investors will invest an aggregate of RMB2.257 billion in cash to subscribe for Shenji’s newly issued shares. Upon completion of the investment transaction, a subsidiary of NIO will continue to hold a controlling equity interest of 62.7% in Shenji and NIO will continue to consolidate its financial results. The Shenji Investors will collectively hold 27.3% of Shenji’s equity interest. Certain entities holding shares to administer Shenji’s share incentive plan will collectively hold the remaining 10.0% of Shenji’s equity interest.</w:t>
      </w:r>
    </w:p>
    <w:p>
      <w:pPr>
        <w:spacing w:after="0" w:line="16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our flagship executive SUV, the NIO ES9 was officially unveiled.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Our principal executive offices are located at Building 19, No. 1355, Caobao Road, Minhang District, Shanghai, PRC. Our telephone number at this address is +86-21-6908-2018. Our registered office in the Cayman Islands is located at the offices of Maples Corporate Services Limited, PO Box 309, Ugland House, Grand Cayman, KY1-1104, Cayman Islands. Our agent for service of process in the United States is Puglisi &amp; Associates, located at 850 Library Avenue, Suite 204, Newark, Delaware 19711. We maintain our website at http://ir.nio.com/. The information contained on, or linked from, our website is not a part of this annual report.</w:t>
      </w:r>
    </w:p>
    <w:p>
      <w:pPr>
        <w:spacing w:after="0" w:line="161"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The SEC maintains a website at www.sec.gov that contains reports, proxy and information statements, and other information regarding issuers that file electronically with the SEC using its EDGAR system.</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See “Item 5. Operating and Financial Review and Prospects—B. Liquidity and Capital Resources—Capital Expenditures” for a discussion of our capital expenditures.</w:t>
      </w:r>
    </w:p>
    <w:p>
      <w:pPr>
        <w:spacing w:after="0" w:line="133" w:lineRule="exact"/>
        <w:rPr>
          <w:sz w:val="20"/>
          <w:szCs w:val="20"/>
          <w:color w:val="auto"/>
        </w:rPr>
      </w:pPr>
    </w:p>
    <w:p>
      <w:pPr>
        <w:ind w:left="600" w:hanging="600"/>
        <w:spacing w:after="0"/>
        <w:tabs>
          <w:tab w:leader="none" w:pos="60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Overview</w:t>
      </w:r>
    </w:p>
    <w:p>
      <w:pPr>
        <w:spacing w:after="0" w:line="228" w:lineRule="exact"/>
        <w:rPr>
          <w:rFonts w:ascii="Times New Roman" w:cs="Times New Roman" w:eastAsia="Times New Roman" w:hAnsi="Times New Roman"/>
          <w:sz w:val="16"/>
          <w:szCs w:val="16"/>
          <w:b w:val="1"/>
          <w:bCs w:val="1"/>
          <w:color w:val="auto"/>
        </w:rPr>
      </w:pPr>
    </w:p>
    <w:p>
      <w:pPr>
        <w:ind w:left="600"/>
        <w:spacing w:after="0" w:line="195"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Our Chinese name, Weilai (</w:t>
      </w:r>
      <w:r>
        <w:rPr>
          <w:rFonts w:ascii="SimSun" w:cs="SimSun" w:eastAsia="SimSun" w:hAnsi="SimSun"/>
          <w:sz w:val="16"/>
          <w:szCs w:val="16"/>
          <w:color w:val="auto"/>
        </w:rPr>
        <w:t>蔚来</w:t>
      </w:r>
      <w:r>
        <w:rPr>
          <w:rFonts w:ascii="Times New Roman" w:cs="Times New Roman" w:eastAsia="Times New Roman" w:hAnsi="Times New Roman"/>
          <w:sz w:val="16"/>
          <w:szCs w:val="16"/>
          <w:color w:val="auto"/>
        </w:rPr>
        <w:t>), means Blue Sky Coming.</w:t>
      </w:r>
    </w:p>
    <w:p>
      <w:pPr>
        <w:spacing w:after="0" w:line="214"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We are a pioneer and a leading company in the global smart electric vehicle market. We aspire to shape a sustainable and brighter future with the mission of “Blue Sky Coming”. We envision ourself as a user enterprise where innovative technology meets experience excellence. We design, develop, manufacture and sell smart electric vehicles, driving innovations in next-generation core technologies. We distinguish ourself through continuous technological breakthroughs and innovations, exceptional products and services, and a community for shared growth.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Key Technological Breakthroughs and Innovations</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Since our inception, we have remained committed to innovation and dedicated to investing in research and development of core technologies for smart electric vehicles. Our technological breakthroughs and innovations differentiate us from our peers, creating better user experiences and enhancing user confidence in us. Underpinned by the adoption of AI, we have established full-stack capabilities in 12 areas of smart EV technologies including assisted and intelligent driving, digital technologies, battery swapping, electric powertrain and battery, vehicle engineering and design capabilities, and others. Our capabilities have enabled us greater flexibility to continually improve our current products and launch new products. By integrating these industry-leading technologies, all of our vehicles are designed to provide our users with a relaxing, interactive, intelligent, and immersive experience.</w:t>
      </w:r>
    </w:p>
    <w:p>
      <w:pPr>
        <w:spacing w:after="0" w:line="365"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have strategically established our research and development offices across different countries and regions that we believe give us access to the best talent. Our global research and development center for production models is located in Shanghai. Our advanced vehicle manufacturing center is located in Anhui. Our global research and development center for software is located in Beijing. Our global research and development center for autonomous driving is located in San Jose. Our global design center is located in Munich. Our global research and development center for advanced engineering is located in Oxford.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Assisted and Intelligent Driving</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We believe that assisted and intelligent driving is the core of smart electric vehicles. Since inception, we have prioritized this area through sustained long-term investment. We are one of the first companies in China to offer enhanced ADAS capabilities and we have been dedicated to developing our proprietary full-stack assisted and intelligent driving capabilities spanning technical architecture, hardware deployment, algorithms, and training data closed-loop systems.</w:t>
      </w:r>
    </w:p>
    <w:p>
      <w:pPr>
        <w:spacing w:after="0" w:line="15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At the data level, NIO’s proprietary collective intelligence framework enables a full functional data closed loop on the vehicle side. Combined with generative simulation and closed-loop simulation technologies, this framework support the continuous generation of diverse and complex data coverage for model training, contributing to the improvements in model and system iteration efficiency.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On the model and algorithm front, we continue to advance technological innovation. At NIO IN 2024, we unveiled the auto industry’s first world model — NIO WorldModel (NWM), a multivariable autoregressive generative model capable of processing multi-source information, performing comprehensive multimodal understanding, and generating diversified execution outputs. With long-horizon temporal modeling capabilities, NWM is designed to better handle complex real-world driving scenarios. We also introduced NADArch2.0, an end-to-end architecture for our assisted and intelligent driving powered by NWM, aimed at providing a safer and more seamless driving experience for users. In 2025, we further upgraded NWM, by introducing full closed-loop reinforcement learning into assisted and intelligent driving and expanded the application of the foundation model across all intelligent driving functional modules at the architectural level. Since late January 2026, the latest iteration of NWM has been fully rolled out to applicable vehicles, which further improved system capabilities and driving experience.</w:t>
      </w:r>
    </w:p>
    <w:p>
      <w:pPr>
        <w:spacing w:after="0" w:line="16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terms of training compute, supported by extensive data, continuous model iteration, and enhanced improvements in closed-loop reinforcement learning efficiency, combined with our highly optimized utilization of computing resources, our model performance and real-world application outcomes remain competitive within the industry. To support long-term development, we plan to scale up our training compute capacity to meeting the evolving requirements of the NWM architecture.</w:t>
      </w:r>
    </w:p>
    <w:p>
      <w:pPr>
        <w:spacing w:after="0" w:line="15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 the intelligent driving chipset domain, our in-house developed automotive-grade intelligent driving chip, NX9031, has been deployed in certain NIO brand models starting from 2025. We have established full-stack in-house development, mass production and deployment capabilities for intelligent driving chips. Going forward, we plan to continue iterating our chip products and gradually expand deployment across brands and models.</w:t>
      </w:r>
    </w:p>
    <w:p>
      <w:pPr>
        <w:spacing w:after="0" w:line="15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From an AI infrastructure engineering perspective, we have developed and deployed assisted and intelligent driving systems across three generations of chipsets. In 2025, we achieved scaled delivery of intelligent driving functions across NIO and ONVO platforms based on different chipsets and hardware configurations, demonstrating strong multi-platform parallel development and efficient mass-production capabilities.</w:t>
      </w:r>
    </w:p>
    <w:p>
      <w:pPr>
        <w:spacing w:after="0" w:line="15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We offer NIO assisted and intelligent driving, or NAD, our full-stack in-house developed assisted and intelligent driving technology, to NIO brand users. The technology comprises NIO Adam, a super computing platform with outstanding computing power, and NIO Aquila, a super sensing system equipped with high-performance sensors including LiDARs, together with a comprehensive assisted and intelligent driving suite covering highway driving, parking, and active safety. With the gradual release of certain features of the NAD through Navigate on Pilot+, or NOP+, NOP+ currently supports scenarios including expressways, urban areas, parking and battery swapping, delivering a safer and more relaxing assisted and intelligent driving experience for our users. As for active safety, in 2025, leveraging the perception and prediction capabilities of the NWM, we extended intelligent driving decision and control capabilities across the entire active safety system from collision avoidance to collision mitigation, and begun exploring deep integration between chassis hardware and intelligent driving systems to enable integrated active-passive safety protection.</w:t>
      </w:r>
    </w:p>
    <w:p>
      <w:pPr>
        <w:spacing w:after="0" w:line="16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offer ONVO Smart Driving, or OSD, to ONVO brand users. Built upon our full-stack assisted and intelligent driving capabilities, OSD integrates advanced sensor fusion algorithms with multiple high-performance sensors to deliver assisted and intelligent driving functions across scenarios including expressways, urban areas, parking, and battery swapping. By the end of December 2025, leveraging NIO’s assisted and intelligent driving technology architecture, ONVO further upgraded its intelligent driving and safety features to an end-to-end architecture, enhancing the overall user experience.</w:t>
      </w:r>
    </w:p>
    <w:p>
      <w:pPr>
        <w:spacing w:after="0" w:line="16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offer assisted and intelligent driving features to FIREFLY brand users. Equipped with high-performance perception hardware, FIREFLY provides intelligent navigation assistance that covers expressways and urban areas. In addition, FIREFLY offers comprehensive parking assistance for all scenarios, enabling users to easily manage a wide range of parking situations and ensuring a more relaxed and safer driving experience for users.</w:t>
      </w:r>
    </w:p>
    <w:p>
      <w:pPr>
        <w:spacing w:after="0" w:line="153"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Through systematic technological deployment and continuous innovation, we have established core capabilities in data, algorithms, computing infrastructure, and chips within the intelligent driving domain, laying a solid technological foundation for intelligent development across multiple brands and platforms. The long-term full-stack technology strategy is expected to generate more efficient and higher-quality user experience gains in the AI era.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Digital Technologies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Digital System</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Our digital system forms the foundation for continuous upgrades through over-the-air updates, and serves as the platform for building our own proprietary software and algorithms and the security system for deep reassurance.</w:t>
      </w:r>
    </w:p>
    <w:p>
      <w:pPr>
        <w:spacing w:after="0" w:line="137"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On top of our proprietary software architecture and cloud data platform, SkyOS, our full-domain vehicle operating system, has what we believe to be the industry-leading connectivity and remote service capabilities with an end-to-end security framework. By seamlessly integrating and efficiently collaborating all vehicle domains, including assisted and intelligent driving, digital cockpit, and vehicle control, SkyOS provides a secure, intelligent and smooth driving experience to users.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Digital Cockpit</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Running on the in-house developed SkyOS, our digital cockpit has an AI-driven, scalable and flexible architecture that presents users with an intelligent and immersive digital experience. We have built flexibility into the digital cockpit, so that we can continue to update the cockpit’s operating system with new features and applications. Our digital cockpit supports low-latency multitasking, ensuring real-time performance for critical driving tasks while efficiently managing smooth background operation and switching across multiple screens and applications.</w:t>
      </w:r>
    </w:p>
    <w:p>
      <w:pPr>
        <w:spacing w:after="0" w:line="15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Inspired by the concept of creating a mobile living space, providing a caring emotion companion while connecting products, services and community, we have launched the AR display system, bringing technologically advanced, immersive and personalized experiences and a realistic sense of space to our users. Inside our digital cockpit, our in-car AI companions, can listen to, communicate and interact with users, while also supporting multimodal large vision models to foster a strong emotional connection between vehicles and users.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Electric Powertrain and Battery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Electric Powertrain</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Starting from our first product, we have designed, developed and manufactured our own proprietary electric powertrains in-house. We possess in-house research and development capabilities across motors, electric controls, reducers, and high voltage charging and distribution systems.</w:t>
      </w:r>
    </w:p>
    <w:p>
      <w:pPr>
        <w:spacing w:after="0" w:line="137"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Our electric powertrains are designed specifically for our vehicles, and through firmware over-the-air, we are able to continue to improve and update, and adjust according to our users’ driving behavior. Enabled by in-house research and development capabilities, our motor configuration offers a variety of electric motors. We have developed in-house high-performance electric powertrains and a 900V full-domain high-voltage architecture.</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Battery</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are committed to the research, development and innovations in battery technologies and have built up the research and development capabilities throughout the lifecycle of uni-pack battery. Our batteries are based on advanced battery pack design, battery management system and proprietary swapping mechanism.</w:t>
      </w:r>
    </w:p>
    <w:p>
      <w:pPr>
        <w:spacing w:after="0" w:line="15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Currently, we offer standard range battery, long range battery and ultra-long range battery. In addition, we provide flexible battery upgrade plans to maximize battery utilization efficiency, allowing users to flexibly select battery options or upgrade battery range based on their individual driving needs. We are also collaborating with our partners in developing long-life batteries.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Vehicle Engineering and Design Capabilities</w:t>
      </w:r>
    </w:p>
    <w:p>
      <w:pPr>
        <w:spacing w:after="0" w:line="216" w:lineRule="exact"/>
        <w:rPr>
          <w:sz w:val="20"/>
          <w:szCs w:val="20"/>
          <w:color w:val="auto"/>
        </w:rPr>
      </w:pPr>
    </w:p>
    <w:p>
      <w:pPr>
        <w:jc w:val="both"/>
        <w:ind w:firstLine="594"/>
        <w:spacing w:after="0" w:line="267" w:lineRule="auto"/>
        <w:rPr>
          <w:sz w:val="20"/>
          <w:szCs w:val="20"/>
          <w:color w:val="auto"/>
        </w:rPr>
      </w:pPr>
      <w:r>
        <w:rPr>
          <w:rFonts w:ascii="Times New Roman" w:cs="Times New Roman" w:eastAsia="Times New Roman" w:hAnsi="Times New Roman"/>
          <w:sz w:val="16"/>
          <w:szCs w:val="16"/>
          <w:color w:val="auto"/>
        </w:rPr>
        <w:t>We have significant in-house vehicle engineering and design capabilities, covering all major areas of vehicle development starting from inception to completion, with a particular emphasis on software-driven technologies and fast iteration. In addition, our innovation in core components allows for the efficient development of multiple brands and models. For example, our in-house developed intelligent chassis controller enables integrated control of redundant braking, air spring and damper, while achieving functional safety, cyber security and OTA updates. Moreover, we have implemented our “Skyride” intelligent chassis system, which integrates core hardware components of steer-by-wire, rear-wheel steering, and fully active suspension.</w:t>
      </w:r>
    </w:p>
    <w:p>
      <w:pPr>
        <w:spacing w:after="0" w:line="363"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Our global design team has comprehensive design capabilities across the board, from brands, vehicles, user interface/user experience, lifestyle products to accessories.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Vehicles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Leveraging our expertise in smart electric vehicles and technological innovation, we have established three distinct brands to serve a diverse range of market segments. We design, develop, manufacture and sell our premium smart electric vehicles under the NIO brand, family-oriented smart electric vehicles through the ONVO brand, and small smart high-end electric cars with the FIREFLY brand. We currently offer our products and services in China, Europe, Southeast Asia, the Middle East and other markets, and are planning to expand into more global markets to capture the fast-growing EV demand.</w:t>
      </w:r>
    </w:p>
    <w:p>
      <w:pPr>
        <w:spacing w:after="0" w:line="161"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Under the NIO brand, we introduced the EP9 supercar in 2016, which was the then fastest electric vehicle, setting the Nurburgring Nordschleife all-electric vehicle lap record. Starting from December 2017, we launched and continually iterated on a succession of well-positioned vehicle models and established a competitive product portfolio, including the ES9, our flagship executive SUV, the ES8 (or the EL8), our flagship premium SUV, the ES7 (or the EL7), our smart electric mid-large SUV, the ES6 (or the EL6), our smart electric all-round SUV, the EC7, our smart electric flagship coupe SUV, the EC6, our smart electric coupe SUV, the ET9, our smart electric executive flagship, the ET7, our smart electric flagship sedan, the ET5, our smart electric mid-size sedan, and the ET5T, our smart electric tourer.</w:t>
      </w:r>
    </w:p>
    <w:p>
      <w:pPr>
        <w:spacing w:after="0" w:line="163"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In 2025, we entered a new product cycle with the introduction of various core products and upgrades, further enhancing user experience and solidifying NIOs’ premium positioning. We started deliveries of the ET9, our smart electric executive flagship, in late March 2025. The ET9 integrates NIO’s full-stack technological capabilities across 12 areas, offering flagship experiences to users in design, space, comfort, audio, intelligent systems, assisted and intelligent driving, safety, powertrain, and overall driving and riding performance. In May 2025, we launched and started deliveries of four further upgraded vehicle models, including the New ES6, our smart electric all-round SUV, the New EC6, our smart electric coupe SUV, the New ET5, our smart electric mid-size sedan, and the New ET5T, our smart electric tourer. In August 2025, our flagship premium SUV, the All-New ES8, was unveiled and opened for pre-orders, with deliveries starting in late September. The All-New ES8 represents the pinnacle of our latest smart EV technologies, offering users a refined, safe, and seamless experience on every journey towards a new horizon, and is well positioned to lead large three-row SUVs into the battery electric era.</w:t>
      </w:r>
    </w:p>
    <w:p>
      <w:pPr>
        <w:spacing w:after="0" w:line="16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ONVO, our family-oriented smart electric vehicle brand launched in May 2024, stands for “On Voyage,” and carries the implied meaning of “Happiness on Every Path We Travel With Family” in Chinese, which embodies ONVO’s commitment to creating better family life and bringing better brand and product experiences to family users. ONVO L60, a mid-size family smart electric SUV was launched and commenced delivery in September 2024. ONVO L90, a smart large-space flagship SUV, was officially launched in July 2025, with user deliveries starting shortly after. Built upon NIO’s leading technological innovations, the ONVO L90 is designed to delight every family member on every journey, delivering extraordinary spaciousness, premium comfort, all-scenario intelligence, and an exceptional driving and riding experience.</w:t>
      </w:r>
    </w:p>
    <w:p>
      <w:pPr>
        <w:spacing w:after="0" w:line="16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FIREFLY, our small, smart, high-end electric car brand, was launched in December 2024. Built upon NIO’s expertise in research and development, design capabilities, safety standards, and intelligent technologies, FIREFLY embodies the brand’s DNA of being “vivid, thoughtful and solid.” FIREFLY’s namesake model was launched and commenced delivery in April 2025. It offers a vivid driving experience where users can embrace the freedom to glow.</w:t>
      </w:r>
    </w:p>
    <w:p>
      <w:pPr>
        <w:spacing w:after="0" w:line="15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 2025, we delivered 326,028 vehicles, including 178,806 vehicles from our premium smart electric vehicle brand NIO, 107,808 vehicles from our family-oriented smart electric vehicle brand ONVO, and 39,414 vehicles from our small smart high-end electric car brand FIREFLY. We will continue to develop more products to expand our addressable market segments.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diagram illustrates our vehicle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144780</wp:posOffset>
            </wp:positionV>
            <wp:extent cx="5658485" cy="3182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8485" cy="318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Services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users can access a full suite of innovative services through our sales, service, power network as well as our apps, as part of our strategy of redefining user experience. We provide an integrated service ecosystem that delivers a holistic, end-to-end service experience to our users. We believe that our service capabilities are among our core competitive strengths.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After-sales Services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NIO Service is our proprietary one-stop service system. Leveraging the Service Guardian system and our integrated service network, it proactively identifies user needs to deliver pleasant, efficient and cost-effective service experiences. Our offerings include one-click maintenance and repair, door-to-door tire repair, post-accident support, and other services designed to provide users with a truly worry-free experience.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Service Network</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provide services through both company-owned and authorized third-party service centers, offering repair, maintenance, car beauty and inspection services. As of December 31, 2025, we had 416 service centers worldwide.</w:t>
      </w:r>
    </w:p>
    <w:p>
      <w:pPr>
        <w:spacing w:after="0" w:line="137"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also provide high-quality delivery services through delivery centers, which serve as vital hubs in the user experience journey. At these centers, we offer users comprehensive support, including vehicle transportation and delivery, pre-delivery inspections, guidance on vehicle features, assistance with vehicle registration and insurance processing.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Service Package</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offer service packages on an annual fee basis in certain regions. Our innovative service packages cover over 20 vehicle usage scenarios, including insurance, maintenance, repairs, accident rescue, car washing, chauffeur services, and valet parking, ensuring a seamless and worry-free experience for our users.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Service Guardian</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Service Guardian provides continuous remote monitoring and real-time diagnostics of our vehicles. It automatically detects anomalies, triggers alerts, and enables immediate expert intervention for early issue identification.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NIO Auto Mall</w:t>
      </w:r>
    </w:p>
    <w:p>
      <w:pPr>
        <w:spacing w:after="0" w:line="175" w:lineRule="exact"/>
        <w:rPr>
          <w:sz w:val="20"/>
          <w:szCs w:val="20"/>
          <w:color w:val="auto"/>
        </w:rPr>
      </w:pPr>
    </w:p>
    <w:p>
      <w:pPr>
        <w:jc w:val="both"/>
        <w:ind w:firstLine="594"/>
        <w:spacing w:after="0" w:line="214" w:lineRule="exact"/>
        <w:rPr>
          <w:sz w:val="20"/>
          <w:szCs w:val="20"/>
          <w:color w:val="auto"/>
        </w:rPr>
      </w:pPr>
      <w:r>
        <w:rPr>
          <w:rFonts w:ascii="Times New Roman" w:cs="Times New Roman" w:eastAsia="Times New Roman" w:hAnsi="Times New Roman"/>
          <w:sz w:val="16"/>
          <w:szCs w:val="16"/>
          <w:color w:val="auto"/>
        </w:rPr>
        <w:t>Through the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 NIO Auto Mall, users can select from a variety of accessories and value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added services, enhancing their overall driving experience.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Warranty</w:t>
      </w:r>
    </w:p>
    <w:p>
      <w:pPr>
        <w:spacing w:after="0" w:line="17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offer comprehensive warranty policies covering the entire vehicle as well as key electric components, including the battery, electric motor, and power electronic units. In addition to the standard warranty required by local laws and regulations, we also provide extended warranty services, with specific terms and conditions varying by markets and vehicle models.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Power Services</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offer an integrated suite of power-related services, encompassing battery charging and swapping, battery subscription, battery management, and battery upgrade services, designed to enhance convenience, flexibility, and efficiency for our users.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Power Solutions</w:t>
      </w:r>
    </w:p>
    <w:p>
      <w:pPr>
        <w:spacing w:after="0" w:line="19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provide a comprehensive, mobile internet-powered power solution supported by an extensive network of charging and battery swap stations. Enhanced by our proprietary Power Cloud platform, we deliver an integrated service system featuring chargeable, swappable, and upgradable batteries, ensuring reliable and flexible energy solutions for users across a wide range of scenarios.</w:t>
      </w:r>
    </w:p>
    <w:p>
      <w:pPr>
        <w:spacing w:after="0" w:line="1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Our power solutions include home chargers called Power Home, battery swap stations called Power Swap Stations, supercharging piles called Power Chargers, destination charging piles called Destination Chargers, and mobile charging service called Power Mobile. All of these solutions are integrated with Power Cloud, a cloud-based system that synchronizes users’ power consumption information with our power network. Power Cloud intelligently recommends appropriate services based on users’ locations and power consumption patterns. Our users can not only check the availability of charging and swapping resources within NIO’s own network, but also access real-time information on a wide range of public chargers through the Power Map feature on our apps. In addition, we offer One Click for Power valet service, where we pick up, charge and return the vehicle.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Power Home</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provide a suite of smart home charging solutions with varying power outputs, designed to accommodate diverse user requirements.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Featuring an integrated design, these home charging piles support remote charging scheduling and real-time status monitoring.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Power Swap Station</w:t>
      </w:r>
    </w:p>
    <w:p>
      <w:pPr>
        <w:spacing w:after="0" w:line="177"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All of our vehicles support battery swapping. Once a vehicle is parked at a Power Swap Station and the swap function is activated, the battery is automatically replaced within minutes. Automatic battery and electric drive system health assessments are performed during each swap to enhance safety and reliability.</w:t>
      </w:r>
    </w:p>
    <w:p>
      <w:pPr>
        <w:spacing w:after="0" w:line="128"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Since the establishment of our first battery swap station in 2018, we have been committed to the ongoing development and improvement of our Power Swap systems. Equipped with Lidars and NVIDIA DRIVE Orin X chips, our Power Swap Station 4.0 can conduct fully automatic swaps up to 480 times per day and support intelligent vehicle-station connectivity in complex environments.</w:t>
      </w:r>
    </w:p>
    <w:p>
      <w:pPr>
        <w:spacing w:after="0" w:line="1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As of December 31, 2025, we had 3,737 Power Swap Stations covering urban areas and expressways globally, through which we had completed over 96 million battery swaps cumulatively.</w:t>
      </w:r>
    </w:p>
    <w:p>
      <w:pPr>
        <w:spacing w:after="0" w:line="100"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August 2024, we announced the “Power Up Counties” plan to strengthen our charging and swapping network across all county-level administrative divisions in China. This initiative aims to provide a more convenient, efficient and comprehensive charging experience for our users. We have been collaborating with partners across transportation, energy and other sectors to jointly develop charging and swapping infrastructure. We expect to join hands with more partners to contribute towards the development of power network and the widespread adoption of battery swapping.</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Power Charger and Destination Charger</w:t>
      </w:r>
    </w:p>
    <w:p>
      <w:pPr>
        <w:spacing w:after="0" w:line="214"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Through Power Charger, our supercharging piles, we provide our users a fast and reliable power solution. Users are able to locate, use and pay for charging services via our apps. Our Power Chargers feature a slim design and are strategically placed in parking lots and other accessible locations. We currently offer Power Chargers with charging capacities of up to 640kW.</w:t>
      </w:r>
    </w:p>
    <w:p>
      <w:pPr>
        <w:spacing w:after="0" w:line="153"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also deploy Destination Chargers at key locations such as tourist attractions, shopping malls and office buildings to provide greater convenience and flexibility for users.</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As of December 31, 2025, we had more than 27,000 Power Chargers and Destination Chargers in operation. We plan to further enhance charging efficiency and expand our charging network to cater to the growing user demand.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Power Mobile</w:t>
      </w:r>
    </w:p>
    <w:p>
      <w:pPr>
        <w:spacing w:after="0" w:line="214"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Through Power Mobile, we provide on-demand charging services through fast charging vans equipped with our proprietary fast-charging technology. This service supplements our battery swapping and charging network, providing users with additional charging flexibility. Users are able to book Power Mobile services in advance through our apps.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Power Map</w:t>
      </w:r>
    </w:p>
    <w:p>
      <w:pPr>
        <w:spacing w:after="0" w:line="214"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 addition to our own swapping and charging network, our users have access to a network of public chargers with real-time availability updates via Power Map in our apps, which consisted of over 2,680,000 publicly accessible charging piles globally as of December 31, 2025. In order to further improve the user experience, we have been working to increase the number of public chargers synchronized with Power Cloud.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One Click for Power</w:t>
      </w:r>
    </w:p>
    <w:p>
      <w:pPr>
        <w:spacing w:after="0" w:line="214"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One Click for Power valet service offers users a seamless charging experience. Through our apps, users can request our team to pick up their vehicle from a designated location for valet charging, battery swapping or Power Mobile service. Power Cloud utilizes smart scheduling to identify the most suitable power solution based on the user’s driving habits, ensuring maximum convenience.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Battery as a Service</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Leveraging our vehicle-battery separation technology and battery subscription model, we offer Battery as a Service, or BaaS, an industry-first innovative model which allows users to purchase electric vehicles while subscribing for the usage of batteries separately. For each user opting for the BaaS model, we sell a battery to the Battery Asset Company, and the user subscribes for the usage of the battery from the Battery Asset Company. Under BaaS model, users can enjoy a deduction off the original vehicle purchase price while paying a monthly subscription fee to the Battery Asset Company for the battery usage. BaaS enables our users to benefit from lower vehicle purchase prices, flexible battery upgrade options and assurance of battery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Battery Upgrade Service</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Leveraging our battery-swapping technology, we currently provide battery upgrade services to our users, allowing permanent or flexible upgrades to batteries with higher capacities for an additional fee. This service supports flexible usage periods, including daily, monthly, and annual options. Users can utilize standard-range batteries for daily commutes or regular trips and temporarily upgrade to long-range batteries for long-distance journeys. The service allows nationwide battery pick-up and return, offering a convenient and cost-efficient solution while maximizing battery utilization efficiency.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Auto Financing</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have agreements with several commercial banks in China to assist users in acquiring financing for vehicle purchases. We also offer auto financing arrangements to users directly through our subsidiaries.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Used Vehicle Service</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have partnered with hundreds of used-car dealers and operate a dedicated online auction platform within our apps, enabling users to complete used-car transactions efficiently and conveniently.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Technical Service</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provide comprehensive technical services to external partners. For example, in February 2024, we entered into a technology license agreement with Forseven Limited, or Forseven. Under this agreement, we granted a non-exclusive and non-transferrable worldwide license to Forseven to use certain of our technical information, technical solutions, software and intellectual property rights related to or subsisting in our existing and future smart electric vehicle platforms within a certain period, for, among other things, the research and development, manufacturing, sales, import and export of vehicle models sold or marketed under Forseven’s brand, subject to the terms and conditions set forth in the agreement. In October 2025, Forseven’s rights and obligations under the license agreement were transferred to, and assumed by, McLaren Automotive, which replaced Forseven under these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Assisted Driving as a Service</w:t>
      </w:r>
    </w:p>
    <w:p>
      <w:pPr>
        <w:spacing w:after="0" w:line="216" w:lineRule="exact"/>
        <w:rPr>
          <w:sz w:val="20"/>
          <w:szCs w:val="20"/>
          <w:color w:val="auto"/>
        </w:rPr>
      </w:pPr>
    </w:p>
    <w:p>
      <w:pPr>
        <w:jc w:val="both"/>
        <w:ind w:firstLine="594"/>
        <w:spacing w:after="0" w:line="204" w:lineRule="exact"/>
        <w:rPr>
          <w:sz w:val="20"/>
          <w:szCs w:val="20"/>
          <w:color w:val="auto"/>
        </w:rPr>
      </w:pPr>
      <w:r>
        <w:rPr>
          <w:rFonts w:ascii="Times New Roman" w:cs="Times New Roman" w:eastAsia="Times New Roman" w:hAnsi="Times New Roman"/>
          <w:sz w:val="16"/>
          <w:szCs w:val="16"/>
          <w:color w:val="auto"/>
        </w:rPr>
        <w:t>In addition to offering a comprehensive suite of standard safety and drive assistance features, we offer a software-enabled, monthly subscription model for full-function assisted and intelligent driving. Our offerings include NIO Pilot and NOP+ for NIO brand users, OSD NOA for ONVO brand users and NOP for FIREFLY brand users. We typically offer a trial period for users to experience our assisted and intelligent driving features, which help stimulate adoption and support the sustainable growth of our subscription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software and service offerings in the long term.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User Development and User Community</w:t>
      </w:r>
    </w:p>
    <w:p>
      <w:pPr>
        <w:spacing w:after="0" w:line="216"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We reach out to and engage with our users directly through our own offline and online platforms, to continuously expand our user community.</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Physical Stores</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operate a network of physical stores as our offline channels to support brand presence, sales activities and user engagement across our NIO, ONVO and FIREFLY brands.</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NIO Houses and NIO Spaces serve as offline channels for us to reach out to and serve our users for NIO and FIREFLY brands, as well as the offline platforms for our user community.</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NIO Houses have showroom functions while serving as a clubhouse for our users and their friends. NIO Spaces are mainly showrooms for our brand, vehicles and services. As of December 31, 2025, we had 173 NIO Houses and 393 NIO Spaces in total globally.</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ONVO Centers and ONVO Spaces serve as ONVO’s offline channels, designed to showcase products, facilitate sales, and foster engagement within the ONVO user community. As of December 31, 2025, we had a total of 419 ONVO Centers and ONVO Spaces in China.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Brand Apps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mobile apps for NIO, ONVO and FIREFLY are all designed to serve as a comprehensive portal, which allow users to not only place orders for and configure vehicles, but also to access vehicle control, power and other services, as well as to purchase lifestyle products. Most importantly, our apps function as online platforms for our user community.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Brand Events</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Our annual NIO Day is an event jointly hosted by us and our users where we launch our new products and technologies and celebrate the user community. In December 2017 in Beijing, China, we held our first NIO Day and launched the ES8. We had since then held multiple NIO Days to launch new products and interact with our users in the subsequent years. Most recently, in September 2025, we held NIO Day 2025 in Hangzhou, China, with the official launch of the ET9 Horizon Edition and the All-New ES8.</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Lifestyle Products</w:t>
      </w:r>
    </w:p>
    <w:p>
      <w:pPr>
        <w:spacing w:after="0" w:line="216" w:lineRule="exact"/>
        <w:rPr>
          <w:sz w:val="20"/>
          <w:szCs w:val="20"/>
          <w:color w:val="auto"/>
        </w:rPr>
      </w:pPr>
    </w:p>
    <w:p>
      <w:pPr>
        <w:jc w:val="both"/>
        <w:ind w:firstLine="594"/>
        <w:spacing w:after="0" w:line="291" w:lineRule="auto"/>
        <w:rPr>
          <w:sz w:val="20"/>
          <w:szCs w:val="20"/>
          <w:color w:val="auto"/>
        </w:rPr>
      </w:pPr>
      <w:r>
        <w:rPr>
          <w:rFonts w:ascii="Times New Roman" w:cs="Times New Roman" w:eastAsia="Times New Roman" w:hAnsi="Times New Roman"/>
          <w:sz w:val="16"/>
          <w:szCs w:val="16"/>
          <w:color w:val="auto"/>
        </w:rPr>
        <w:t>We have established our lifestyle brands for NIO, ONVO and FIREFLY, and we operate online stores within our apps where users can purchase a variety of lifestyle products. The product categories include clothing and accessories, home and living, consumer electronics, food and beverages.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User Points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provide users with points to encourage user engagement and positive user behavior, such as to keep a safe driving record. Points are earned, among other things, through the welcome packages upon the purchase of vehicles, referrals for test drives and vehicle purchases, and active engagement in the user community. Points can be used, both on our apps and at our physical stores.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NIO Users Trust</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In conjunction with our pursuit of being a user enterprise and with the goal of building a deeper connection between NIO and our users, Mr. Bin Li, our chairman of the board of directors and chief executive officer, transferred a certain amount of his ordinary shares to NIO Users Trust in January 2019. Our users have the opportunity to discuss and propose the use of the economic benefits from the shares in NIO Users Trust through a User Council consisting of members of our user community elected by our users. The User Council helps coordinate user activities in our community. According to the articles of association of NIO Users Trust, incomes and proceeds derived from the trust assets shall be mainly used for the following purposes: (i) environmental protection and sustainable development, (ii) NIO Users community care projects, (iii) community activities promoting common growth of users and other necessary projects, and (iv) operational expenses of the Users Trust.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Supply Chain, Manufacturing and Quality Assurance</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view the suppliers and manufacturers we work with as key partners in our vehicle development process. We aim to leverage our partners’ industry expertise to ensure that each vehicle we produce meets our strict quality standards.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Supply Chain</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work with both global and local supply chain partners, with the majority of our suppliers being located in China, which enables us to acquire supplies more efficiently and reduce overall logistics-related cost.</w:t>
      </w:r>
    </w:p>
    <w:p>
      <w:pPr>
        <w:spacing w:after="0" w:line="137"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We obtain systems, components, raw materials, parts, manufacturing equipment, and other supplies and services from suppliers which we deem reputable and reliable. We adhere to a structured internal process when sourcing suppliers, evaluating factors such as quality, cost and delivery timelines. We continuously enhance our supply chain to build a more efficient and diversified system. Additionally, we actively cultivate partnerships with suppliers that have innovative technological capabilities and cost advantages, thereby increasing the competitiveness and innovativeness of our supply chain. While we obtain components from multiple sources whenever possible, many of the components used in our vehicles are purchased from a single source. Eventually we plan to implement a multi-sourcing strategy in order to reduce reliance on sole-source suppliers.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Manufacturing</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Vehicle Manufacturing</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currently produce our vehicles at our advanced F1, F2 and F3 manufacturing facilities in Anhui, China. Our production capacity is dynamically scaled and calibrated against our product roadmap and market demand.</w:t>
      </w:r>
    </w:p>
    <w:p>
      <w:pPr>
        <w:spacing w:after="0" w:line="137"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In the past, we partnered with JAC for the joint manufacturing of our vehicles at the F1 and F2 Plants. In December 2023, we acquired the manufacturing equipment and assets of both plants from JAC. In addition, we have completed the filing process for our electric passenger vehicle investment project with the relevant authorities in Anhui province and have been included in the Ministry of Industry and Information Technology’s catalogue of approved manufacturers. Our manufacturing model has transitioned from joint manufacturing to independent manufacturing and we have terminated our joint manufacturing agreements with JAC.</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Other Manufacturing</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have established our manufacturing facilities in China for the production of electric drive systems and other vehicle parts, with highly automated production lines and advanced manufacturing execution systems. We also manufacture Power Swap Stations and charging piles independently, as well as in collaboration with our partners.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Quality Assurance</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aim to deliver high-quality products and services to our users in line with our core values and commitments. We have established a Quality Committee responsible for the overall quality management across the company. Chaired by our executive vice president, the Quality Committee oversees the formulation of group-level quality assurance policies, strategies, goals and initiatives, while also monitoring progress toward quality objectives. Our dedicated quality management teams are responsible for our overall quality strategy, quality systems and processes, quality culture, and general quality management implementation.</w:t>
      </w:r>
    </w:p>
    <w:p>
      <w:pPr>
        <w:spacing w:after="0" w:line="161"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believe that our quality management system is the key to ensuring the delivery of high-quality products and services, minimizing waste and maximizing efficiency. Our All-Time Quality (ATQ) system is a user-centric framework that governs quality control across two dimensions. It operates horizontally across six core quality modules—software system, charging and battery swapping system, vehicle, smart hardware, electric drive system, and battery system. Simultaneously, it runs vertically through the entire product lifecycle, focusing on four key areas: early-stage design quality, partner quality, manufacturing and logistics quality, and user service quality. This integrated approach ensures that quality considerations, management, and targeted actions are embedded at every stage: from forward-looking planning during design, through stringent control of partners, technologies and processes in manufacturing, to continuously listening to user feedback and reiterating our processes after vehicle delivery. Driven by our core capabilities in vehicle lifecycle management, data intelligence, and fast closed-loop iteration, we are dedicated to advancing our user-centric ATQ system.</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Other Cooperation Arrangements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NIO China Strategic Investors</w:t>
      </w:r>
    </w:p>
    <w:p>
      <w:pPr>
        <w:spacing w:after="0" w:line="21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In February 2020, we entered into a collaboration framework agreement with the municipal government of Hefei, Anhui province, where our manufacturing hub is located. Subsequently from April to June 2020, we entered into definitive agreements, as amended and supplemented, or the NIO China Series A Agreements, for investments in NIO China with a group of investors, which we refer to as the Hefei Strategic Investors in this annual report. Under the NIO China Series A Agreements, the Hefei Strategic Investors agreed to invest an aggregate of RMB7 billion in cash into NIO Holding Co., Ltd. (previously known as NIO (Anhui) Holding Co., Ltd.), or NIO China, a legal entity that we wholly owned pre-investment. We agreed to inject our core businesses and assets in China, including vehicle research and development, supply chain, sales and services and NIO Power, collectively referred to as the Asset Consideration, valued at RMB17.77 billion in total, into NIO China, and invest RMB4.26 billion in cash into NIO China.</w:t>
      </w:r>
    </w:p>
    <w:p>
      <w:pPr>
        <w:spacing w:after="0" w:line="365"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Pursuant to the NIO China Series A Agreements, NIO China established its headquarters in the Hefei Economic and Technological Development Area for its business operation, research and development, sales and services, supply chain and manufacturing functions.</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In September 2020, February 2021 and September 2021, we, through one of our wholly-owned subsidiaries, purchased from certain Hefei Strategic Investors equity interests in NIO China and subscribed for newly increased registered capital of NIO China to increase our shareholding.</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From March to December 2024, we entered into a series of definitive agreements, or the NIO China Series B Agreements, for investments in NIO China with a group of investors whom we refer to as the NIO China Series B Investors. Under the NIO China Series B Agreements, the NIO China Series B Investors agreed to invest an aggregate of RMB3.3 billion in cash to subscribe for newly issued shares of NIO China, and we agreed to inject an aggregate of RMB10 billion in cash to subscribe for newly issued shares of NIO China, which we collectively refer to as the NIO China Series B Investment. As of the date of this annual report, the NIO China Series B Strategic Investors have injected an aggregate of RMB2.8 billion in cash into NIO China, while we have injected an aggregate of RMB10 billion in cash into NIO China. We and the NIO China Series B Strategic Investors are working towards the completion of the remaining portion of the investment. In July 2025, pursuant to the NIO China Series B Investment Agreements, we exercised our right to make an additional investment of RMB20 billion in NIO China at the same price and on the same terms of the NIO China Series B Investment. In December 2025 and January 2026, we entered into agreements with certain investors of NIO China to purchase their holdings of approximately 1.08% of the equity interest of NIO China, which will be settled in three tranches by September 2026, for a total consideration of no more than RMB1.002 billion. As of the date of this annual report, we hold a controlling equity interest of 91.8% in NIO China. Following the completion of the cash injection and equity purchases discussed above, we expect our controlling equity interest to increase to 92.3%.</w:t>
      </w:r>
    </w:p>
    <w:p>
      <w:pPr>
        <w:spacing w:after="0" w:line="371"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connection with the NIO China Series B Investment, we entered into a shareholders agreement, or the NIO China Series B Shareholders Agreement, which is currently effective and superseded a previous shareholder agreement. We entered into the NIO China Series B Shareholders Agreement with the NIO China Series B Investors and the other existing shareholders of NIO China, which we collectively referred to as NIO China Strategic Investors.</w:t>
      </w:r>
    </w:p>
    <w:p>
      <w:pPr>
        <w:spacing w:after="0" w:line="15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Pursuant to the NIO China Series B Shareholders Agreement, the NIO China Strategic Investors have certain minority shareholder rights, including, among others, the right of first refusal, co-sale right, preemptive right, anti-dilution right, redemption right, liquidation preference and conditional drag-along right. In particular, the following rights, among others, directly relate to obligations of NIO Inc.:</w:t>
      </w:r>
    </w:p>
    <w:p>
      <w:pPr>
        <w:spacing w:after="0" w:line="151" w:lineRule="exact"/>
        <w:rPr>
          <w:sz w:val="20"/>
          <w:szCs w:val="20"/>
          <w:color w:val="auto"/>
        </w:rPr>
      </w:pPr>
    </w:p>
    <w:p>
      <w:pPr>
        <w:jc w:val="both"/>
        <w:ind w:left="920" w:hanging="301"/>
        <w:spacing w:after="0" w:line="263" w:lineRule="auto"/>
        <w:tabs>
          <w:tab w:leader="none" w:pos="9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Redemption right</w:t>
      </w:r>
      <w:r>
        <w:rPr>
          <w:rFonts w:ascii="Times New Roman" w:cs="Times New Roman" w:eastAsia="Times New Roman" w:hAnsi="Times New Roman"/>
          <w:sz w:val="16"/>
          <w:szCs w:val="16"/>
          <w:color w:val="auto"/>
        </w:rPr>
        <w:t>. Any NIO China Strategic Investor may require us and/or our Hong Kong holding vehicles, the immediate 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companies of NIO China, to redeem all or a portion of the equity interests in NIO China held by such NIO China Strategic Investor upon the occurrence of certain triggering events at a redemption price equal to the higher of: </w:t>
      </w:r>
      <w:r>
        <w:rPr>
          <w:rFonts w:ascii="Times New Roman" w:cs="Times New Roman" w:eastAsia="Times New Roman" w:hAnsi="Times New Roman"/>
          <w:sz w:val="16"/>
          <w:szCs w:val="16"/>
          <w:i w:val="1"/>
          <w:iCs w:val="1"/>
          <w:color w:val="auto"/>
        </w:rPr>
        <w:t>(i)</w:t>
      </w:r>
      <w:r>
        <w:rPr>
          <w:rFonts w:ascii="Times New Roman" w:cs="Times New Roman" w:eastAsia="Times New Roman" w:hAnsi="Times New Roman"/>
          <w:sz w:val="16"/>
          <w:szCs w:val="16"/>
          <w:color w:val="auto"/>
        </w:rPr>
        <w:t xml:space="preserve"> the total investment amount paid by the NIO China Strategic Investor, plus an investment income calculated at a compound rate of 8.5% (with respect to NIO China Series A Investment) or 7.5% (with respect to NIO China Series B Investment) per annum; and </w:t>
      </w:r>
      <w:r>
        <w:rPr>
          <w:rFonts w:ascii="Times New Roman" w:cs="Times New Roman" w:eastAsia="Times New Roman" w:hAnsi="Times New Roman"/>
          <w:sz w:val="16"/>
          <w:szCs w:val="16"/>
          <w:i w:val="1"/>
          <w:iCs w:val="1"/>
          <w:color w:val="auto"/>
        </w:rPr>
        <w:t>(ii)</w:t>
      </w:r>
      <w:r>
        <w:rPr>
          <w:rFonts w:ascii="Times New Roman" w:cs="Times New Roman" w:eastAsia="Times New Roman" w:hAnsi="Times New Roman"/>
          <w:sz w:val="16"/>
          <w:szCs w:val="16"/>
          <w:color w:val="auto"/>
        </w:rPr>
        <w:t xml:space="preserve"> the value of the equity interests requested for redemption by the NIO China Strategic Investor, based on the post-investment valuation of NIO China and its affiliates and controlled entities in the most recent financing round. In particular, if NIO China fails to complete the listing application or to issue the material assets restructuring plan related to the qualified initial public offering before December 31, 2027, or fails to complete the qualified initial public offering before December 31, 2028, the NIO China Strategic Investors may request us to redeem the equity interest in NIO China then held by them.</w:t>
      </w:r>
    </w:p>
    <w:p>
      <w:pPr>
        <w:spacing w:after="0" w:line="162" w:lineRule="exact"/>
        <w:rPr>
          <w:rFonts w:ascii="Times New Roman" w:cs="Times New Roman" w:eastAsia="Times New Roman" w:hAnsi="Times New Roman"/>
          <w:sz w:val="16"/>
          <w:szCs w:val="16"/>
          <w:color w:val="auto"/>
        </w:rPr>
      </w:pPr>
    </w:p>
    <w:p>
      <w:pPr>
        <w:jc w:val="both"/>
        <w:ind w:left="920" w:hanging="301"/>
        <w:spacing w:after="0" w:line="268" w:lineRule="auto"/>
        <w:tabs>
          <w:tab w:leader="none" w:pos="9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Share transfer restriction</w:t>
      </w:r>
      <w:r>
        <w:rPr>
          <w:rFonts w:ascii="Times New Roman" w:cs="Times New Roman" w:eastAsia="Times New Roman" w:hAnsi="Times New Roman"/>
          <w:sz w:val="16"/>
          <w:szCs w:val="16"/>
          <w:color w:val="auto"/>
        </w:rPr>
        <w:t>. Before NIO China completes its potential qualified initial public offering, without the prior written consent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NIO China Strategic Investors, we may not directly or indirectly transfer, pledge or otherwise dispose of NIO China’s shares to a third party that may result in our shareholding in NIO China fall below 60%. A qualified initial public offering refers to NIO China’s shares being directly or indirectly listed on the Shanghai Stock Exchange, the Shenzhen Stock Exchange, or another overseas stock exchange approved by all shareholders of NIO China, through an initial public offering or a material assets restructuring with a listed company.</w:t>
      </w:r>
    </w:p>
    <w:p>
      <w:pPr>
        <w:spacing w:after="0" w:line="358" w:lineRule="exact"/>
        <w:rPr>
          <w:rFonts w:ascii="Times New Roman" w:cs="Times New Roman" w:eastAsia="Times New Roman" w:hAnsi="Times New Roman"/>
          <w:sz w:val="16"/>
          <w:szCs w:val="16"/>
          <w:color w:val="auto"/>
        </w:rPr>
      </w:pPr>
    </w:p>
    <w:p>
      <w:pPr>
        <w:jc w:val="both"/>
        <w:ind w:left="920" w:hanging="301"/>
        <w:spacing w:after="0" w:line="265" w:lineRule="auto"/>
        <w:tabs>
          <w:tab w:leader="none" w:pos="9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Liquidation preference</w:t>
      </w:r>
      <w:r>
        <w:rPr>
          <w:rFonts w:ascii="Times New Roman" w:cs="Times New Roman" w:eastAsia="Times New Roman" w:hAnsi="Times New Roman"/>
          <w:sz w:val="16"/>
          <w:szCs w:val="16"/>
          <w:color w:val="auto"/>
        </w:rPr>
        <w:t>. In the event that NIO China is liquidated, the NIO China Strategic Investors are guaranteed a minimum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return equal to their capital contribution in NIO China by the NIO China Strategic Investors plus an investment income calculated at a compound interest rate of 8.5% (with respect to NIO China Series A Investment) or 7.5% (with respect to NIO China Series B Investment) per annum based on the total amount of their capital contribution. If the total consideration received by the NIO China Strategic Investors in such liquidation events is not sufficient to meet the guaranteed minimum investment return, we undertake to compensate separately the shortfall to the NIO China Strategic Investors in cash. Therefore, we could potentially be liable for the full amount of the minimum investment return under the NIO China Series B Shareholders Agreement, as subsequently amended.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We maintain effective control over NIO China through our significant shareholdings and corresponding voting rights in NIO China. As of the date of this annual report, we hold 91.8% controlling equity interests and corresponding voting rights in NIO China. According to the NIO China Series B Shareholders Agreement and NIO China’s articles of association, certain significant corporate matters requiring shareholders’ approval by law that fall into the protective provisions at the board of directors level shall be approved by the board of directors of NIO China before being presented to the shareholders for approval. Resolutions of the shareholders involving such significant corporate matters may be passed by shareholders holding at least two thirds of all valid voting power, while resolutions involving other matters may be passed by shareholders holding at least half of all valid voting power. Considering our controlling equity interests and corresponding voting rights in NIO China, we have the power to approve all corporate matters that are required to be approved by NIO China’s shareholders.</w:t>
      </w:r>
    </w:p>
    <w:p>
      <w:pPr>
        <w:spacing w:after="0" w:line="16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also have effective control over the board of directors of NIO China through the majority representation and corresponding voting rights on its board. According to the NIO China Series B Shareholders Agreement, the current board of directors of NIO China consists of seven members, five of whom are designated by us and serve as directors or executive officers of the Company. The remaining two directors are designated by two of the NIO China Strategic Investors. Each of these two directors independently exercises voting rights on board matters without any act-in-concert arrangements between them or among the NIO China Strategic Investors. These two directors do not participate in the daily operations and management of NIO China outside of their board meeting participation. Moreover, if the aggregate equity holding of the NIO China Strategic Investors in NIO China is lower than 5%, the NIO China Strategic Investors shall not be entitled to nominate any directors.</w:t>
      </w:r>
    </w:p>
    <w:p>
      <w:pPr>
        <w:spacing w:after="0" w:line="162"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addition, a limited scope of significant corporate matters, such as changes in NIO China’s corporate structure, changes to its core business, and amendment to its articles of association, require the affirmative votes of three-fourths (3/4) of the directors for investor protection purposes, while the affirmative votes of two thirds of the directors are sufficient to approve certain corporate matters, such as the annual budget, the annual final accounts, and the appointment or removal of the CEO and CFO, in accordance with the NIO China Series B Shareholders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Battery Asset Company</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August 2020, we and the Battery Asset Company Investors jointly established the Battery Asset Company. We and the Initial BaaS Investors each invested RMB200 million and held 25% equity interests in the Battery Asset Company at its establishment. Thereafter, the Battery Asset Company entered into agreements with new and existing investors, including us, for additional financing. As of the date of this annual report, NIO China beneficially owns approximately 16.5% of the equity interests in the Battery Asset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Collaboration with McLaren Automotive</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On February 26, 2024, we entered into a technology license agreement with Forseven. Pursuant to the technology license agreement, we granted a non-exclusive and non-transferrable worldwide license to Forseven to use certain of our technical information, technical solutions, software and intellectual property rights related to or subsisting in our existing and future smart electric vehicle platforms within certain period. In exchange, we will receive technology license fees comprising (i) a non-refundable, fixed upfront license fee, and (ii) royalties determined based on the future sales of Forseven vehicles that use the licensed technologies, if any. In addition to the technology license agreement, we also entered into various service agreements to assist Forseven to develop vehicles based on the technology license agreement for pre-agreed fees.</w:t>
      </w:r>
    </w:p>
    <w:p>
      <w:pPr>
        <w:spacing w:after="0" w:line="16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On August 26, 2025, in light of an internal restructuring of Forseven’s corporate group which resulted in the business and assets of Forseven being transferred to McLaren Automotive, we entered into certain deeds of novation and variation such that McLaren Automotive has replaced Forseven under the technology license agreement and the related service agreements.</w:t>
      </w:r>
    </w:p>
    <w:p>
      <w:pPr>
        <w:spacing w:after="0" w:line="15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Unless terminated in accordance with provisions provided therein, the technology license agreement will remain valid until the end of production of McLaren Automotive vehicles that use licensed technologies (if the license is used for such purpose) or the expiration of McLaren Automotive’s obligation to provide after-sales services to its users (if the license is used for such purpose). Either party may terminate the technology license agreement if the other party commits a material breach which is irremediable or not remedied within 60 days after receiving notice, or if other customary conditions are met. We may also terminate the technology license agreement under certain conditions, including if a company that owns one or more automotive brands and sells vehicles under such brand(s) to the market obtains control of McLaren Automotive.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The automotive market is highly competitive, and we compete with both NEV and ICE vehicles across multiple market segments. The electric vehicle industry continues to evolve, driven by shifting market demands, supportive policies for new energy vehicles, the expansion of charging infrastructure, and advancements in electric powertrain, battery and assisted and intelligent driving technologies. As more traditional OEMs and other enterprises with strong financial, engineering, manufacturing, and marketing capabilities enter the market, competition is expected to further intensify. Key competitive factors in the industry include brand recognition, product offerings, pricing, technological innovation, product design and performance, product quality and safety, service and charging solutions, user experience, and manufacturing capacity and efficiency. Our competitive advantages in this dynamic landscape lie in our continuously evolving products tailored to better meet customer needs, ongoing advancements in proprietary software and hardware technologies, comprehensive power solutions encompassing battery swapping, as well as an exceptional user experience.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1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We have developed a number of proprietary systems and technologies. Since our inception, we have remained committed to innovation and have dedicated ourselves to investing in research and development of core technologies. We have strategically focused on building in-house capabilities, including battery swapping, assisted and intelligent driving, digital technologies, electric powertrain and battery, vehicle engineering and design, among others. As a result, our success depends, at least in part, on our ability to protect our core technology and intellectual property, including our registered patents for electric powertrain, battery and assisted and intelligent driving technologies, among others. To accomplish this, we adopted a protection approach that combines patent filings, trade secret protections (mainly through employee and third-party nondisclosure agreements and internal policies), copyright registrations and trademark filings to establish and protect our proprietary rights in our technology and brands. We will actively monitor and pursue claims against unauthorized use or exploitation of our intellectual property.</w:t>
      </w:r>
    </w:p>
    <w:p>
      <w:pPr>
        <w:spacing w:after="0" w:line="16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As of December 31, 2025, we had 6,404 issued patents and 3,246 patent applications pending, including around 40% relating to vehicle engineering and design, around 35% relating to battery swapping, battery and electric powertrain, and the remaining 25% relating to core electric vehicle technologies such as intelligent driving and digital technologies. In addition, we had 6,910 registered trademarks and 835 pending trademark applications in the United States, China, Europe and other jurisdictions. As of December 31, 2025, we also held or otherwise had the legal right to use 334 registered copyrights for software or works of art and approximately 939 registered domain names, including www.nio.io. We intend to continue to file additional patent applications with respect to our technology.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Social and Governance</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Since our inception, we have embraced the vision of Blue Sky Coming. We deeply understand that the smart electric vehicle industry plays a crucial role in driving the green and low-carbon transformation of the economy and society. Recognizing the importance of environmental, social, and corporate governance, or ESG, and firmly believing in creating sustainable value, we are committed to leveraging our technologies, products, and services to be a force for good in these areas.</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We have continually enhanced our ESG practice with an unwavering dedication to sustainable development, and have received, among others, the following recognitions in 2025. In February, the </w:t>
      </w:r>
      <w:r>
        <w:rPr>
          <w:rFonts w:ascii="Times New Roman" w:cs="Times New Roman" w:eastAsia="Times New Roman" w:hAnsi="Times New Roman"/>
          <w:sz w:val="16"/>
          <w:szCs w:val="16"/>
          <w:i w:val="1"/>
          <w:iCs w:val="1"/>
          <w:color w:val="auto"/>
        </w:rPr>
        <w:t>2025 Clean 200</w:t>
      </w:r>
      <w:r>
        <w:rPr>
          <w:rFonts w:ascii="Times New Roman" w:cs="Times New Roman" w:eastAsia="Times New Roman" w:hAnsi="Times New Roman"/>
          <w:sz w:val="16"/>
          <w:szCs w:val="16"/>
          <w:color w:val="auto"/>
        </w:rPr>
        <w:t>, which ranks the world’s largest 200 public companies by clean revenue, ranked us the 36th. In December, we were recognized as an annual exemplary company by the China Green Supply Chain Alliance and as an annual outstanding innovative company by the China Automobile Research Institute. Within the same month, our Circular Car Lab project also received the Automotive Sustaining Power Award 2025 at the 18th Annual International Automotive Technology Conference. These recognitions reflect our long-term efforts towards sustainable development.</w:t>
      </w:r>
    </w:p>
    <w:p>
      <w:pPr>
        <w:spacing w:after="0" w:line="16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are dedicated to fostering sustainable development through responsible governance. We have established a robust and efficient corporate governance structure, and have established the Nominating and ESG Committee under our board of directors, as well as the ESG Steering Team, to streamline our ESG initiatives. We release ESG reports annually on our website, detailing our latest ESG policies and sustainability initiatives.</w:t>
      </w:r>
    </w:p>
    <w:p>
      <w:pPr>
        <w:spacing w:after="0" w:line="15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With the guidelines from the United Nations Global Compact, United Nations Sustainable Development Goals, and ESG Sustainability related regulations, we have identified the following three pillars in our ESG initiatives, which have been integrated into our business operations and corporate governance.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Sustainability</w:t>
      </w:r>
    </w:p>
    <w:p>
      <w:pPr>
        <w:spacing w:after="0" w:line="216" w:lineRule="exact"/>
        <w:rPr>
          <w:sz w:val="20"/>
          <w:szCs w:val="20"/>
          <w:color w:val="auto"/>
        </w:rPr>
      </w:pPr>
    </w:p>
    <w:p>
      <w:pPr>
        <w:jc w:val="both"/>
        <w:ind w:firstLine="594"/>
        <w:spacing w:after="0" w:line="291" w:lineRule="auto"/>
        <w:rPr>
          <w:sz w:val="20"/>
          <w:szCs w:val="20"/>
          <w:color w:val="auto"/>
        </w:rPr>
      </w:pPr>
      <w:r>
        <w:rPr>
          <w:rFonts w:ascii="Times New Roman" w:cs="Times New Roman" w:eastAsia="Times New Roman" w:hAnsi="Times New Roman"/>
          <w:sz w:val="16"/>
          <w:szCs w:val="16"/>
          <w:color w:val="auto"/>
        </w:rPr>
        <w:t>Focusing on low-carbon development, ecological protection and environmental management, we make efforts to put the concept of sustainability into practice through the whole lifecycle of the green industry chain and build a green eco-system with upstream and downstream partners.</w:t>
      </w:r>
    </w:p>
    <w:p>
      <w:pPr>
        <w:spacing w:after="0" w:line="34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At the product design and development stage, based on the philosophy of design for sustainability, we conduct comprehensive research on the availability and application of low-carbon technologies and materials, and apply them on our products to reduce the carbon emission and energy consumption of our product portfolio. During the manufacturing process, we continue to improve and carry forward its green manufacturing system by carrying out intensive green space construction, empowering digital management and committing to renewable energy utilization. In addition, we implemented water, aluminum and other scrap material recycling in our plant and aim to further expand our recycling efforts throughout the product lifecycle. In February 2026, our factory was designated as a national Green Factory by the Ministry of Industry and Information Technology, signifying a high recognition of our contribution to promoting green manufacturing and low-carbon economic development.</w:t>
      </w:r>
    </w:p>
    <w:p>
      <w:pPr>
        <w:spacing w:after="0" w:line="16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Moreover, we have initiated a series of activities together with different stakeholders to protect the environment and support the broader community. Working with the World Wide Fund for Nature and the United Nations Development Programme, we have supported 18 ecosystem co-conservation initiatives across the world by the end of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Social Sustainability</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are fully committed to being socially responsible and making a positive impact on the society. To inform our supply chain partner selections, in 2025, we developed a comprehensive set of evaluation criteria dedicated to the sustainability of our business partners, with over 100 criteria covering environmental protection, human rights protection, recycling and innovation, third-party disclosures, among others.</w:t>
      </w:r>
    </w:p>
    <w:p>
      <w:pPr>
        <w:spacing w:after="0" w:line="153"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have built a user community extending from personal growth to community development and user co-creation. To further understand the demands of users and improve our service quality, NIO has set up a multi-dimensional satisfaction survey mechanism.</w:t>
      </w:r>
    </w:p>
    <w:p>
      <w:pPr>
        <w:spacing w:after="0" w:line="137"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As a member of the United Nations Global Compact, we are committed to fulfilling the standards and requirements of the Universal Declaration of Human Rights and the Declaration of the International Labor Organization on Fundamental Principles and Rights at Work, and have integrated them into internal systems and polices. We focus on identifying and attracting talent from diverse backgrounds across the globe and aim to facilitate the long-term development of employees through a value-driven mechanism based on NIO value system. We have established a unique career development system, NIO Career Path system, providing different development paths for employees in different positions. On top of our employee stock ownership plan and compulsory benefits and insurances covering all employees, we also offer our employees various supplementary benefits and organize various employee activities to enrich employees’ lives and improve their wellbeing.</w:t>
      </w:r>
    </w:p>
    <w:p>
      <w:pPr>
        <w:spacing w:after="0" w:line="162" w:lineRule="exact"/>
        <w:rPr>
          <w:sz w:val="20"/>
          <w:szCs w:val="20"/>
          <w:color w:val="auto"/>
        </w:rPr>
      </w:pPr>
    </w:p>
    <w:p>
      <w:pPr>
        <w:jc w:val="both"/>
        <w:ind w:firstLine="594"/>
        <w:spacing w:after="0" w:line="267" w:lineRule="auto"/>
        <w:rPr>
          <w:sz w:val="20"/>
          <w:szCs w:val="20"/>
          <w:color w:val="auto"/>
        </w:rPr>
      </w:pPr>
      <w:r>
        <w:rPr>
          <w:rFonts w:ascii="Times New Roman" w:cs="Times New Roman" w:eastAsia="Times New Roman" w:hAnsi="Times New Roman"/>
          <w:sz w:val="16"/>
          <w:szCs w:val="16"/>
          <w:color w:val="auto"/>
        </w:rPr>
        <w:t>We have established various corporate social responsibility initiatives to comprehensively give back to the communities and to create value for the society. We have been the sponsor of the Formula Student Electric China, a competition event where college students design and race electric racing vehicles, for 11 consecutive years, allowing us to nurture the young talent for the future of the automotive industry. In addition, NIO Users Trust has been making continuous contributions to public welfare projects, including rural revitalization, emergency assistance, user care and charity donations, and collaborating with third-party organizations in various projects with the goal to achieve a balance between social benefits and economic development.</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Governance</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We strictly abide by all laws and regulations and aim to protect the rights and interests of shareholders, enhance corporate value, guide the formulation of business strategies and policies, and increase corporate transparency. To promote our sustainable development and strengthen the effectiveness of governance, we appropriately balance the diversity among board members and management team. As a vital part of our company, our management and board members contribute their insights into the strategic decision-making process by drawing on their gender perspective and diversified industry and technical background. We also aim to develop a pipeline of potential female successors to the Board to increase the percentage of female Board representatives in the coming years.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As a responsible company, we serve the long-term value of our business and act with integrity and ethics. We established a comprehensive internal ethics and compliance system and polices to manage our business behavior and prohibit corruption, bribery, extortion, fraud, money laundering, monopoly and unfair competition, and insider trading. For enabling a comprehensive supervision of ethics, we set up the reporting mechanism with whistle-blower protection. In addition, we carry out integrity training for all employees every year, and implement standardized management of the performance of their duties.</w:t>
      </w:r>
    </w:p>
    <w:p>
      <w:pPr>
        <w:spacing w:after="0" w:line="16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To provide solid support for business development, we have established a comprehensive information security management system, and has been improving the system constantly in line with applicable laws and regulations in the countries and regions where we conduct business, supporting smooth business operations of our company and protecting the security of user information.</w:t>
      </w:r>
    </w:p>
    <w:p>
      <w:pPr>
        <w:spacing w:after="0" w:line="15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To support our mission and advance our ESG initiatives, Nominating and ESG Committee oversees and manages our ESG strategies, policies, and performance, and reports to our board of directors regarding the ESG progress to align the ESG related affairs with the overall strategy of our company. The ESG steering team under the Nominating and ESG Committee takes charges of the implementation of ESG initiatives and projects, and leads the ESG and Sustainability Department and relevant personnel to execute ESG-related specific measures.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 the past few years, demand for new vehicles in the automotive industry was generally higher in the fourth quarter. Such variation may or may not continue in the future. Our limited operating history makes it difficult for us to judge the exact nature or extent of the seasonality of our business. Also, any unusually severe weather conditions in some markets may impact demand for our vehicles.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maintain various insurance policies required by PRC laws and regulations to safeguard against risks and unexpected events. We consider that the coverage from the insurance policies that we maintain is in line with the industry norm. For the years ended December 31, 2023, 2024 and 2025, we have not made, nor been the subject of, any material insurance claim.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This section sets forth a summary of the most significant rules and regulations that affect our business activities in China.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and Approvals Covering the Manufacturing of New Energy Vehicles</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The NDRC promulgated the Provisions on Administration of Investment in Automobile Industry, which took effect on January 10, 2019. According to these provisions, enterprises are encouraged to, through equity investment and cooperation in production capacity, enter into strategic cooperation relationship, carry out joint research and development of products, organize manufacturing activities jointly and increase industrial concentration. The advantageous resources in production, high learning, research, application and other areas shall be integrated and core enterprises in automobile industry shall be propelled to form industrial alliance and industrial consortium. The vehicle investment projects shall be filed with the provincial development and reform authorities.</w:t>
      </w:r>
    </w:p>
    <w:p>
      <w:pPr>
        <w:spacing w:after="0" w:line="163"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According to the Regulations on the Administration of Newly Established Pure Electric Passenger Vehicle Enterprises, which took effect on July 10, 2015, the NDRC and the Ministry of Industry and Information Technology are responsible for supervising and administering investment projects of newly established enterprises, as well as overseeing the access of vehicle manufacturers and products within the scope of their respective duties. Before our vehicles can be added to the Announcement of Vehicle Manufacturers and Products, or the Manufacturers and Products Announcement, issued by the Ministry of Industry and Information Technology, a procedure that is required in order for our vehicles to be approved for manufacture and sale in China, our vehicles must meet the applicable requirements set forth in laws and regulations. Such laws and regulations include, among others, the Administrative Rules on the Admission of New Energy Vehicle Manufacturers and Products, which took effect on July 1, 2017 and was amended on July 24, 2020, and the Administrative Rules on the Admission of Passenger Vehicles Manufacturer and Products, which took effect on January 1, 2012, and pass the review by the Ministry of Industry and Information Technology. NEVs that have entered into the Manufacturers and Products Announcement are required to undergo regular inspection every three years by the Ministry of Industry and Information Technology so that it may determine whether the vehicles remain qualified to stay in the Manufacturers and Products Announcement.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According to the Administrative Rules on the Admission of New Energy Vehicle Manufacturers and Products, in order for our vehicles to enter into the Manufacturers and Products Announcement, our vehicles must satisfy certain conditions, including, among others, meeting certain standards set out therein, meeting other safety and technical requirements specified by the Ministry of Industry and Information Technology, and passing inspections conducted by a state-recognized testing institution. Once such conditions for vehicles are met and the application has been approved by the Ministry of Industry and Information Technology, the qualified vehicles are published in the Manufacturers and Products Announcement by the Ministry of Industry and Information Technology. Where any new energy vehicle manufacturer manufactures or sells any model of a new energy vehicle without the prior approval of the competent authorities, including being published in the Manufacturers and Products Announcement by the Ministry of Industry and Information Technology, it may be subject to penalties, including fines, forfeiture of any illegally manufactured and sold vehicles and spare parts and revocation of its business licenses.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Compulsory Product Certification</w:t>
      </w:r>
    </w:p>
    <w:p>
      <w:pPr>
        <w:spacing w:after="0" w:line="214"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 xml:space="preserve">Under the </w:t>
      </w:r>
      <w:r>
        <w:rPr>
          <w:rFonts w:ascii="Times New Roman" w:cs="Times New Roman" w:eastAsia="Times New Roman" w:hAnsi="Times New Roman"/>
          <w:sz w:val="16"/>
          <w:szCs w:val="16"/>
          <w:i w:val="1"/>
          <w:iCs w:val="1"/>
          <w:color w:val="auto"/>
        </w:rPr>
        <w:t>Administrative Regulations on Compulsory Product Certification</w:t>
      </w:r>
      <w:r>
        <w:rPr>
          <w:rFonts w:ascii="Times New Roman" w:cs="Times New Roman" w:eastAsia="Times New Roman" w:hAnsi="Times New Roman"/>
          <w:sz w:val="16"/>
          <w:szCs w:val="16"/>
          <w:color w:val="auto"/>
        </w:rPr>
        <w:t xml:space="preserve"> which was promulgated by the General Administration of Quality Supervision, Inspection and Quarantine, which has been merged into the State Administration for Market Regulation, on July 3, 2009 and was latest amended on September 29, 2022 and took effect on November 1, 2022, and the </w:t>
      </w:r>
      <w:r>
        <w:rPr>
          <w:rFonts w:ascii="Times New Roman" w:cs="Times New Roman" w:eastAsia="Times New Roman" w:hAnsi="Times New Roman"/>
          <w:sz w:val="16"/>
          <w:szCs w:val="16"/>
          <w:i w:val="1"/>
          <w:iCs w:val="1"/>
          <w:color w:val="auto"/>
        </w:rPr>
        <w:t>List of the First Batch of Products Subject to Compulsory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Product Certification </w:t>
      </w:r>
      <w:r>
        <w:rPr>
          <w:rFonts w:ascii="Times New Roman" w:cs="Times New Roman" w:eastAsia="Times New Roman" w:hAnsi="Times New Roman"/>
          <w:sz w:val="16"/>
          <w:szCs w:val="16"/>
          <w:color w:val="auto"/>
        </w:rPr>
        <w:t>which was promulgated in association with the State Certification and Accreditation Administration Committee on December 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2001 and took effect on May 1, 2002, the State Administration for Market Regulation is responsible for the regulation and quality certification of automobiles. Automobiles and parts and components must not be sold, exported or used in operating activities until they are certified by designated certification authorities of the PRC as qualified products and granted certification marks.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Parallel Credits Policy on Vehicle Manufacturers and Importers</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 xml:space="preserve">On September 27, 2017, the Ministry of Industry and Information Technology, the Ministry of Finance, the Ministry of Commerce, the General Administration of Customs of PRC and the State Administration for Market Regulation jointly promulgated the </w:t>
      </w:r>
      <w:r>
        <w:rPr>
          <w:rFonts w:ascii="Times New Roman" w:cs="Times New Roman" w:eastAsia="Times New Roman" w:hAnsi="Times New Roman"/>
          <w:sz w:val="16"/>
          <w:szCs w:val="16"/>
          <w:i w:val="1"/>
          <w:iCs w:val="1"/>
          <w:color w:val="auto"/>
        </w:rPr>
        <w:t>Measures for the Parallel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Administration of the Average Fuel Consumption and New Energy Vehicle Credits of Passenger Vehicle Enterprises</w:t>
      </w:r>
      <w:r>
        <w:rPr>
          <w:rFonts w:ascii="Times New Roman" w:cs="Times New Roman" w:eastAsia="Times New Roman" w:hAnsi="Times New Roman"/>
          <w:sz w:val="16"/>
          <w:szCs w:val="16"/>
          <w:color w:val="auto"/>
        </w:rPr>
        <w:t>, which were most recently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amended on June 29, 2023 and took effect on August 1, 2023. Under these measures, each of the vehicle manufacturers and vehicle importers above a certain scale is required to, among other things, maintain its new energy vehicles credits, or the NEV credits, and corporate average fuel consumption credits, above zero, regardless of whether NEVs or ICE vehicles are manufactured or imported by it, and NEV credits can be earned only by manufacturing or importing NEVs. Therefore, NEV manufacturers will enjoy preferences in obtaining and calculating NEV credits.</w:t>
      </w:r>
    </w:p>
    <w:p>
      <w:pPr>
        <w:spacing w:after="0" w:line="162"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NEV credits are equal to the aggregate actual scores of a vehicle manufacturer or a vehicle importer minus its aggregate targeted scores. According to these measures, the actual scores shall be calculated by multiplying the score of each new energy vehicle model, which depends on various metrics such as the driving range, battery energy efficiency and the rated power of fuel cell systems, and is calculated based on formula published by the Ministry of Industry and Information Technology (in the case of a battery electric vehicle, the NEV credit of each vehicle is calculated by multiplying 0.0034 by the vehicle’s mileage, adding 0.2 to the result, and then multiplying the total by the mileage adjustment coefficient, battery energy density adjustment coefficient, and electricity consumption coefficient), by the respective production or import volume, while the targeted scores shall be calculated by multiplying the annual production or import volume of traditional ICEs of a vehicle manufacturer or importer by the NEV credit ratio set by the Ministry of Industry and Information Technology. The NEV credit ratios are 28% and 38% for the years of 2024 and 2025, respectively, increasing from 16% and 18% for the years of 2022 and 2023, respectively.</w:t>
      </w:r>
    </w:p>
    <w:p>
      <w:pPr>
        <w:spacing w:after="0" w:line="16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Additionally, the Ministry of Industry and Information Technology will establish a NEV credits pool for passenger vehicle enterprises to store or withdraw positive NEV credits, and decide whether to open such pool before July 30 each year based on the average fuel consumption of passenger vehicle enterprises across the country and the supply and demand of NEV credits. The positive NEV credits stored in the credit pool do not have a carryover ratio requirement and are valid for five years. Excess positive NEV credits, or the automotive regulatory credits, are tradable and may be sold to other enterprises through a credit trading scheme established by the Ministry of Industry and Information Technology while excess positive corporate average fuel consumption credits can only be carried forward or transferred among related parties. Negative NEV credits can be offset by purchasing automotive regulatory credits from other manufacturers or importers.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According to these measures, the requirements on the NEV credits shall be considered for the entry approval of passenger vehicle manufacturers and products by the regulators. If a passenger vehicle enterprise fails to offset its negative credits, its new products, if the fuel consumption of which does not reach the target fuel consumption value for a certain vehicle models as specified in the </w:t>
      </w:r>
      <w:r>
        <w:rPr>
          <w:rFonts w:ascii="Times New Roman" w:cs="Times New Roman" w:eastAsia="Times New Roman" w:hAnsi="Times New Roman"/>
          <w:sz w:val="16"/>
          <w:szCs w:val="16"/>
          <w:i w:val="1"/>
          <w:iCs w:val="1"/>
          <w:color w:val="auto"/>
        </w:rPr>
        <w:t>Evaluation Methods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Indicators for the Fuel Consumption of Passenger Vehicles</w:t>
      </w:r>
      <w:r>
        <w:rPr>
          <w:rFonts w:ascii="Times New Roman" w:cs="Times New Roman" w:eastAsia="Times New Roman" w:hAnsi="Times New Roman"/>
          <w:sz w:val="16"/>
          <w:szCs w:val="16"/>
          <w:color w:val="auto"/>
        </w:rPr>
        <w:t>, it will not be listed in the</w:t>
      </w:r>
      <w:r>
        <w:rPr>
          <w:rFonts w:ascii="Times New Roman" w:cs="Times New Roman" w:eastAsia="Times New Roman" w:hAnsi="Times New Roman"/>
          <w:sz w:val="16"/>
          <w:szCs w:val="16"/>
          <w:i w:val="1"/>
          <w:iCs w:val="1"/>
          <w:color w:val="auto"/>
        </w:rPr>
        <w:t xml:space="preserve"> Announcement of the Vehicle Manufacturers and Products </w:t>
      </w:r>
      <w:r>
        <w:rPr>
          <w:rFonts w:ascii="Times New Roman" w:cs="Times New Roman" w:eastAsia="Times New Roman" w:hAnsi="Times New Roman"/>
          <w:sz w:val="16"/>
          <w:szCs w:val="16"/>
          <w:color w:val="auto"/>
        </w:rPr>
        <w:t>issued by the Ministry of Industry and Information Technology, or will not be granted the compulsory product certification, and the vehicle enterprises may be subject to penalties according to the applicable rules and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Electric Vehicle Charging Infrastructure</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Pursuant to the Guidance Opinions of the General Office of the State Council on Accelerating the Promotion and Application of the New Energy Vehicles, which took effect on July 14, 2014, the Guidance on the Development of Electric Vehicle Charging Infrastructure (2015-2020), which took effect on October 9, 2015, and the Development Plan for the New-energy Vehicle Industry (2021-2035), which took effect on October 20, 2020, the PRC government encourages the construction and development of charging infrastructure for electric vehicles, such as charging stations and battery swap stations, and only centralized charging and battery replacement power stations are required to obtain approvals for construction permits from the authorities.</w:t>
      </w:r>
    </w:p>
    <w:p>
      <w:pPr>
        <w:spacing w:after="0" w:line="161"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Circular on Accelerating the Development of Electrical Vehicle Charging Infrastructures in Residential Areas</w:t>
      </w:r>
      <w:r>
        <w:rPr>
          <w:rFonts w:ascii="Times New Roman" w:cs="Times New Roman" w:eastAsia="Times New Roman" w:hAnsi="Times New Roman"/>
          <w:sz w:val="16"/>
          <w:szCs w:val="16"/>
          <w:color w:val="auto"/>
        </w:rPr>
        <w:t xml:space="preserve"> promulgated on July 25, 2016 provides that the operators of electrical vehicle charging and battery swap infrastructure are required to be covered under liability insurance policies to protect the purchasers of electric vehicles, covering the safety of electric vehicle charging.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Automobile Sales</w:t>
      </w:r>
    </w:p>
    <w:p>
      <w:pPr>
        <w:spacing w:after="0" w:line="214" w:lineRule="exact"/>
        <w:rPr>
          <w:sz w:val="20"/>
          <w:szCs w:val="20"/>
          <w:color w:val="auto"/>
        </w:rPr>
      </w:pPr>
    </w:p>
    <w:p>
      <w:pPr>
        <w:jc w:val="both"/>
        <w:ind w:firstLine="594"/>
        <w:spacing w:after="0" w:line="272"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Administrative Measures on Automobile Sales</w:t>
      </w:r>
      <w:r>
        <w:rPr>
          <w:rFonts w:ascii="Times New Roman" w:cs="Times New Roman" w:eastAsia="Times New Roman" w:hAnsi="Times New Roman"/>
          <w:sz w:val="16"/>
          <w:szCs w:val="16"/>
          <w:color w:val="auto"/>
        </w:rPr>
        <w:t xml:space="preserve"> promulgated by the Ministry of Commerce, April 5, 2017, which took effect on July 1, 2017, automobile suppliers and dealers are required to file with authorities through the information system for the national automobile circulation operated by the competent commerce department within 90 days after the receipt of a business license. Where there is any change to the information concerned, automobile suppliers and dealers must update such information within 30 days after such change.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the Recall of Defective Automobiles</w:t>
      </w:r>
    </w:p>
    <w:p>
      <w:pPr>
        <w:spacing w:after="0" w:line="214"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 xml:space="preserve">On October 22, 2012, the State Council promulgated the </w:t>
      </w:r>
      <w:r>
        <w:rPr>
          <w:rFonts w:ascii="Times New Roman" w:cs="Times New Roman" w:eastAsia="Times New Roman" w:hAnsi="Times New Roman"/>
          <w:sz w:val="16"/>
          <w:szCs w:val="16"/>
          <w:i w:val="1"/>
          <w:iCs w:val="1"/>
          <w:color w:val="auto"/>
        </w:rPr>
        <w:t>Administrative Provisions on Defective Automotive Product Recalls</w:t>
      </w:r>
      <w:r>
        <w:rPr>
          <w:rFonts w:ascii="Times New Roman" w:cs="Times New Roman" w:eastAsia="Times New Roman" w:hAnsi="Times New Roman"/>
          <w:sz w:val="16"/>
          <w:szCs w:val="16"/>
          <w:color w:val="auto"/>
        </w:rPr>
        <w:t>, which took effect on January 1, 2013 and were amended on March 2, 2019. The product quality supervision department of the State Council is responsible for the supervision and administration of recalls of defective automotive products nationwide. Pursuant to the administrative provisions, manufacturers of automobile products are required to take measures to eliminate defects in products they sell. A manufacturer must recall all defective automobile products. Failure to recall such products may result in an order to recall the defective products from the quality supervisory authority of the State Council. If any operator conducting sales, leasing, or repair of vehicles discovers any defect in automobile products, it must cease to sell, lease or use the defective products and must assist manufacturers in the recall of those products. Manufacturers must recall their products through publicly available channels and publicly announce the defects. Manufacturers must take measures to eliminate or cure defects, including rectification, identification, modification, replacement or return of the products. Manufacturers that attempt to conceal defects or do not recall defective automobile products in accordance with regulations will be subject to penalties, including fines, forfeiture of any income earned in violation of law and revocation of licenses.</w:t>
      </w:r>
    </w:p>
    <w:p>
      <w:pPr>
        <w:spacing w:after="0" w:line="368"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Implementation Rules on the Administrative Provisions on Defective Automotive Product Recalls</w:t>
      </w:r>
      <w:r>
        <w:rPr>
          <w:rFonts w:ascii="Times New Roman" w:cs="Times New Roman" w:eastAsia="Times New Roman" w:hAnsi="Times New Roman"/>
          <w:sz w:val="16"/>
          <w:szCs w:val="16"/>
          <w:color w:val="auto"/>
        </w:rPr>
        <w:t>, which took effect on January 1, 2016 and was latest amended on October 23, 2020, if a manufacturer is aware of any potential defect in its automobiles, it must investigate in a timely manner and report the results of such investigation to the State Administration for Market Regulation. Where any defect is found during the investigations, the manufacturer must cease to manufacture, sell, or import the automobile products and recall such products in accordance with applicable laws and regulations.</w:t>
      </w:r>
    </w:p>
    <w:p>
      <w:pPr>
        <w:spacing w:after="0" w:line="157"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On November 23, 2020, the State Administration for Market Regulation issued the </w:t>
      </w:r>
      <w:r>
        <w:rPr>
          <w:rFonts w:ascii="Times New Roman" w:cs="Times New Roman" w:eastAsia="Times New Roman" w:hAnsi="Times New Roman"/>
          <w:sz w:val="16"/>
          <w:szCs w:val="16"/>
          <w:i w:val="1"/>
          <w:iCs w:val="1"/>
          <w:color w:val="auto"/>
        </w:rPr>
        <w:t>Circular on Further Improving the Regulation of Recall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Automobile with Over-the-Air (OTA) Technology</w:t>
      </w:r>
      <w:r>
        <w:rPr>
          <w:rFonts w:ascii="Times New Roman" w:cs="Times New Roman" w:eastAsia="Times New Roman" w:hAnsi="Times New Roman"/>
          <w:sz w:val="16"/>
          <w:szCs w:val="16"/>
          <w:color w:val="auto"/>
        </w:rPr>
        <w:t>, pursuant to which automobiles manufacturers that provide technical services through OTA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to complete filing with the State Administration for Market Regulation and those who have provided such services through OTA must complete such filing before December 31, 2020. In addition, if an automaker uses OTA technology to eliminate defects and recalls its defective products, it must make a recall plan and complete a filing with the State Administration for Market Regulation.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Circular on Further Strengthening the Admission, Recall, and Online Software Update Management for Intelligent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Connected Vehicles </w:t>
      </w:r>
      <w:r>
        <w:rPr>
          <w:rFonts w:ascii="Times New Roman" w:cs="Times New Roman" w:eastAsia="Times New Roman" w:hAnsi="Times New Roman"/>
          <w:sz w:val="16"/>
          <w:szCs w:val="16"/>
          <w:color w:val="auto"/>
        </w:rPr>
        <w:t>jointly issued by the Ministry of Industry and Information Technology and the State Administration for Market Regulation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February 25, 2025, automobile manufacturers shall proactively assume the primary responsibility for product quality and safety, and enhance their capabilities relevant to the research and development and production of intelligent connected vehicle products and the conduct of OTA upgrading activities. For OTA upgrading activities that do not involve changes in the main technical parameters of products, enterprises can implement the upgrade after completing a required filing; in cases where changes in the main technical parameters of products are involved, enterprises shall not implement the upgrade until they have obtained a permit for the change of the product parameters and completed a required filing. OTA upgrading activities involving the autonomous driving function of automobiles shall obtain a corresponding permit in accordance with relevant provisions.</w:t>
      </w:r>
    </w:p>
    <w:p>
      <w:pPr>
        <w:spacing w:after="0" w:line="165"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 xml:space="preserve">On August 13, 2025, the State Administration for Market Regulation and the Ministry of Industry and Information Technology jointly issued the </w:t>
      </w:r>
      <w:r>
        <w:rPr>
          <w:rFonts w:ascii="Times New Roman" w:cs="Times New Roman" w:eastAsia="Times New Roman" w:hAnsi="Times New Roman"/>
          <w:sz w:val="16"/>
          <w:szCs w:val="16"/>
          <w:i w:val="1"/>
          <w:iCs w:val="1"/>
          <w:color w:val="auto"/>
        </w:rPr>
        <w:t>Circular of the State Administration for Market Regulation and the Ministry of Industry and Information Technology on Strengthening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Supervision and Management of Product Recalls, Production Consistency, and Standardizing Publicity for Intelligent Connected New Energy Vehicles (Draft for Comment)</w:t>
      </w:r>
      <w:r>
        <w:rPr>
          <w:rFonts w:ascii="Times New Roman" w:cs="Times New Roman" w:eastAsia="Times New Roman" w:hAnsi="Times New Roman"/>
          <w:sz w:val="16"/>
          <w:szCs w:val="16"/>
          <w:color w:val="auto"/>
        </w:rPr>
        <w:t>, which explicitly stipulates that enterprises shall develop and implement safety-priority functions for driver monitoring,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warning, and emergency handling, while providing comprehensive safety prompts and instructions for combined driver assistance systems to prevent drivers from misusing such systems as autonomous driving functions. Furthermore, where safety prompts or instructions are inadequate, market regulation authorities may mandate improvements through product recalls, and enterprises must strictly comply with the management requirements of the </w:t>
      </w:r>
      <w:r>
        <w:rPr>
          <w:rFonts w:ascii="Times New Roman" w:cs="Times New Roman" w:eastAsia="Times New Roman" w:hAnsi="Times New Roman"/>
          <w:sz w:val="16"/>
          <w:szCs w:val="16"/>
          <w:i w:val="1"/>
          <w:iCs w:val="1"/>
          <w:color w:val="auto"/>
        </w:rPr>
        <w:t>Circular on Further Strengthening the Admission, Recall, and Online Software Update Management for Intelligent Connected Vehicles</w:t>
      </w:r>
      <w:r>
        <w:rPr>
          <w:rFonts w:ascii="Times New Roman" w:cs="Times New Roman" w:eastAsia="Times New Roman" w:hAnsi="Times New Roman"/>
          <w:sz w:val="16"/>
          <w:szCs w:val="16"/>
          <w:color w:val="auto"/>
        </w:rPr>
        <w:t xml:space="preserve"> and relevant OTA laws and regulations. Enterprises shall ensure that intelligent connected new energy vehicles remain consistent with approved specifications without concealing defects through OTA updates and bear full responsibility for product safety.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Product Liability</w:t>
      </w:r>
    </w:p>
    <w:p>
      <w:pPr>
        <w:spacing w:after="0" w:line="214"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Product Quality Law of the PRC</w:t>
      </w:r>
      <w:r>
        <w:rPr>
          <w:rFonts w:ascii="Times New Roman" w:cs="Times New Roman" w:eastAsia="Times New Roman" w:hAnsi="Times New Roman"/>
          <w:sz w:val="16"/>
          <w:szCs w:val="16"/>
          <w:color w:val="auto"/>
        </w:rPr>
        <w:t>, promulgated on February 22, 1993 and latest amended on December 29, 2018, a manufacturer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make a claim for compensation from the producer or the seller of the product. Producers and sellers of non-compliant products may be ordered to cease the production or sale of the products and could be subject to confiscation of the products and/or fines. Earnings from sales in contravention of such standards or requirements may also be confiscated, and in severe cases, an offender’s business license may be revoked.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Favorable Government Policies Relating to New Energy Vehicles in the PRC</w:t>
      </w:r>
    </w:p>
    <w:p>
      <w:pPr>
        <w:spacing w:after="0" w:line="214"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 xml:space="preserve">On November 2, 2020, the State Council issued the </w:t>
      </w:r>
      <w:r>
        <w:rPr>
          <w:rFonts w:ascii="Times New Roman" w:cs="Times New Roman" w:eastAsia="Times New Roman" w:hAnsi="Times New Roman"/>
          <w:sz w:val="16"/>
          <w:szCs w:val="16"/>
          <w:i w:val="1"/>
          <w:iCs w:val="1"/>
          <w:color w:val="auto"/>
        </w:rPr>
        <w:t>Development Plan for the New-energy Vehicle Industry (2021-2035)</w:t>
      </w:r>
      <w:r>
        <w:rPr>
          <w:rFonts w:ascii="Times New Roman" w:cs="Times New Roman" w:eastAsia="Times New Roman" w:hAnsi="Times New Roman"/>
          <w:sz w:val="16"/>
          <w:szCs w:val="16"/>
          <w:color w:val="auto"/>
        </w:rPr>
        <w:t xml:space="preserve">, in order to boost the high-quality development of NEVs from 2021 to 2035. The development plan is implemented with a view to achieve the following goals: (i) by 2025, the average power consumption of NEVs will drop to 12.0 kWh per 100 kilometers. The sales volume of NEVs will reach around 20% of the total sales volume of new vehicles, and highly autonomous vehicles will achieve commercial applications in limited areas and specific scenarios; (ii) by 2035, pure electric vehicles shall become the mainstream of new vehicles for sale. Vehicle use in public areas shall achieve full electrification, fuel cell vehicles shall achieve commercialized application, and highly autonomous vehicles shall achieve large-scale application, in order to effectively promote the improvement of energy saving and emission reduction level and social operation efficiency. On December 27, 2023, the NDRC issued the </w:t>
      </w:r>
      <w:r>
        <w:rPr>
          <w:rFonts w:ascii="Times New Roman" w:cs="Times New Roman" w:eastAsia="Times New Roman" w:hAnsi="Times New Roman"/>
          <w:sz w:val="16"/>
          <w:szCs w:val="16"/>
          <w:i w:val="1"/>
          <w:iCs w:val="1"/>
          <w:color w:val="auto"/>
        </w:rPr>
        <w:t>Guidance Catalog for Industrial Structural Adjustment (2024 Edition)</w:t>
      </w:r>
      <w:r>
        <w:rPr>
          <w:rFonts w:ascii="Times New Roman" w:cs="Times New Roman" w:eastAsia="Times New Roman" w:hAnsi="Times New Roman"/>
          <w:sz w:val="16"/>
          <w:szCs w:val="16"/>
          <w:color w:val="auto"/>
        </w:rPr>
        <w:t>, which took effect on February 1, 2024, and pursuant to which, electric vehicle charging facilities and key components of new energy vehicles are categorized as encouraged projects.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 Subsidies for Purchases of New Energy Vehicles</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 xml:space="preserve">On April 22, 2015, the Ministry of Finance, the Ministry of Science and Technology, the Ministry of Industry and Information Technology and the NDRC jointly issued the </w:t>
      </w:r>
      <w:r>
        <w:rPr>
          <w:rFonts w:ascii="Times New Roman" w:cs="Times New Roman" w:eastAsia="Times New Roman" w:hAnsi="Times New Roman"/>
          <w:sz w:val="16"/>
          <w:szCs w:val="16"/>
          <w:i w:val="1"/>
          <w:iCs w:val="1"/>
          <w:color w:val="auto"/>
        </w:rPr>
        <w:t>Circular on the Financial Support Policies on the Promotion and Application of New Energy Vehicles in 2016-2020</w:t>
      </w:r>
      <w:r>
        <w:rPr>
          <w:rFonts w:ascii="Times New Roman" w:cs="Times New Roman" w:eastAsia="Times New Roman" w:hAnsi="Times New Roman"/>
          <w:sz w:val="16"/>
          <w:szCs w:val="16"/>
          <w:color w:val="auto"/>
        </w:rPr>
        <w:t xml:space="preserve">, which took effect on the same day. This circular provides that those who purchase new energy vehicles specified in the </w:t>
      </w:r>
      <w:r>
        <w:rPr>
          <w:rFonts w:ascii="Times New Roman" w:cs="Times New Roman" w:eastAsia="Times New Roman" w:hAnsi="Times New Roman"/>
          <w:sz w:val="16"/>
          <w:szCs w:val="16"/>
          <w:i w:val="1"/>
          <w:iCs w:val="1"/>
          <w:color w:val="auto"/>
        </w:rPr>
        <w:t>Catalogue of Recommended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New Energy Vehicle Models for Promotion and Application </w:t>
      </w:r>
      <w:r>
        <w:rPr>
          <w:rFonts w:ascii="Times New Roman" w:cs="Times New Roman" w:eastAsia="Times New Roman" w:hAnsi="Times New Roman"/>
          <w:sz w:val="16"/>
          <w:szCs w:val="16"/>
          <w:color w:val="auto"/>
        </w:rPr>
        <w:t>by the Ministry of Industry and Information Technology, may obtain subsidies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PRC national government. Pursuant to this circular, a purchaser may purchase a new energy vehicle from a seller by paying the original price minus the subsidy amount, and the seller may obtain the subsidy amount from the government after such new energy vehicle is sold to the purchaser. This circular also provided a preliminary phase-out schedule for the provision of subsidies.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On December 29, 2016, the Ministry of Finance, the Ministry of Science and Technology, the Ministry of Industry and Information Technology and the NDRC jointly issued the </w:t>
      </w:r>
      <w:r>
        <w:rPr>
          <w:rFonts w:ascii="Times New Roman" w:cs="Times New Roman" w:eastAsia="Times New Roman" w:hAnsi="Times New Roman"/>
          <w:sz w:val="16"/>
          <w:szCs w:val="16"/>
          <w:i w:val="1"/>
          <w:iCs w:val="1"/>
          <w:color w:val="auto"/>
        </w:rPr>
        <w:t>Circular on Adjusting the Subsidy Policy for the Promotion and Application of New Energy Vehicles</w:t>
      </w:r>
      <w:r>
        <w:rPr>
          <w:rFonts w:ascii="Times New Roman" w:cs="Times New Roman" w:eastAsia="Times New Roman" w:hAnsi="Times New Roman"/>
          <w:sz w:val="16"/>
          <w:szCs w:val="16"/>
          <w:color w:val="auto"/>
        </w:rPr>
        <w:t>, or the Circular on Adjusting the Subsidy Policy, which took effect on January 1, 2017, to adjust the existing subsidy standard for purchases of new energy vehicles. The Circular on Adjusting the Subsidy Policy capped the local subsidies at 50% of the national subsidy amount, and further specified that national subsidies for purchasers purchasing certain new energy vehicles (except for fuel cell vehicles) from 2019 to 2020 would be reduced by 20% as compared to 2017 subsidy standards.</w:t>
      </w:r>
    </w:p>
    <w:p>
      <w:pPr>
        <w:spacing w:after="0" w:line="16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 xml:space="preserve">The subsidy standard is reviewed and updated on an annual basis. The 2020 subsidy standard, effective from April 23, 2020, was provided in the </w:t>
      </w:r>
      <w:r>
        <w:rPr>
          <w:rFonts w:ascii="Times New Roman" w:cs="Times New Roman" w:eastAsia="Times New Roman" w:hAnsi="Times New Roman"/>
          <w:sz w:val="16"/>
          <w:szCs w:val="16"/>
          <w:i w:val="1"/>
          <w:iCs w:val="1"/>
          <w:color w:val="auto"/>
        </w:rPr>
        <w:t>Circular on Improving the Subsidy Policies for the Promotion and Application of New Energy Vehicles</w:t>
      </w:r>
      <w:r>
        <w:rPr>
          <w:rFonts w:ascii="Times New Roman" w:cs="Times New Roman" w:eastAsia="Times New Roman" w:hAnsi="Times New Roman"/>
          <w:sz w:val="16"/>
          <w:szCs w:val="16"/>
          <w:color w:val="auto"/>
        </w:rPr>
        <w:t xml:space="preserve"> jointly promulgated by the Ministry of Finance, the Ministry of Science and Technology, the Ministry of Industry and Information Technology and the NDRC on the same day. The 2020 subsidy standard reduces the base subsidy amount by 10% for each NEV, sets subsidies for 2 million vehicles as the upper limit of annual subsidy scale; and provides that national subsidy shall only apply to an NEV that is either (i) with the sale price under RMB300,000 or (ii) equipped with battery swapping mechanism. Given all our vehicles are equipped with battery swapping mechanism, purchasers of all our vehicles, regardless of sales price, are eligible to enjoy the subsidies provided by the PRC government to purchases of new energy vehicles. The 2021 subsidy standard, effective from January 1, 2021, was provided in the </w:t>
      </w:r>
      <w:r>
        <w:rPr>
          <w:rFonts w:ascii="Times New Roman" w:cs="Times New Roman" w:eastAsia="Times New Roman" w:hAnsi="Times New Roman"/>
          <w:sz w:val="16"/>
          <w:szCs w:val="16"/>
          <w:i w:val="1"/>
          <w:iCs w:val="1"/>
          <w:color w:val="auto"/>
        </w:rPr>
        <w:t>Circular on Further Improving the Subsidy Policies for the Promotion and Application of New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Energy Vehicles </w:t>
      </w:r>
      <w:r>
        <w:rPr>
          <w:rFonts w:ascii="Times New Roman" w:cs="Times New Roman" w:eastAsia="Times New Roman" w:hAnsi="Times New Roman"/>
          <w:sz w:val="16"/>
          <w:szCs w:val="16"/>
          <w:color w:val="auto"/>
        </w:rPr>
        <w:t>jointly promulgated by the Ministry of Finance, the Ministry of Science and Technology, the Ministry of Industry and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Technology and the NDRC on December 31, 2020. The 2021 subsidy standard reduces the base subsidy amount by 20% for each NEV based on that for the previous year. Further, the 2022 subsidy standard, effective from January 1, 2022, was provided in the </w:t>
      </w:r>
      <w:r>
        <w:rPr>
          <w:rFonts w:ascii="Times New Roman" w:cs="Times New Roman" w:eastAsia="Times New Roman" w:hAnsi="Times New Roman"/>
          <w:sz w:val="16"/>
          <w:szCs w:val="16"/>
          <w:i w:val="1"/>
          <w:iCs w:val="1"/>
          <w:color w:val="auto"/>
        </w:rPr>
        <w:t>Circular on Financial Subsidy Policies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for the Promotion and Application of New Energy Vehicles in Year 2022 </w:t>
      </w:r>
      <w:r>
        <w:rPr>
          <w:rFonts w:ascii="Times New Roman" w:cs="Times New Roman" w:eastAsia="Times New Roman" w:hAnsi="Times New Roman"/>
          <w:sz w:val="16"/>
          <w:szCs w:val="16"/>
          <w:color w:val="auto"/>
        </w:rPr>
        <w:t>jointly promulgated by the Ministry of Finance, the Ministry of Science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Technology, the Ministry of Industry and Information Technology and the NDRC on December 31, 2021. The 2022 subsidy standard reduces the base subsidy amount by 30% for each NEV from that for the previous year. The new energy vehicles subsidy policy was terminated on December 31, 2022.</w:t>
      </w:r>
    </w:p>
    <w:p>
      <w:pPr>
        <w:spacing w:after="0" w:line="365"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On January 20, 2025, the general office of eight departments, including the Ministry of Commerce, jointly issued the </w:t>
      </w:r>
      <w:r>
        <w:rPr>
          <w:rFonts w:ascii="Times New Roman" w:cs="Times New Roman" w:eastAsia="Times New Roman" w:hAnsi="Times New Roman"/>
          <w:sz w:val="16"/>
          <w:szCs w:val="16"/>
          <w:i w:val="1"/>
          <w:iCs w:val="1"/>
          <w:color w:val="auto"/>
        </w:rPr>
        <w:t>Notice on Launching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Pilot Reform of Automobile Circulation and Consumption</w:t>
      </w:r>
      <w:r>
        <w:rPr>
          <w:rFonts w:ascii="Times New Roman" w:cs="Times New Roman" w:eastAsia="Times New Roman" w:hAnsi="Times New Roman"/>
          <w:sz w:val="16"/>
          <w:szCs w:val="16"/>
          <w:color w:val="auto"/>
        </w:rPr>
        <w:t>, which proposes that a pilot reform of the automobile market will be carried out during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from 2025 to 2027 to stimulate the vitality of the automobile consumption market and promote the high-quality development of the automobile market. The pilot tasks mainly include: (i) stabilizing and expanding automobile consumption, (ii) promoting the efficient circulation of second-hand vehicles, (iii) cultivating a culture receptive to automobiles, (iv) improving the recycling system of scrapped automobiles, and (v) promoting the digital circulation and consumption of automobiles.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Exemption of Vehicle Purchase Tax</w:t>
      </w:r>
    </w:p>
    <w:p>
      <w:pPr>
        <w:spacing w:after="0" w:line="216"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 xml:space="preserve">On December 26, 2017, the Ministry of Finance, the State Taxation Administration, the Ministry of Industry and Information Technology and the Ministry of Science and Technology jointly issued the </w:t>
      </w:r>
      <w:r>
        <w:rPr>
          <w:rFonts w:ascii="Times New Roman" w:cs="Times New Roman" w:eastAsia="Times New Roman" w:hAnsi="Times New Roman"/>
          <w:sz w:val="16"/>
          <w:szCs w:val="16"/>
          <w:i w:val="1"/>
          <w:iCs w:val="1"/>
          <w:color w:val="auto"/>
        </w:rPr>
        <w:t>Announcement on Exemption of Vehicle Purchase Tax for New Energy Vehicle</w:t>
      </w:r>
      <w:r>
        <w:rPr>
          <w:rFonts w:ascii="Times New Roman" w:cs="Times New Roman" w:eastAsia="Times New Roman" w:hAnsi="Times New Roman"/>
          <w:sz w:val="16"/>
          <w:szCs w:val="16"/>
          <w:color w:val="auto"/>
        </w:rPr>
        <w:t xml:space="preserve">. On June 28, 2019, the Ministry of Finance and the State Taxation Administration jointly issued the </w:t>
      </w:r>
      <w:r>
        <w:rPr>
          <w:rFonts w:ascii="Times New Roman" w:cs="Times New Roman" w:eastAsia="Times New Roman" w:hAnsi="Times New Roman"/>
          <w:sz w:val="16"/>
          <w:szCs w:val="16"/>
          <w:i w:val="1"/>
          <w:iCs w:val="1"/>
          <w:color w:val="auto"/>
        </w:rPr>
        <w:t>Announcement on Renewal of Preferential Policies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Vehicle Purchase Tax</w:t>
      </w:r>
      <w:r>
        <w:rPr>
          <w:rFonts w:ascii="Times New Roman" w:cs="Times New Roman" w:eastAsia="Times New Roman" w:hAnsi="Times New Roman"/>
          <w:sz w:val="16"/>
          <w:szCs w:val="16"/>
          <w:color w:val="auto"/>
        </w:rPr>
        <w:t>. Pursuant to the two announcements, from January 1, 2018 to December 31, 2020, the vehicle purchase tax which is applicable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for ICE vehicles is not imposed on purchases of qualified new energy vehicles listed in the </w:t>
      </w:r>
      <w:r>
        <w:rPr>
          <w:rFonts w:ascii="Times New Roman" w:cs="Times New Roman" w:eastAsia="Times New Roman" w:hAnsi="Times New Roman"/>
          <w:sz w:val="16"/>
          <w:szCs w:val="16"/>
          <w:i w:val="1"/>
          <w:iCs w:val="1"/>
          <w:color w:val="auto"/>
        </w:rPr>
        <w:t>Catalogue of New Energy Vehicle Models Exempt from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Vehicle Purchase Tax</w:t>
      </w:r>
      <w:r>
        <w:rPr>
          <w:rFonts w:ascii="Times New Roman" w:cs="Times New Roman" w:eastAsia="Times New Roman" w:hAnsi="Times New Roman"/>
          <w:sz w:val="16"/>
          <w:szCs w:val="16"/>
          <w:color w:val="auto"/>
        </w:rPr>
        <w:t>, issued by the Ministry of Industry and Information Technology. Such announcement provides that the policy on exemption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vehicle purchase tax is also applicable to new energy vehicles added to this catalogue prior to December 31, 2017. On April 16, 2020, the Ministry of Finance, the State Taxation Administration and the Ministry of Industry and Information Technology jointly issued the </w:t>
      </w:r>
      <w:r>
        <w:rPr>
          <w:rFonts w:ascii="Times New Roman" w:cs="Times New Roman" w:eastAsia="Times New Roman" w:hAnsi="Times New Roman"/>
          <w:sz w:val="16"/>
          <w:szCs w:val="16"/>
          <w:i w:val="1"/>
          <w:iCs w:val="1"/>
          <w:color w:val="auto"/>
        </w:rPr>
        <w:t>Announcement on Exemption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Vehicle Purchase Tax for New Energy Vehicle</w:t>
      </w:r>
      <w:r>
        <w:rPr>
          <w:rFonts w:ascii="Times New Roman" w:cs="Times New Roman" w:eastAsia="Times New Roman" w:hAnsi="Times New Roman"/>
          <w:sz w:val="16"/>
          <w:szCs w:val="16"/>
          <w:color w:val="auto"/>
        </w:rPr>
        <w:t>, with effect from January 1, 2021, which extends the vehicle purchase tax exemption period provided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under the above two announcements till December 31, 2022. On September 18, 2022, the Ministry of Finance, the State Taxation Administration and the Ministry of Industry and Information Technology jointly issued the </w:t>
      </w:r>
      <w:r>
        <w:rPr>
          <w:rFonts w:ascii="Times New Roman" w:cs="Times New Roman" w:eastAsia="Times New Roman" w:hAnsi="Times New Roman"/>
          <w:sz w:val="16"/>
          <w:szCs w:val="16"/>
          <w:i w:val="1"/>
          <w:iCs w:val="1"/>
          <w:color w:val="auto"/>
        </w:rPr>
        <w:t>Announcement on Continuation of Policies for Exemption of Vehicle 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 for New Energy Vehicle</w:t>
      </w:r>
      <w:r>
        <w:rPr>
          <w:rFonts w:ascii="Times New Roman" w:cs="Times New Roman" w:eastAsia="Times New Roman" w:hAnsi="Times New Roman"/>
          <w:sz w:val="16"/>
          <w:szCs w:val="16"/>
          <w:color w:val="auto"/>
        </w:rPr>
        <w:t>, with effect from September 18, 2022, which provides that the new energy vehicles purchased during the period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January 1, 2023 to December 31, 2023 will be exempted from the vehicle purchase tax. On June 19, 2023, the Ministry of Industry and Information Technology, the Ministry of Finance and the State Taxation Administration, jointly promulgated the </w:t>
      </w:r>
      <w:r>
        <w:rPr>
          <w:rFonts w:ascii="Times New Roman" w:cs="Times New Roman" w:eastAsia="Times New Roman" w:hAnsi="Times New Roman"/>
          <w:sz w:val="16"/>
          <w:szCs w:val="16"/>
          <w:i w:val="1"/>
          <w:iCs w:val="1"/>
          <w:color w:val="auto"/>
        </w:rPr>
        <w:t>Announcement on Continuing and Optimizing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Vehicle Purchase Tax Reduction and Exemption Policies for New Energy Vehicles</w:t>
      </w:r>
      <w:r>
        <w:rPr>
          <w:rFonts w:ascii="Times New Roman" w:cs="Times New Roman" w:eastAsia="Times New Roman" w:hAnsi="Times New Roman"/>
          <w:sz w:val="16"/>
          <w:szCs w:val="16"/>
          <w:color w:val="auto"/>
        </w:rPr>
        <w:t>, pursuant to which, the NEVs purchased from January 1, 2024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2025 are eligible for exemption from vehicle purchase tax, with the amount of tax exemption for each new energy passenger vehicle not exceeding RMB30,000; and the vehicle purchase tax on the NEVs purchased from January 1, 2026 to December 31, 2027 shall be reduced by half, with the amount of tax reduction for each new energy passenger vehicle not exceeding RMB15,000.</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Non-imposition of Vehicle and Vessel Tax</w:t>
      </w:r>
    </w:p>
    <w:p>
      <w:pPr>
        <w:spacing w:after="0" w:line="214"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Notice on Preferential Vehicle and Vessel Tax Policies for Energy-saving and New-energy Vehicles and Vessels</w:t>
      </w:r>
      <w:r>
        <w:rPr>
          <w:rFonts w:ascii="Times New Roman" w:cs="Times New Roman" w:eastAsia="Times New Roman" w:hAnsi="Times New Roman"/>
          <w:sz w:val="16"/>
          <w:szCs w:val="16"/>
          <w:color w:val="auto"/>
        </w:rPr>
        <w:t>, which was jointly promulgated by the Ministry of Finance, the Ministry of Transport, the State Taxation Administration and the Ministry of Industry and Information Technology on July 10, 2018, clarifies that NEVs are not subject to vehicle and vessel tax.</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 Energy Vehicle License Plate</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 xml:space="preserve">In recent years, in order to control the number of motor vehicles on the road, certain local governments have issued restrictions on the issuance of vehicle license plates. These restrictions generally do not apply to the issuance of license plates for new energy vehicles, which makes it easier for purchasers of new energy vehicles to obtain automobile license plates. For example, pursuant to the recently issued </w:t>
      </w:r>
      <w:r>
        <w:rPr>
          <w:rFonts w:ascii="Times New Roman" w:cs="Times New Roman" w:eastAsia="Times New Roman" w:hAnsi="Times New Roman"/>
          <w:sz w:val="16"/>
          <w:szCs w:val="16"/>
          <w:i w:val="1"/>
          <w:iCs w:val="1"/>
          <w:color w:val="auto"/>
        </w:rPr>
        <w:t>Implementation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Measures on Encouraging Purchase and Use of New Energy Vehicles in Shanghai</w:t>
      </w:r>
      <w:r>
        <w:rPr>
          <w:rFonts w:ascii="Times New Roman" w:cs="Times New Roman" w:eastAsia="Times New Roman" w:hAnsi="Times New Roman"/>
          <w:sz w:val="16"/>
          <w:szCs w:val="16"/>
          <w:color w:val="auto"/>
        </w:rPr>
        <w:t>, which took effect on January 1, 2025 and remain valid until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2025, local authorities will issue new automobile license plates to qualified purchasers of new energy vehicles without requiring such qualified purchasers to go through certain license-plate bidding processes and to pay license-plate purchase fees as compared with purchasers of ICE vehicles.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Value-added Telecommunications Services</w:t>
      </w:r>
    </w:p>
    <w:p>
      <w:pPr>
        <w:spacing w:after="0" w:line="177"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 xml:space="preserve">In 2000, the State Council promulgated the </w:t>
      </w:r>
      <w:r>
        <w:rPr>
          <w:rFonts w:ascii="Times New Roman" w:cs="Times New Roman" w:eastAsia="Times New Roman" w:hAnsi="Times New Roman"/>
          <w:sz w:val="16"/>
          <w:szCs w:val="16"/>
          <w:i w:val="1"/>
          <w:iCs w:val="1"/>
          <w:color w:val="auto"/>
        </w:rPr>
        <w:t>Telecommunications Regulations of the PRC</w:t>
      </w:r>
      <w:r>
        <w:rPr>
          <w:rFonts w:ascii="Times New Roman" w:cs="Times New Roman" w:eastAsia="Times New Roman" w:hAnsi="Times New Roman"/>
          <w:sz w:val="16"/>
          <w:szCs w:val="16"/>
          <w:color w:val="auto"/>
        </w:rPr>
        <w:t xml:space="preserve">, which was most recently amended in February 2016 and provides a regulatory framework for telecommunications services providers in the PRC. These regulations categorize all telecommunications businesses in China as either basic or value-added. Value-added telecommunications services are defined as telecommunications and information services provided through public network infrastructure. Pursuant to the </w:t>
      </w:r>
      <w:r>
        <w:rPr>
          <w:rFonts w:ascii="Times New Roman" w:cs="Times New Roman" w:eastAsia="Times New Roman" w:hAnsi="Times New Roman"/>
          <w:sz w:val="16"/>
          <w:szCs w:val="16"/>
          <w:i w:val="1"/>
          <w:iCs w:val="1"/>
          <w:color w:val="auto"/>
        </w:rPr>
        <w:t>Classified Catalogue of Telecommunications Services</w:t>
      </w:r>
      <w:r>
        <w:rPr>
          <w:rFonts w:ascii="Times New Roman" w:cs="Times New Roman" w:eastAsia="Times New Roman" w:hAnsi="Times New Roman"/>
          <w:sz w:val="16"/>
          <w:szCs w:val="16"/>
          <w:color w:val="auto"/>
        </w:rPr>
        <w:t>, an attachment to these regulations, which was most recently updated in June 2019 by the Ministry of Industry and Information Technology, internet information services, or ICP services, are classified as value-added telecommunications services. Under these regulations and administrative measures, commercial operators of value-added telecommunications services must first obtain a license for conducting internet content provision services, or an ICP license, from the Ministry of Industry and Information Technology or its provincial level counterparts. Otherwise, such operator might be subject to sanctions, including corrective orders and warnings, imposition of fines and confiscation of illegal gains and, in the case of significant infringement, orders to close the website.</w:t>
      </w:r>
    </w:p>
    <w:p>
      <w:pPr>
        <w:spacing w:after="0" w:line="327"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Administrative Measures on Internet Information Services</w:t>
      </w:r>
      <w:r>
        <w:rPr>
          <w:rFonts w:ascii="Times New Roman" w:cs="Times New Roman" w:eastAsia="Times New Roman" w:hAnsi="Times New Roman"/>
          <w:sz w:val="16"/>
          <w:szCs w:val="16"/>
          <w:color w:val="auto"/>
        </w:rPr>
        <w:t>, promulgated by the State Council in 2000 and amended in 2011,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 within China, while the ICP license is not required if the operator will only provide internet information on a non-commercial basis.</w:t>
      </w:r>
    </w:p>
    <w:p>
      <w:pPr>
        <w:spacing w:after="0" w:line="134"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In addition to the regulations and measures above, the provision of commercial internet information services on mobile internet applications are regulated by the </w:t>
      </w:r>
      <w:r>
        <w:rPr>
          <w:rFonts w:ascii="Times New Roman" w:cs="Times New Roman" w:eastAsia="Times New Roman" w:hAnsi="Times New Roman"/>
          <w:sz w:val="16"/>
          <w:szCs w:val="16"/>
          <w:i w:val="1"/>
          <w:iCs w:val="1"/>
          <w:color w:val="auto"/>
        </w:rPr>
        <w:t>Administrative Provisions on Information Services of Mobile Internet Applications</w:t>
      </w:r>
      <w:r>
        <w:rPr>
          <w:rFonts w:ascii="Times New Roman" w:cs="Times New Roman" w:eastAsia="Times New Roman" w:hAnsi="Times New Roman"/>
          <w:sz w:val="16"/>
          <w:szCs w:val="16"/>
          <w:color w:val="auto"/>
        </w:rPr>
        <w:t>, promulgated by the CAC in June 2022, which took effect on August 1, 2022. Pursuant to these provisions, the mobile internet applications providers shall acquire qualifications required by laws and regulations and implement the information security management responsibilities strictly and fulfill their obligations, including real-name system, protection of users’ information, examination and management of information content, and shall comply with provisions on the scope of necessary personal information when engaging in personal information processing activities. In addition, such providers shall not compel the user to agree to the processing of personal information for any reason and refuse the user to use its basic functions and services as the user does not agree to provide non-essential personal information.</w:t>
      </w:r>
    </w:p>
    <w:p>
      <w:pPr>
        <w:spacing w:after="0" w:line="124"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Regulations for the Administration of Foreign-Invested Telecommunications Enterprises</w:t>
      </w:r>
      <w:r>
        <w:rPr>
          <w:rFonts w:ascii="Times New Roman" w:cs="Times New Roman" w:eastAsia="Times New Roman" w:hAnsi="Times New Roman"/>
          <w:sz w:val="16"/>
          <w:szCs w:val="16"/>
          <w:color w:val="auto"/>
        </w:rPr>
        <w:t>, promulgated by the State Council on December 11, 2001 and latest amended on March 29, 2022, which took effect on May 1, 2022, requires that the ultimate foreign equity ownership in a value-added telecommunications services provider may not exceed 50%, except as otherwise stipulated by the state. In addition, the telecommunications enterprises must obtain approval from the Ministry of Industry and Information Technology, or its authorized local counterparts, before launching the value-added telecommunications business in China.</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Autonomous Driving</w:t>
      </w:r>
    </w:p>
    <w:p>
      <w:pPr>
        <w:spacing w:after="0" w:line="179" w:lineRule="exact"/>
        <w:rPr>
          <w:sz w:val="20"/>
          <w:szCs w:val="20"/>
          <w:color w:val="auto"/>
        </w:rPr>
      </w:pPr>
    </w:p>
    <w:p>
      <w:pPr>
        <w:jc w:val="both"/>
        <w:ind w:firstLine="594"/>
        <w:spacing w:after="0" w:line="259" w:lineRule="auto"/>
        <w:rPr>
          <w:sz w:val="20"/>
          <w:szCs w:val="20"/>
          <w:color w:val="auto"/>
        </w:rPr>
      </w:pPr>
      <w:r>
        <w:rPr>
          <w:rFonts w:ascii="Times New Roman" w:cs="Times New Roman" w:eastAsia="Times New Roman" w:hAnsi="Times New Roman"/>
          <w:sz w:val="16"/>
          <w:szCs w:val="16"/>
          <w:color w:val="auto"/>
        </w:rPr>
        <w:t xml:space="preserve">On July 27, 2021, the Ministry of Industry and Information Technology, the Ministry of Public Security and the Ministry of Transport issued </w:t>
      </w:r>
      <w:r>
        <w:rPr>
          <w:rFonts w:ascii="Times New Roman" w:cs="Times New Roman" w:eastAsia="Times New Roman" w:hAnsi="Times New Roman"/>
          <w:sz w:val="16"/>
          <w:szCs w:val="16"/>
          <w:i w:val="1"/>
          <w:iCs w:val="1"/>
          <w:color w:val="auto"/>
        </w:rPr>
        <w:t>Administration of Road Testing and Demonstration Application of Intelligent Connected Vehicles (Trial Implementation)</w:t>
      </w:r>
      <w:r>
        <w:rPr>
          <w:rFonts w:ascii="Times New Roman" w:cs="Times New Roman" w:eastAsia="Times New Roman" w:hAnsi="Times New Roman"/>
          <w:sz w:val="16"/>
          <w:szCs w:val="16"/>
          <w:color w:val="auto"/>
        </w:rPr>
        <w:t>, or the Circular No. 97,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took effect on September 1, 2021, and is the primary regulation governing protocol of road testing and demonstration application of intelligent connected vehicles in the PRC. Pursuant to the Circular No. 97, any entity intending to conduct the road testing and demonstration application of intelligent connected vehicles must apply for and obtain a temporary license plate for each tested vehicle. To qualify for such temporary license plate, an applicant entity must satisfy, among others, the following requirements: (i) it must be an independent legal person registered under PRC law with the capacity to conduct manufacturing, technological research or testing of automobiles and automobile parts, which has established protocols to test and assess the performance of autonomous driving functionalities of intelligent connected vehicles and is capable of conducting real-time remote monitor of the tested vehicles, and has the ability to ensure the network security of tested vehicles and remote monitoring platform; (ii) the tested vehicle must be equipped with a driving system that can switch between autonomous driving mode and human driving mode in a safe, quick and simple manner and ensures human driver to take control of the tested vehicle any time immediately when necessary; (iii) the tested vehicle must be equipped with the function of recording, storing and real-time monitoring the condition of the tested vehicle and is able to transmit real-time data of the tested vehicle, such as the control mode, location and speed; (iv) it must sign an employment contract or a labor service contract with the driver of the tested vehicle, who must be a licensed driver of corresponding vehicle types with more than three years’ driving experience and a track record of safe driving and is familiar with the testing protocol or application scheme for autonomous driving system and proficient in operating the system; and</w:t>
      </w:r>
    </w:p>
    <w:p>
      <w:pPr>
        <w:spacing w:after="0" w:line="9" w:lineRule="exact"/>
        <w:rPr>
          <w:sz w:val="20"/>
          <w:szCs w:val="20"/>
          <w:color w:val="auto"/>
        </w:rPr>
      </w:pPr>
    </w:p>
    <w:p>
      <w:pPr>
        <w:jc w:val="both"/>
        <w:spacing w:after="0" w:line="264" w:lineRule="auto"/>
        <w:tabs>
          <w:tab w:leader="none" w:pos="24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must provide the safety self-declaration, the result of risk assessment on network security, the proof of corresponding measures taken against such risk and other materials to the competent department, and insure each tested vehicle for at least RMB5 million against vehicle accidents or provide a letter of guarantee covering the same. In addition, as to the demonstration application, the applicant entity could also be a consortium of several independent legal persons and has the operational capability of demonstration application and relevant scheme.</w:t>
      </w:r>
    </w:p>
    <w:p>
      <w:pPr>
        <w:spacing w:after="0" w:line="12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During the road testing and demonstration application, the tested vehicle shall be marked with the words such as “autonomous driving road test” or “for autonomous driving demonstration purposes” in a noticeable manner and the autonomous driving mode shall not be used unless in the permitted areas specified in the safety self-declaration, and the entity shall not make any changes of software and hardware that may affect the function and performance of the tested vehicle without providing the safety description materials to the competent department in advance. In addition, the entity is required to submit to the competent department a periodical report every six months and a final report within one month after the completion of road testing and demonstration application. In the case of a vehicle accident which causes severe injury or death of personnel or vehicle damage, the entity must report such accident to the competent department within 24 hours and submit a comprehensive analysis report in writing covering cause analysis, final liability allocation results, etc. within five working days after the traffic enforcement agency determines the liability for the accident.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According to the Notice on Promoting the Development of Intelligent Connected Vehicles and Maintaining the Security of Surveying and Mapping Geographic Information issued by the Ministry of Natural Resources of the PRC on August 25, 2022, if an intelligent connected vehicle is equipped with or integrated with certain sensors, the collection, storage, transmission and processing of surveying and mapping geographic information and data, including spatial coordinates, images, point clouds and their attribute information, of vehicles and surrounding road facilities in the process of road test, will be considered surveying and mapping activities. Persons who collect, store, transmit and process such surveying and mapping geographic information and data, will be the main actors of surveying and mapping activities. Additionally, if any vehicle manufacturer, service provider or smart driving software provider that is a domestic enterprise needs to engage in the collection, storage, transmission and processing of surveying and mapping geographic information and data, it shall obtain the corresponding surveying and mapping qualification or entrust an agency with the corresponding surveying and mapping qualification to carry out the intended activities; if any vehicle manufacturer, service provider or smart driving software provider that is a foreign-invested enterprise needs to engage in the collection, storage, transmission and processing of surveying and mapping geographic information and data, it shall entrust an agency with corresponding surveying and mapping qualification to carry out the intended activities, and the entrusted agency shall undertake the collection, storage, transmission and processing of the relevant spatial coordinates, images, point clouds and their attribute information and other businesses, and provide geographic information service and support.</w:t>
      </w:r>
    </w:p>
    <w:p>
      <w:pPr>
        <w:spacing w:after="0" w:line="369"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 xml:space="preserve">On November 17, 2023, the Ministry of Industry and Information Technology, the Ministry of Public Security, the Ministry of Housing and Urban-Rural Development and the Ministry of Transport promulgated the </w:t>
      </w:r>
      <w:r>
        <w:rPr>
          <w:rFonts w:ascii="Times New Roman" w:cs="Times New Roman" w:eastAsia="Times New Roman" w:hAnsi="Times New Roman"/>
          <w:sz w:val="16"/>
          <w:szCs w:val="16"/>
          <w:i w:val="1"/>
          <w:iCs w:val="1"/>
          <w:color w:val="auto"/>
        </w:rPr>
        <w:t>Notice on Carrying out the Pilot Program of Market Access and Road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Passage for Intelligent Connected Vehicles. </w:t>
      </w:r>
      <w:r>
        <w:rPr>
          <w:rFonts w:ascii="Times New Roman" w:cs="Times New Roman" w:eastAsia="Times New Roman" w:hAnsi="Times New Roman"/>
          <w:sz w:val="16"/>
          <w:szCs w:val="16"/>
          <w:color w:val="auto"/>
        </w:rPr>
        <w:t>Such notice applies to (1) the product access pilot for intelligent connected vehicle products equipped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 autonomous driving functions and (2) the intelligent connected vehicles that have gained access to carry out road access pilots in restricted areas. To carry out the product access pilot, the applicant must first obtain confirmation from the Ministry of Industry and Information Technology and the Ministry of Public Security. They must also pass tests and safety assessments supervised by provincial authorities and city government departments where the vehicles operate. Only then can they submit the application for product access to the Ministry of Industry and Information Technology. Additionally, the applicant must purchase insurance for the vehicle and complete the registration process. On November 21, 2023, the Ministry of Transport issued the </w:t>
      </w:r>
      <w:r>
        <w:rPr>
          <w:rFonts w:ascii="Times New Roman" w:cs="Times New Roman" w:eastAsia="Times New Roman" w:hAnsi="Times New Roman"/>
          <w:sz w:val="16"/>
          <w:szCs w:val="16"/>
          <w:i w:val="1"/>
          <w:iCs w:val="1"/>
          <w:color w:val="auto"/>
        </w:rPr>
        <w:t>Guideline on Transport Safety and Service for Autonomous Vehicles (Trial Implementation)</w:t>
      </w:r>
      <w:r>
        <w:rPr>
          <w:rFonts w:ascii="Times New Roman" w:cs="Times New Roman" w:eastAsia="Times New Roman" w:hAnsi="Times New Roman"/>
          <w:sz w:val="16"/>
          <w:szCs w:val="16"/>
          <w:color w:val="auto"/>
        </w:rPr>
        <w:t xml:space="preserve">, which specifically provides the requirements for commercial operation of autonomous vehicles in respect of the scope of application, basic principles, application scenarios, operators of autopilot transport, transport vehicles, staffing, safety assurance, supervision and administration. On July 26, 2024, the Ministry of Natural Resources promulgated the </w:t>
      </w:r>
      <w:r>
        <w:rPr>
          <w:rFonts w:ascii="Times New Roman" w:cs="Times New Roman" w:eastAsia="Times New Roman" w:hAnsi="Times New Roman"/>
          <w:sz w:val="16"/>
          <w:szCs w:val="16"/>
          <w:i w:val="1"/>
          <w:iCs w:val="1"/>
          <w:color w:val="auto"/>
        </w:rPr>
        <w:t>Notice of the Ministry of Natural Resources on Strengthening the Administration of Surveying, Mapping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Geoinformation Security Relating to Intelligent Connected Vehicles</w:t>
      </w:r>
      <w:r>
        <w:rPr>
          <w:rFonts w:ascii="Times New Roman" w:cs="Times New Roman" w:eastAsia="Times New Roman" w:hAnsi="Times New Roman"/>
          <w:sz w:val="16"/>
          <w:szCs w:val="16"/>
          <w:color w:val="auto"/>
        </w:rPr>
        <w:t>, and emphasized various related matters, including the requirement of conducting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surveying and mapping activities related to intelligent connected vehicles in accordance with the law, strengthening the management of surveying and mapping activities involving intelligent connected vehicles, strictly managing confidential and sensitive geographic information data, strictly reviewing electronic navigation maps, implementing the requirements for the storage of geoinformation data and cross-border transfer of such data, strengthening the regulation of geoinformation security, encouraging the exploration of geographic information security application, etc.</w:t>
      </w:r>
    </w:p>
    <w:p>
      <w:pPr>
        <w:spacing w:after="0" w:line="174"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On September 17, 2025, the Ministry of Industry and Information Technology issued the </w:t>
      </w:r>
      <w:r>
        <w:rPr>
          <w:rFonts w:ascii="Times New Roman" w:cs="Times New Roman" w:eastAsia="Times New Roman" w:hAnsi="Times New Roman"/>
          <w:sz w:val="16"/>
          <w:szCs w:val="16"/>
          <w:i w:val="1"/>
          <w:iCs w:val="1"/>
          <w:color w:val="auto"/>
        </w:rPr>
        <w:t>Safety Requirements for Intelligent and Connected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Vehicles—Combined Driver Assistance Systems (Draft for Comment) </w:t>
      </w:r>
      <w:r>
        <w:rPr>
          <w:rFonts w:ascii="Times New Roman" w:cs="Times New Roman" w:eastAsia="Times New Roman" w:hAnsi="Times New Roman"/>
          <w:sz w:val="16"/>
          <w:szCs w:val="16"/>
          <w:color w:val="auto"/>
        </w:rPr>
        <w:t>to publicly solicit opinions on this mandatory national standard,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establishes a safety baseline for intelligent connected vehicle products by requiring that systems only be activated within their specifically designed operational design domains. The standard sets comprehensive technical safety requirements encompassing human-machine interaction, functional safety, safety of the intended functionality, cybersecurity, and data recording for functions such as single-lane, multi-lane, and navigation assistance. The standard mandates that systems possess hands-off and eyes-off detection capabilities, stipulating that if a driver exhibits hand or gaze disengagement while the system is active, the system shall issue prompts and warnings and, in the event the driver fails to respond timely to such warnings, steadily transition out of the activated state.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Consumer Rights Protection</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Our business is subject to a variety of consumer protection laws, including the PRC Consumer Rights and Interests Protection Law, as amended in 2013 and took effect on March 15, 2014, which imposes stringent requirements and obligations on business operators. Failure to comply with these consumer protection laws could subject us to administrative sanctions, such as the issuance of a warning, confiscation of illegal income, imposition of fines, an order to cease business operations, revocation of business licenses, as well as potential civil or criminal liabilities.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 xml:space="preserve">On March 15, 2024, the State Council promulgated the </w:t>
      </w:r>
      <w:r>
        <w:rPr>
          <w:rFonts w:ascii="Times New Roman" w:cs="Times New Roman" w:eastAsia="Times New Roman" w:hAnsi="Times New Roman"/>
          <w:sz w:val="16"/>
          <w:szCs w:val="16"/>
          <w:i w:val="1"/>
          <w:iCs w:val="1"/>
          <w:color w:val="auto"/>
        </w:rPr>
        <w:t>Implementation Regulations on the PRC Consumer Rights and Interests Protection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Law</w:t>
      </w:r>
      <w:r>
        <w:rPr>
          <w:rFonts w:ascii="Times New Roman" w:cs="Times New Roman" w:eastAsia="Times New Roman" w:hAnsi="Times New Roman"/>
          <w:sz w:val="16"/>
          <w:szCs w:val="16"/>
          <w:color w:val="auto"/>
        </w:rPr>
        <w:t>, which took effect on July 1, 2024. These implementation regulations refine and supplement the provisions on operator obligations, improve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related to the online consumption, and strengthen the obligations of prepaid consumption operators. For example, (i) operators shall not use standard clauses to unreasonably exempt or reduce their liabilities, aggravate consumers’ liabilities, or restrict consumers’ rights to change or terminate contracts in accordance with the law, choose litigation or arbitration to resolve disputes, or choose goods or services from other operators;</w:t>
      </w:r>
    </w:p>
    <w:p>
      <w:pPr>
        <w:spacing w:after="0" w:line="1" w:lineRule="exact"/>
        <w:rPr>
          <w:sz w:val="20"/>
          <w:szCs w:val="20"/>
          <w:color w:val="auto"/>
        </w:rPr>
      </w:pPr>
    </w:p>
    <w:p>
      <w:pPr>
        <w:jc w:val="both"/>
        <w:spacing w:after="0" w:line="260" w:lineRule="auto"/>
        <w:tabs>
          <w:tab w:leader="none" w:pos="27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operators shall not excessively collect consumers’ personal information, and shall not force or covertly force consumers to consent to the collection and use of personal information that is not directly related to business activities by means of a general authorization, default authorization, or other methods; (iii) without the consent of consumers, operators shall not send commercial information or make commercial phone calls to consumers; if consumers agree to receive such information or calls, operators shall provide clear and convenient cancellation methods; if consumers choose to cancel, operators shall immediately stop sending such information or making such calls; (iv) operators shall use an easy-to-understand method to provide consumers with information related to goods or services truly and comprehensively, and shall not set different prices or charging standards for the same goods or services under the same conditions without the knowledge of consumers; and (v) if operators provide services through automatic extension or automatic renewal, they shall bring it to the attention of consumers in a conspicuous manner before consumers accept the services and before the date of automatic extension or automatic renewal.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Internet Information Security and Privacy Protection</w:t>
      </w:r>
    </w:p>
    <w:p>
      <w:pPr>
        <w:spacing w:after="0" w:line="214"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color w:val="auto"/>
        </w:rPr>
        <w:t xml:space="preserve">In December 2012, the Standing Committee of the National People’s Congress of China promulgated the </w:t>
      </w:r>
      <w:r>
        <w:rPr>
          <w:rFonts w:ascii="Times New Roman" w:cs="Times New Roman" w:eastAsia="Times New Roman" w:hAnsi="Times New Roman"/>
          <w:sz w:val="16"/>
          <w:szCs w:val="16"/>
          <w:i w:val="1"/>
          <w:iCs w:val="1"/>
          <w:color w:val="auto"/>
        </w:rPr>
        <w:t>Decision on Strengthening Network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Information Protection </w:t>
      </w:r>
      <w:r>
        <w:rPr>
          <w:rFonts w:ascii="Times New Roman" w:cs="Times New Roman" w:eastAsia="Times New Roman" w:hAnsi="Times New Roman"/>
          <w:sz w:val="16"/>
          <w:szCs w:val="16"/>
          <w:color w:val="auto"/>
        </w:rPr>
        <w:t>to enhance the legal protection of information security and privacy on the internet. This decision also requires internet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operators to take measures to ensure confidentiality of information of users.</w:t>
      </w:r>
    </w:p>
    <w:p>
      <w:pPr>
        <w:spacing w:after="0" w:line="150"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color w:val="auto"/>
        </w:rPr>
        <w:t xml:space="preserve">In July 2013, the Ministry of Industry and Information Technology promulgated the </w:t>
      </w:r>
      <w:r>
        <w:rPr>
          <w:rFonts w:ascii="Times New Roman" w:cs="Times New Roman" w:eastAsia="Times New Roman" w:hAnsi="Times New Roman"/>
          <w:sz w:val="16"/>
          <w:szCs w:val="16"/>
          <w:i w:val="1"/>
          <w:iCs w:val="1"/>
          <w:color w:val="auto"/>
        </w:rPr>
        <w:t>Provisions on Protection of Personal Information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Telecommunication and Internet Users </w:t>
      </w:r>
      <w:r>
        <w:rPr>
          <w:rFonts w:ascii="Times New Roman" w:cs="Times New Roman" w:eastAsia="Times New Roman" w:hAnsi="Times New Roman"/>
          <w:sz w:val="16"/>
          <w:szCs w:val="16"/>
          <w:color w:val="auto"/>
        </w:rPr>
        <w:t>to regulate the collection and use of users’ personal information in the provision of telecommunication service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internet information service in China.</w:t>
      </w:r>
    </w:p>
    <w:p>
      <w:pPr>
        <w:spacing w:after="0" w:line="152"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On July 1, 2015, the Standing Committee of the National People’s Congress of China promulgated the PRC National Security Law, which took effect on the same day. The PRC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the PRC.</w:t>
      </w:r>
    </w:p>
    <w:p>
      <w:pPr>
        <w:spacing w:after="0" w:line="159"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In August 2015, the Standing Committee of the National People’s Congress of China promulgated the </w:t>
      </w:r>
      <w:r>
        <w:rPr>
          <w:rFonts w:ascii="Times New Roman" w:cs="Times New Roman" w:eastAsia="Times New Roman" w:hAnsi="Times New Roman"/>
          <w:sz w:val="16"/>
          <w:szCs w:val="16"/>
          <w:i w:val="1"/>
          <w:iCs w:val="1"/>
          <w:color w:val="auto"/>
        </w:rPr>
        <w:t>Ninth Amendment to the Criminal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Law</w:t>
      </w:r>
      <w:r>
        <w:rPr>
          <w:rFonts w:ascii="Times New Roman" w:cs="Times New Roman" w:eastAsia="Times New Roman" w:hAnsi="Times New Roman"/>
          <w:sz w:val="16"/>
          <w:szCs w:val="16"/>
          <w:color w:val="auto"/>
        </w:rPr>
        <w:t>, which took effect in November 2015 and amended the standards of crime of infringing citizens’ personal information and reinforced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criminal culpability of unlawful collection, transaction, and provision of personal information. It further provides that any ICP provider that fails to fulfill the obligations related to internet information security administration as required by applicable laws and refuses to rectify upon orders will be subject to criminal liability.</w:t>
      </w:r>
    </w:p>
    <w:p>
      <w:pPr>
        <w:spacing w:after="0" w:line="157"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 xml:space="preserve">In November 2016, the Standing Committee of the National People’s Congress of China promulgated the </w:t>
      </w:r>
      <w:r>
        <w:rPr>
          <w:rFonts w:ascii="Times New Roman" w:cs="Times New Roman" w:eastAsia="Times New Roman" w:hAnsi="Times New Roman"/>
          <w:sz w:val="16"/>
          <w:szCs w:val="16"/>
          <w:i w:val="1"/>
          <w:iCs w:val="1"/>
          <w:color w:val="auto"/>
        </w:rPr>
        <w:t>Cyber Security Law of the PRC</w:t>
      </w:r>
      <w:r>
        <w:rPr>
          <w:rFonts w:ascii="Times New Roman" w:cs="Times New Roman" w:eastAsia="Times New Roman" w:hAnsi="Times New Roman"/>
          <w:sz w:val="16"/>
          <w:szCs w:val="16"/>
          <w:color w:val="auto"/>
        </w:rPr>
        <w:t>, which was amended on October 28, 2025 and took effect on January 1, 2026. The Cyber Security Law requires that a network operator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internet of vehicles, a website and mobile application and providing certain internet services mainly through our mobile application. The Cyber Security Law further requires network operators to formulate contingency plans for network security incidents, report to the competent departments immediately upon the occurrence of any incident endangering cyber security and take corresponding remedial measures.</w:t>
      </w:r>
    </w:p>
    <w:p>
      <w:pPr>
        <w:spacing w:after="0" w:line="164"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Network operators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network operators being required to take technical and other necessary measures to ensure the security of the personal information they have collected and prevent the personal information from being divulged, damaged or lost. Any violation of the Cyber Security Law may subject the internet information services provider to warnings, fines, confiscation of illegal gains, revocation of licenses, cancellation of filings, shutdown of websites or criminal liabilities.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The General Administration of Quality Supervision, Inspection and Quarantine and Standardization Administration issued the </w:t>
      </w:r>
      <w:r>
        <w:rPr>
          <w:rFonts w:ascii="Times New Roman" w:cs="Times New Roman" w:eastAsia="Times New Roman" w:hAnsi="Times New Roman"/>
          <w:sz w:val="16"/>
          <w:szCs w:val="16"/>
          <w:i w:val="1"/>
          <w:iCs w:val="1"/>
          <w:color w:val="auto"/>
        </w:rPr>
        <w:t>Standard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 Security Technology—Personal Information Security Specification (2017 edition)</w:t>
      </w:r>
      <w:r>
        <w:rPr>
          <w:rFonts w:ascii="Times New Roman" w:cs="Times New Roman" w:eastAsia="Times New Roman" w:hAnsi="Times New Roman"/>
          <w:sz w:val="16"/>
          <w:szCs w:val="16"/>
          <w:color w:val="auto"/>
        </w:rPr>
        <w:t>, which took effect in May 2018, and the</w:t>
      </w:r>
      <w:r>
        <w:rPr>
          <w:rFonts w:ascii="Times New Roman" w:cs="Times New Roman" w:eastAsia="Times New Roman" w:hAnsi="Times New Roman"/>
          <w:sz w:val="16"/>
          <w:szCs w:val="16"/>
          <w:i w:val="1"/>
          <w:iCs w:val="1"/>
          <w:color w:val="auto"/>
        </w:rPr>
        <w:t xml:space="preserve"> Standard of Information Security Technology—Personal Information Security Specification (2020 edition)</w:t>
      </w:r>
      <w:r>
        <w:rPr>
          <w:rFonts w:ascii="Times New Roman" w:cs="Times New Roman" w:eastAsia="Times New Roman" w:hAnsi="Times New Roman"/>
          <w:sz w:val="16"/>
          <w:szCs w:val="16"/>
          <w:color w:val="auto"/>
        </w:rPr>
        <w:t>, which took effect in October 2020. Pursuant to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standards, any entity or person who has the authority or right to determine the purposes for and methods of using or processing personal information are seen as a personal data controller. Such personal data controller is required to collect information in accordance with applicable laws, and prior to collecting such data, the information provider’s consent is required.</w:t>
      </w:r>
    </w:p>
    <w:p>
      <w:pPr>
        <w:spacing w:after="0" w:line="128"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 xml:space="preserve">On November 28, 2019, the Secretary Bureau of the CAC, the General Office of the Ministry of Industry and Information Technology, the General Office of the Ministry of Public Security and the General Office of the State Administration for Market Regulation jointly issued the </w:t>
      </w:r>
      <w:r>
        <w:rPr>
          <w:rFonts w:ascii="Times New Roman" w:cs="Times New Roman" w:eastAsia="Times New Roman" w:hAnsi="Times New Roman"/>
          <w:sz w:val="16"/>
          <w:szCs w:val="16"/>
          <w:i w:val="1"/>
          <w:iCs w:val="1"/>
          <w:color w:val="auto"/>
        </w:rPr>
        <w:t>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 the Measures for Determining the Illegal Collection and Use of Personal Information through Mobile Applications</w:t>
      </w:r>
      <w:r>
        <w:rPr>
          <w:rFonts w:ascii="Times New Roman" w:cs="Times New Roman" w:eastAsia="Times New Roman" w:hAnsi="Times New Roman"/>
          <w:sz w:val="16"/>
          <w:szCs w:val="16"/>
          <w:color w:val="auto"/>
        </w:rPr>
        <w:t>, which aims to provide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reference for supervision and administration departments and provide guidance for mobile applications operators’ internal examination and internal correction and social supervision by netizens, and further elaborates the forms of behavior constituting illegal collection and use of the personal information through mobile applications including: (i) failing to publish the rules on the collection and use of personal information; (ii) failing to explicitly explain the purposes, methods and scope of the collection and use of personal information; (iii) collecting and using personal information without the users’ consent; (iv) collecting personal information unrelated to the services they provide and beyond the necessary principle; (v) providing personal information to others without the users’ consent; (vi) failing to provide the function of deleting or correcting the personal information according to the laws or failing to publish information such as ways of filing complaints and reports.</w:t>
      </w:r>
    </w:p>
    <w:p>
      <w:pPr>
        <w:spacing w:after="0" w:line="131"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color w:val="auto"/>
        </w:rPr>
        <w:t xml:space="preserve">In addition, on May 28, 2020, the National People’s Congress of China approved the </w:t>
      </w:r>
      <w:r>
        <w:rPr>
          <w:rFonts w:ascii="Times New Roman" w:cs="Times New Roman" w:eastAsia="Times New Roman" w:hAnsi="Times New Roman"/>
          <w:sz w:val="16"/>
          <w:szCs w:val="16"/>
          <w:i w:val="1"/>
          <w:iCs w:val="1"/>
          <w:color w:val="auto"/>
        </w:rPr>
        <w:t>PRC Civil Code</w:t>
      </w:r>
      <w:r>
        <w:rPr>
          <w:rFonts w:ascii="Times New Roman" w:cs="Times New Roman" w:eastAsia="Times New Roman" w:hAnsi="Times New Roman"/>
          <w:sz w:val="16"/>
          <w:szCs w:val="16"/>
          <w:color w:val="auto"/>
        </w:rPr>
        <w:t xml:space="preserve">, which took effect on January 1, 2021. Pursuant to the </w:t>
      </w:r>
      <w:r>
        <w:rPr>
          <w:rFonts w:ascii="Times New Roman" w:cs="Times New Roman" w:eastAsia="Times New Roman" w:hAnsi="Times New Roman"/>
          <w:sz w:val="16"/>
          <w:szCs w:val="16"/>
          <w:i w:val="1"/>
          <w:iCs w:val="1"/>
          <w:color w:val="auto"/>
        </w:rPr>
        <w:t>PRC Civil Code</w:t>
      </w:r>
      <w:r>
        <w:rPr>
          <w:rFonts w:ascii="Times New Roman" w:cs="Times New Roman" w:eastAsia="Times New Roman" w:hAnsi="Times New Roman"/>
          <w:sz w:val="16"/>
          <w:szCs w:val="16"/>
          <w:color w:val="auto"/>
        </w:rPr>
        <w:t>, the collection, storage, use, process, transmission, provision and disclosure of personal information should follow the principles of legitimacy, properness and necessity.</w:t>
      </w:r>
    </w:p>
    <w:p>
      <w:pPr>
        <w:spacing w:after="0" w:line="126"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 xml:space="preserve">On May 12, 2021, the CAC issued the </w:t>
      </w:r>
      <w:r>
        <w:rPr>
          <w:rFonts w:ascii="Times New Roman" w:cs="Times New Roman" w:eastAsia="Times New Roman" w:hAnsi="Times New Roman"/>
          <w:sz w:val="16"/>
          <w:szCs w:val="16"/>
          <w:i w:val="1"/>
          <w:iCs w:val="1"/>
          <w:color w:val="auto"/>
        </w:rPr>
        <w:t>Several Provisions on Automobile Data Security Management (Draft for Comment)</w:t>
      </w:r>
      <w:r>
        <w:rPr>
          <w:rFonts w:ascii="Times New Roman" w:cs="Times New Roman" w:eastAsia="Times New Roman" w:hAnsi="Times New Roman"/>
          <w:sz w:val="16"/>
          <w:szCs w:val="16"/>
          <w:color w:val="auto"/>
        </w:rPr>
        <w:t xml:space="preserve">, which further elaborates the principles and requirements for the protection of personal information and important data in the automobile industry scenarios, and defines enterprise or institution engaged in the automobile design, manufacture, and service as an operator. Such operator is required to process personal information or important data in accordance with applicable laws and regulations during the process of design, production, sales, operation, maintenance, and management of automobile. On August 16, 2021, the CAC, the NDRC, the Ministry of Public Security, the Ministry of Industry and Information Technology and the Ministry of Transport jointly promulgated the </w:t>
      </w:r>
      <w:r>
        <w:rPr>
          <w:rFonts w:ascii="Times New Roman" w:cs="Times New Roman" w:eastAsia="Times New Roman" w:hAnsi="Times New Roman"/>
          <w:sz w:val="16"/>
          <w:szCs w:val="16"/>
          <w:i w:val="1"/>
          <w:iCs w:val="1"/>
          <w:color w:val="auto"/>
        </w:rPr>
        <w:t>Several Provisions on Automobile Data Security Management (Trial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Implementation)</w:t>
      </w:r>
      <w:r>
        <w:rPr>
          <w:rFonts w:ascii="Times New Roman" w:cs="Times New Roman" w:eastAsia="Times New Roman" w:hAnsi="Times New Roman"/>
          <w:sz w:val="16"/>
          <w:szCs w:val="16"/>
          <w:color w:val="auto"/>
        </w:rPr>
        <w:t>, or the Provisions on Automobile Data Security, which took effect from October 1, 2021 and clearly defines the definition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automobile data, automobile data processing, automobile data processor, personal information, sensitive personal information and important data, and aims to regulate the collection, analysis, storage, utilization, provision, publication, and cross-border transmission of personal information and important data generated throughout the lifecycle of automobiles by automobile designers, producers and service providers. Automobile data processors, including automobile manufacturers, compartment and software providers, dealers, maintenance providers are required to process personal information and important data in accordance with applicable laws during the automobile design, manufacture, sales, operation, maintenance and management. To process personal information, automobile data processors shall obtain the consent of the individual or conform to other circumstances stipulated by laws and regulations. Pursuant to the Provisions on Automobile Data Security, important data shall be stored within the PRC and a cross-border data security assessment shall be conducted by the national cyberspace administration authority in concert with departments under the State Council if there is a need to provide such data overseas. The security management for the cross-border transfer of personal information which is not included in important data shall be governed by the PRC laws and regulations. To process important data, automobile data processors shall conduct risk assessment in accordance with regulations and submit risk assessment reports to related departments at provincial levels.</w:t>
      </w:r>
    </w:p>
    <w:p>
      <w:pPr>
        <w:spacing w:after="0" w:line="138"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 xml:space="preserve">On June 10, 2021, the Standing Committee of the National People’s Congress of China promulgated the </w:t>
      </w:r>
      <w:r>
        <w:rPr>
          <w:rFonts w:ascii="Times New Roman" w:cs="Times New Roman" w:eastAsia="Times New Roman" w:hAnsi="Times New Roman"/>
          <w:sz w:val="16"/>
          <w:szCs w:val="16"/>
          <w:i w:val="1"/>
          <w:iCs w:val="1"/>
          <w:color w:val="auto"/>
        </w:rPr>
        <w:t>Data Security Law of the PRC</w:t>
      </w:r>
      <w:r>
        <w:rPr>
          <w:rFonts w:ascii="Times New Roman" w:cs="Times New Roman" w:eastAsia="Times New Roman" w:hAnsi="Times New Roman"/>
          <w:sz w:val="16"/>
          <w:szCs w:val="16"/>
          <w:color w:val="auto"/>
        </w:rPr>
        <w:t xml:space="preserve">, which took effect in September 2021. The Data Security Law sets forth data security and privacy related compliance obligations on entities and individuals carrying out data related activities. The Data Security Law also introduces a data classification and layered protection system based on the importance of data and the degree of impact on national security, public interests or legitimate rights and interests of individuals or organizations when such data is tampered with, destroyed, leaked or illegally acquired or used. In addition, the Data Security Law provides a national security review procedure for those data activities that may affect national security, and imposes export restrictions on certain data and information. According to the </w:t>
      </w:r>
      <w:r>
        <w:rPr>
          <w:rFonts w:ascii="Times New Roman" w:cs="Times New Roman" w:eastAsia="Times New Roman" w:hAnsi="Times New Roman"/>
          <w:sz w:val="16"/>
          <w:szCs w:val="16"/>
          <w:i w:val="1"/>
          <w:iCs w:val="1"/>
          <w:color w:val="auto"/>
        </w:rPr>
        <w:t>PRC National Security Law</w:t>
      </w:r>
      <w:r>
        <w:rPr>
          <w:rFonts w:ascii="Times New Roman" w:cs="Times New Roman" w:eastAsia="Times New Roman" w:hAnsi="Times New Roman"/>
          <w:sz w:val="16"/>
          <w:szCs w:val="16"/>
          <w:color w:val="auto"/>
        </w:rPr>
        <w:t>, the State shall establish institutions and mechanisms for national security review and regulation, and conduct national security review on certain matters that affect or may affect PRC national security, such as key technologies and IT products and services. Furthermore, the Data Security Law also provides that any organization or individual within the territory of the PRC shall not provide any foreign judicial body and law enforcement body with any data without the approval of the competent PRC governmental authorities. In early July 2021, regulatory authorities in China launched cybersecurity investigations with regard to several China-based companies that are listed in the United States.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In July 2021, General Office of the Central Committee of the Communist Party of China and the General Office of the State Council jointly issued the </w:t>
      </w:r>
      <w:r>
        <w:rPr>
          <w:rFonts w:ascii="Times New Roman" w:cs="Times New Roman" w:eastAsia="Times New Roman" w:hAnsi="Times New Roman"/>
          <w:sz w:val="16"/>
          <w:szCs w:val="16"/>
          <w:i w:val="1"/>
          <w:iCs w:val="1"/>
          <w:color w:val="auto"/>
        </w:rPr>
        <w:t>Opinions on Severely Cracking Down on Illegal Securities Activities According to Law</w:t>
      </w:r>
      <w:r>
        <w:rPr>
          <w:rFonts w:ascii="Times New Roman" w:cs="Times New Roman" w:eastAsia="Times New Roman" w:hAnsi="Times New Roman"/>
          <w:sz w:val="16"/>
          <w:szCs w:val="16"/>
          <w:color w:val="auto"/>
        </w:rPr>
        <w:t>, which were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regulatory systems, will be taken to deal with the risks and incidents of China-concept overseas listed companies. As of the date of this annual report, we have not received any inquiry, notice, warning, or sanctions from PRC governmental authorities in connection with the above contents of the opinions.</w:t>
      </w:r>
    </w:p>
    <w:p>
      <w:pPr>
        <w:spacing w:after="0" w:line="16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On December 28, 2021, the CAC, the NDRC, the Ministry of Industry and Information Technology, the Ministry of Public Security, the Ministry of National Security, the Ministry of Finance, the Ministry of Commerce, the People’s Bank of China, the State Administration for Market Regulation, the National Radio and Television Administration, the CSRC, the National Administration of State Secrets Protection and the State Cryptography Administration jointly released the </w:t>
      </w:r>
      <w:r>
        <w:rPr>
          <w:rFonts w:ascii="Times New Roman" w:cs="Times New Roman" w:eastAsia="Times New Roman" w:hAnsi="Times New Roman"/>
          <w:sz w:val="16"/>
          <w:szCs w:val="16"/>
          <w:i w:val="1"/>
          <w:iCs w:val="1"/>
          <w:color w:val="auto"/>
        </w:rPr>
        <w:t>Cybersecurity Review Measures</w:t>
      </w:r>
      <w:r>
        <w:rPr>
          <w:rFonts w:ascii="Times New Roman" w:cs="Times New Roman" w:eastAsia="Times New Roman" w:hAnsi="Times New Roman"/>
          <w:sz w:val="16"/>
          <w:szCs w:val="16"/>
          <w:color w:val="auto"/>
        </w:rPr>
        <w:t>, which took effect on February 15, 2022. Pursuant to the Cybersecurity Review Measures, network platform operators with information of over one million users shall be subject to cybersecurity review before listing abroad. The cybersecurity review will evaluate, among other things, the risk of critical information infrastructure, core data, important data, or the risk of a large amount of personal information being influenced, controlled or maliciously used by foreign governments after going public, and cyber information security risk.</w:t>
      </w:r>
    </w:p>
    <w:p>
      <w:pPr>
        <w:spacing w:after="0" w:line="16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On July 30, 2021, the Ministry of Industry and Information Technology issued the Opinion on Strengthening the Access Administration of Intelligent Connected Vehicles Manufacturing Enterprises and Their Products, which provided responsibilities of intelligent connected vehicles manufacturing enterprises, and required such enterprises to strengthen the management of vehicle data security, cyber security, software updates, function safety and intended function safety. Furthermore, this opinion stated that vehicles manufacturing enterprises shall conduct cybersecurity reviews prior to transmitting data abroad.</w:t>
      </w:r>
    </w:p>
    <w:p>
      <w:pPr>
        <w:spacing w:after="0" w:line="159"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 xml:space="preserve">On July 30, 2021, the State Council promulgated the </w:t>
      </w:r>
      <w:r>
        <w:rPr>
          <w:rFonts w:ascii="Times New Roman" w:cs="Times New Roman" w:eastAsia="Times New Roman" w:hAnsi="Times New Roman"/>
          <w:sz w:val="16"/>
          <w:szCs w:val="16"/>
          <w:i w:val="1"/>
          <w:iCs w:val="1"/>
          <w:color w:val="auto"/>
        </w:rPr>
        <w:t>Regulations on the Protection of the Security of Critical Information Infrastructure</w:t>
      </w:r>
      <w:r>
        <w:rPr>
          <w:rFonts w:ascii="Times New Roman" w:cs="Times New Roman" w:eastAsia="Times New Roman" w:hAnsi="Times New Roman"/>
          <w:sz w:val="16"/>
          <w:szCs w:val="16"/>
          <w:color w:val="auto"/>
        </w:rPr>
        <w:t>, which took effect in September 2021. These regulations supplement and specify the provisions on the security of critical information infrastructure as stated in the Cyber Security Law. These regulations provide, among other things, that protection department of certain industry or sector shall notify the operator of the critical information infrastructure in time after the identification of certain critical information infrastructure. According to these regulations, operators of certain industries or sectors that may endanger national security, people’s livelihood and public interest in case of damage, function loss or data leakage may be identified as critical information infrastructure operators by the CAC or the respective industrial regulatory authorities once they meet the identification standards promulgated by the authorities.</w:t>
      </w:r>
    </w:p>
    <w:p>
      <w:pPr>
        <w:spacing w:after="0" w:line="162"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On August 20, 2021, the Standing Committee of the National People’s Congress of China promulgated the </w:t>
      </w:r>
      <w:r>
        <w:rPr>
          <w:rFonts w:ascii="Times New Roman" w:cs="Times New Roman" w:eastAsia="Times New Roman" w:hAnsi="Times New Roman"/>
          <w:sz w:val="16"/>
          <w:szCs w:val="16"/>
          <w:i w:val="1"/>
          <w:iCs w:val="1"/>
          <w:color w:val="auto"/>
        </w:rPr>
        <w:t>Personal Information Protection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Law of the PRC</w:t>
      </w:r>
      <w:r>
        <w:rPr>
          <w:rFonts w:ascii="Times New Roman" w:cs="Times New Roman" w:eastAsia="Times New Roman" w:hAnsi="Times New Roman"/>
          <w:sz w:val="16"/>
          <w:szCs w:val="16"/>
          <w:color w:val="auto"/>
        </w:rPr>
        <w:t>, which took effect in November 2021. As the first systematic and comprehensive law specifically for the protection of personal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in the PRC, the Personal Information Protection Law provides, among other things, that (i) an individual’s separate consent shall be obtained before operation of such individual’s sensitive personal information, e.g., biometric characteristics and individual location tracking, (ii) personal information operators operating sensitive personal information shall notify individuals of the necessity of such operations and the influence on the individuals’ rights, (iii) if personal information operators reject individuals’ requests to exercise their rights, individuals may file a lawsuit with a People’s Court.</w:t>
      </w:r>
    </w:p>
    <w:p>
      <w:pPr>
        <w:spacing w:after="0" w:line="361"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 xml:space="preserve">On October 29, 2021, the CAC issued the </w:t>
      </w:r>
      <w:r>
        <w:rPr>
          <w:rFonts w:ascii="Times New Roman" w:cs="Times New Roman" w:eastAsia="Times New Roman" w:hAnsi="Times New Roman"/>
          <w:sz w:val="16"/>
          <w:szCs w:val="16"/>
          <w:i w:val="1"/>
          <w:iCs w:val="1"/>
          <w:color w:val="auto"/>
        </w:rPr>
        <w:t>Measures for the Security Assessment of Data Exit (Draft for Comment)</w:t>
      </w:r>
      <w:r>
        <w:rPr>
          <w:rFonts w:ascii="Times New Roman" w:cs="Times New Roman" w:eastAsia="Times New Roman" w:hAnsi="Times New Roman"/>
          <w:sz w:val="16"/>
          <w:szCs w:val="16"/>
          <w:color w:val="auto"/>
        </w:rPr>
        <w:t xml:space="preserve">, and on July 7, 2022, the CAC finally adopted the </w:t>
      </w:r>
      <w:r>
        <w:rPr>
          <w:rFonts w:ascii="Times New Roman" w:cs="Times New Roman" w:eastAsia="Times New Roman" w:hAnsi="Times New Roman"/>
          <w:sz w:val="16"/>
          <w:szCs w:val="16"/>
          <w:i w:val="1"/>
          <w:iCs w:val="1"/>
          <w:color w:val="auto"/>
        </w:rPr>
        <w:t>Measures for the Security Assessment of Data Exit</w:t>
      </w:r>
      <w:r>
        <w:rPr>
          <w:rFonts w:ascii="Times New Roman" w:cs="Times New Roman" w:eastAsia="Times New Roman" w:hAnsi="Times New Roman"/>
          <w:sz w:val="16"/>
          <w:szCs w:val="16"/>
          <w:color w:val="auto"/>
        </w:rPr>
        <w:t>, which took into effect on September 1, 2022 and stipulates that data processors who provide overseas the personal information and important data collected and generated during operations within the PRC shall be subject to security assessment by the CAC. Specifically, if the data processor provides data overseas and meets one of the following circumstances, it shall declare the security assessment: (i) personal information by operators of critical information infrastructure; (ii) the data contains important data;</w:t>
      </w:r>
    </w:p>
    <w:p>
      <w:pPr>
        <w:spacing w:after="0" w:line="1" w:lineRule="exact"/>
        <w:rPr>
          <w:sz w:val="20"/>
          <w:szCs w:val="20"/>
          <w:color w:val="auto"/>
        </w:rPr>
      </w:pPr>
    </w:p>
    <w:p>
      <w:pPr>
        <w:jc w:val="both"/>
        <w:spacing w:after="0" w:line="264" w:lineRule="auto"/>
        <w:tabs>
          <w:tab w:leader="none" w:pos="31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personal information processors who have processed personal information of one million people provide personal information abroad; (iv) accumulatively provided personal information of more than one hundred thousand people or sensitive personal information of more than ten thousand people abroad since January 1 of the previous year; and (v) other circumstances as specified by the CAC. The assessment results of the data exit are valid for two years.</w:t>
      </w:r>
    </w:p>
    <w:p>
      <w:pPr>
        <w:spacing w:after="0" w:line="162"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On December 8, 2022, the Ministry of Industry and Information Technology published the </w:t>
      </w:r>
      <w:r>
        <w:rPr>
          <w:rFonts w:ascii="Times New Roman" w:cs="Times New Roman" w:eastAsia="Times New Roman" w:hAnsi="Times New Roman"/>
          <w:sz w:val="16"/>
          <w:szCs w:val="16"/>
          <w:i w:val="1"/>
          <w:iCs w:val="1"/>
          <w:color w:val="auto"/>
        </w:rPr>
        <w:t>Administration Measures on Data Security 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Field of Industry and Information Technology (Trial Implementation)</w:t>
      </w:r>
      <w:r>
        <w:rPr>
          <w:rFonts w:ascii="Times New Roman" w:cs="Times New Roman" w:eastAsia="Times New Roman" w:hAnsi="Times New Roman"/>
          <w:sz w:val="16"/>
          <w:szCs w:val="16"/>
          <w:color w:val="auto"/>
        </w:rPr>
        <w:t>, which took effect on January 1, 2023. Such measures require the industrial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telecom data processors to further implement data classification and hierarchical management, take necessary measures to ensure that data remains effectively protected and being lawfully applied and conduct data security risk monitoring. Such measures also provide the definitions of “core data” and “important data” in the field of industry and information technology.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 xml:space="preserve">On February 22, 2023, the CAC promulgated the </w:t>
      </w:r>
      <w:r>
        <w:rPr>
          <w:rFonts w:ascii="Times New Roman" w:cs="Times New Roman" w:eastAsia="Times New Roman" w:hAnsi="Times New Roman"/>
          <w:sz w:val="16"/>
          <w:szCs w:val="16"/>
          <w:i w:val="1"/>
          <w:iCs w:val="1"/>
          <w:color w:val="auto"/>
        </w:rPr>
        <w:t>Measures for the Standard Contract for Cross-border Transfer of Personal Information</w:t>
      </w:r>
      <w:r>
        <w:rPr>
          <w:rFonts w:ascii="Times New Roman" w:cs="Times New Roman" w:eastAsia="Times New Roman" w:hAnsi="Times New Roman"/>
          <w:sz w:val="16"/>
          <w:szCs w:val="16"/>
          <w:color w:val="auto"/>
        </w:rPr>
        <w:t xml:space="preserve"> (the “Measures for Standard Contract”), which became effective on June 1, 2023. The Measures for Standard Contract requires that any personal information processor transferring personal information abroad by entering into the standard contract shall meet all of the following conditions: (i) it is not a critical information infrastructure operator; (ii) it processes the personal information of less than 1 million individuals; (iii) it has cumulatively transferred abroad the personal information of less than 100,000 individuals since January 1 of the previous year; and (iv) it has cumulatively transferred abroad the sensitive personal information of less than 10,000 individuals since January 1 of the previous year. Where there are other relevant provisions in any laws, administrative regulations or rules of the CAC, such provisions shall apply. It also emphasizes that any personal information processor shall not use methods such as quantity splitting of the personal information that is required by law to undergo the security assessment for data cross-border transfer under the Measures for Data Cross-border Transfer. The standard contract shall be concluded in strict accordance with the annex of the Measures for Standard Contract, and the personal information processors shall, within 10 working days after the standard contract enters into effect, apply for filing with the local cyberspace administration at the provincial level.</w:t>
      </w:r>
    </w:p>
    <w:p>
      <w:pPr>
        <w:spacing w:after="0" w:line="167"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 xml:space="preserve">On March 22, 2024, the </w:t>
      </w:r>
      <w:r>
        <w:rPr>
          <w:rFonts w:ascii="Times New Roman" w:cs="Times New Roman" w:eastAsia="Times New Roman" w:hAnsi="Times New Roman"/>
          <w:sz w:val="16"/>
          <w:szCs w:val="16"/>
          <w:i w:val="1"/>
          <w:iCs w:val="1"/>
          <w:color w:val="auto"/>
        </w:rPr>
        <w:t>Provisions on Promoting and Regulating Cross-border Data Flows</w:t>
      </w:r>
      <w:r>
        <w:rPr>
          <w:rFonts w:ascii="Times New Roman" w:cs="Times New Roman" w:eastAsia="Times New Roman" w:hAnsi="Times New Roman"/>
          <w:sz w:val="16"/>
          <w:szCs w:val="16"/>
          <w:color w:val="auto"/>
        </w:rPr>
        <w:t xml:space="preserve"> (the “New Provisions on Cross-border Data Flows”), which were promulgated by the CAC, became effective. Under the New Provisions on Cross-border Data Flows, to provide the data collected and generated in such activities as international trade, cross-border transport, academic cooperation, transnational manufacturing and marketing, which do not contain personal information or important data, to overseas parties, it is exempted from declaring security assessment for data to be provided abroad, concluding a standard contract for personal information to be provided abroad or passing authentication for protection of personal information. It also emphasizes that, where a data processor other than a critical information infrastructure operator provides abroad the personal information (excluding sensitive personal information) of not more than 100,000 persons accumulatively as of January 1 of the current year, it may be exempted from declaring security assessment for data to be provided abroad, concluding a standard contract for personal information to be provided abroad or passing authentication for protection of personal information.</w:t>
      </w:r>
    </w:p>
    <w:p>
      <w:pPr>
        <w:spacing w:after="0" w:line="16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On May 24, 2024, the Ministry of Industry and Information Technology issued the </w:t>
      </w:r>
      <w:r>
        <w:rPr>
          <w:rFonts w:ascii="Times New Roman" w:cs="Times New Roman" w:eastAsia="Times New Roman" w:hAnsi="Times New Roman"/>
          <w:sz w:val="16"/>
          <w:szCs w:val="16"/>
          <w:i w:val="1"/>
          <w:iCs w:val="1"/>
          <w:color w:val="auto"/>
        </w:rPr>
        <w:t>Implementing Rules for the Risk Assessment of Data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Security in the Field of Industry and Information Technology (Trial Implementation)</w:t>
      </w:r>
      <w:r>
        <w:rPr>
          <w:rFonts w:ascii="Times New Roman" w:cs="Times New Roman" w:eastAsia="Times New Roman" w:hAnsi="Times New Roman"/>
          <w:sz w:val="16"/>
          <w:szCs w:val="16"/>
          <w:color w:val="auto"/>
        </w:rPr>
        <w:t>, which took effect on June 1, 2024. Such implementing rules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apply to data security risk assessment activities conducted by important data or core data processors in the field of industry and information technology in China. General data processors may also refer to these rules to conduct data security risk assessment. The implementing rules establish data security risk assessment mechanisms at both ministerial and provincial levels, refine assessment obligations of processors of important data and core data, and clarify the mechanism and procedures for competent industrial authorities to supervise and administer such assessment activities.</w:t>
      </w:r>
    </w:p>
    <w:p>
      <w:pPr>
        <w:spacing w:after="0" w:line="163" w:lineRule="exact"/>
        <w:rPr>
          <w:sz w:val="20"/>
          <w:szCs w:val="20"/>
          <w:color w:val="auto"/>
        </w:rPr>
      </w:pPr>
    </w:p>
    <w:p>
      <w:pPr>
        <w:jc w:val="both"/>
        <w:ind w:firstLine="594"/>
        <w:spacing w:after="0" w:line="272" w:lineRule="auto"/>
        <w:rPr>
          <w:sz w:val="20"/>
          <w:szCs w:val="20"/>
          <w:color w:val="auto"/>
        </w:rPr>
      </w:pPr>
      <w:r>
        <w:rPr>
          <w:rFonts w:ascii="Times New Roman" w:cs="Times New Roman" w:eastAsia="Times New Roman" w:hAnsi="Times New Roman"/>
          <w:sz w:val="16"/>
          <w:szCs w:val="16"/>
          <w:color w:val="auto"/>
        </w:rPr>
        <w:t xml:space="preserve">On September 24, 2024, the </w:t>
      </w:r>
      <w:r>
        <w:rPr>
          <w:rFonts w:ascii="Times New Roman" w:cs="Times New Roman" w:eastAsia="Times New Roman" w:hAnsi="Times New Roman"/>
          <w:sz w:val="16"/>
          <w:szCs w:val="16"/>
          <w:i w:val="1"/>
          <w:iCs w:val="1"/>
          <w:color w:val="auto"/>
        </w:rPr>
        <w:t>Regulation on Network Data Security Management</w:t>
      </w:r>
      <w:r>
        <w:rPr>
          <w:rFonts w:ascii="Times New Roman" w:cs="Times New Roman" w:eastAsia="Times New Roman" w:hAnsi="Times New Roman"/>
          <w:sz w:val="16"/>
          <w:szCs w:val="16"/>
          <w:color w:val="auto"/>
        </w:rPr>
        <w:t xml:space="preserve"> was promulgated by the State Council, and became effective as of January 1, 2025. This regulation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E-Commerce</w:t>
      </w:r>
    </w:p>
    <w:p>
      <w:pPr>
        <w:spacing w:after="0" w:line="214"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 xml:space="preserve">On August 31, 2018, the Standing Committee of the National People’s Congress of China promulgated the </w:t>
      </w:r>
      <w:r>
        <w:rPr>
          <w:rFonts w:ascii="Times New Roman" w:cs="Times New Roman" w:eastAsia="Times New Roman" w:hAnsi="Times New Roman"/>
          <w:sz w:val="16"/>
          <w:szCs w:val="16"/>
          <w:i w:val="1"/>
          <w:iCs w:val="1"/>
          <w:color w:val="auto"/>
        </w:rPr>
        <w:t>E-Commerce Law of the PRC</w:t>
      </w:r>
      <w:r>
        <w:rPr>
          <w:rFonts w:ascii="Times New Roman" w:cs="Times New Roman" w:eastAsia="Times New Roman" w:hAnsi="Times New Roman"/>
          <w:sz w:val="16"/>
          <w:szCs w:val="16"/>
          <w:color w:val="auto"/>
        </w:rPr>
        <w:t>, which took effect as of January 1, 2019. The E-Commerce Law establishes the regulatory framework for the e-commerce sector in the PRC for the first time by laying out certain requirements on e-commerce platform operators. According to the E-Commerce Law, the e-commerce platform operators shall prepare a contingency plan for cybersecurity events and take technological measures and other measures to prevent online illegal and criminal activities. The E-Commerce Law also expressly requires e-commerce platform operators to take necessary actions to ensure fair dealing on their platforms to safeguard the legitimate rights and interests of consumers, including to prepare platform service agreements and transaction information record-keeping and transaction rules, to prominently display such documents on the platform’s website, and to keep such information for no less than three years following the completion of a transaction. Where the e-commerce platform operators conduct its own business on their platforms, they shall distinguish and mark their business from the businesses of the business operators using the platform in a prominent manner, and shall not mislead consumers. The e-commerce platform operators shall bear civil liability of a commodity seller or service provider for its own business, pursuant to the law.</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Insurance Brokerage</w:t>
      </w:r>
    </w:p>
    <w:p>
      <w:pPr>
        <w:spacing w:after="0" w:line="214"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 xml:space="preserve">According to </w:t>
      </w:r>
      <w:r>
        <w:rPr>
          <w:rFonts w:ascii="Times New Roman" w:cs="Times New Roman" w:eastAsia="Times New Roman" w:hAnsi="Times New Roman"/>
          <w:sz w:val="16"/>
          <w:szCs w:val="16"/>
          <w:i w:val="1"/>
          <w:iCs w:val="1"/>
          <w:color w:val="auto"/>
        </w:rPr>
        <w:t>Insurance Law of the PRC</w:t>
      </w:r>
      <w:r>
        <w:rPr>
          <w:rFonts w:ascii="Times New Roman" w:cs="Times New Roman" w:eastAsia="Times New Roman" w:hAnsi="Times New Roman"/>
          <w:sz w:val="16"/>
          <w:szCs w:val="16"/>
          <w:color w:val="auto"/>
        </w:rPr>
        <w:t xml:space="preserve"> promulgated by the Standing Committee of the National People’s Congress of China on June 30, 1995 and latest amended on April 24, 2015, which took effect on April 24, 2015, insurance brokers shall meet the conditions prescribed by the insurance regulatory agency of the State Council and obtain the license for operating insurance brokerage business. On February 1, 2018, China Insurance Regulatory Commission which has been merged into the China Banking and Insurance Regulatory Commission, promulgated the </w:t>
      </w:r>
      <w:r>
        <w:rPr>
          <w:rFonts w:ascii="Times New Roman" w:cs="Times New Roman" w:eastAsia="Times New Roman" w:hAnsi="Times New Roman"/>
          <w:sz w:val="16"/>
          <w:szCs w:val="16"/>
          <w:i w:val="1"/>
          <w:iCs w:val="1"/>
          <w:color w:val="auto"/>
        </w:rPr>
        <w:t xml:space="preserve">Regulatory Provisions </w:t>
      </w:r>
      <w:r>
        <w:rPr>
          <w:rFonts w:ascii="Times New Roman" w:cs="Times New Roman" w:eastAsia="Times New Roman" w:hAnsi="Times New Roman"/>
          <w:sz w:val="16"/>
          <w:szCs w:val="16"/>
          <w:color w:val="auto"/>
        </w:rPr>
        <w:t>on</w:t>
      </w:r>
      <w:r>
        <w:rPr>
          <w:rFonts w:ascii="Times New Roman" w:cs="Times New Roman" w:eastAsia="Times New Roman" w:hAnsi="Times New Roman"/>
          <w:sz w:val="16"/>
          <w:szCs w:val="16"/>
          <w:i w:val="1"/>
          <w:iCs w:val="1"/>
          <w:color w:val="auto"/>
        </w:rPr>
        <w:t xml:space="preserve"> Insurance Brokerages</w:t>
      </w:r>
      <w:r>
        <w:rPr>
          <w:rFonts w:ascii="Times New Roman" w:cs="Times New Roman" w:eastAsia="Times New Roman" w:hAnsi="Times New Roman"/>
          <w:sz w:val="16"/>
          <w:szCs w:val="16"/>
          <w:color w:val="auto"/>
        </w:rPr>
        <w:t>, which took effect on May 1, 2018. Pursuant to these provisions, insurance brokers shall mean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institutions which provide intermediary services for execution of insurance contracts between policyholders and insurance companies based on interests of policyholders and collect commissions, including insurance brokerage companies and their branches. Any insurance brokerage company operating insurance brokerage businesses in the PRC shall satisfy the stipulated criteria and obtain a license for operating insurance brokerage businesses. Whoever illegally engages in insurance brokerage business without a license shall be banned, and its illegal gains shall be confiscated and it shall be fined not less than one time and not more than five times the illegal gains; if there is no illegal gains or the illegal gains are less than RMB50,000, a fine of not less than RMB50,000 and not more than RMB300,000 shall be imposed.</w:t>
      </w:r>
    </w:p>
    <w:p>
      <w:pPr>
        <w:spacing w:after="0" w:line="167"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Service Guidelines for Approval of the Establishment of Insurance Brokerage Institutions</w:t>
      </w:r>
      <w:r>
        <w:rPr>
          <w:rFonts w:ascii="Times New Roman" w:cs="Times New Roman" w:eastAsia="Times New Roman" w:hAnsi="Times New Roman"/>
          <w:sz w:val="16"/>
          <w:szCs w:val="16"/>
          <w:color w:val="auto"/>
        </w:rPr>
        <w:t xml:space="preserve"> issued by the China Banking and Insurance Regulatory Commission on September 30, 2021, insurance brokers whose foreign investment ratio is higher than or equal to 25% after penetrating cumulative calculation are regarded as foreign-invested insurance brokers. Pursuant to the </w:t>
      </w:r>
      <w:r>
        <w:rPr>
          <w:rFonts w:ascii="Times New Roman" w:cs="Times New Roman" w:eastAsia="Times New Roman" w:hAnsi="Times New Roman"/>
          <w:sz w:val="16"/>
          <w:szCs w:val="16"/>
          <w:i w:val="1"/>
          <w:iCs w:val="1"/>
          <w:color w:val="auto"/>
        </w:rPr>
        <w:t>Notice of the CBIRC General Office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Clarifying Relevant Measures for the Opening-up of the Insurance broker Market </w:t>
      </w:r>
      <w:r>
        <w:rPr>
          <w:rFonts w:ascii="Times New Roman" w:cs="Times New Roman" w:eastAsia="Times New Roman" w:hAnsi="Times New Roman"/>
          <w:sz w:val="16"/>
          <w:szCs w:val="16"/>
          <w:color w:val="auto"/>
        </w:rPr>
        <w:t>issued by the China Banking and Insurance Regulatory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Commission on December 3, 2021, overseas insurance brokerage companies with actual business experience and complying with the provisions of the China Banking and Insurance Regulatory Commission are permitted to invest in and establish insurance brokerage companies in China to engage in insurance brokerage business. However, in practice, subject to the qualifications set by the China Banking and Insurance Regulatory Commission for foreign shareholders of the insurance brokerage companies, the China Banking and Insurance Regulatory Commission typically would not approve the establishment of foreign-invested insurance brokerage companies.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Land and the Development of Construction Projects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Land Grants</w:t>
      </w:r>
    </w:p>
    <w:p>
      <w:pPr>
        <w:spacing w:after="0" w:line="214"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Under the </w:t>
      </w:r>
      <w:r>
        <w:rPr>
          <w:rFonts w:ascii="Times New Roman" w:cs="Times New Roman" w:eastAsia="Times New Roman" w:hAnsi="Times New Roman"/>
          <w:sz w:val="16"/>
          <w:szCs w:val="16"/>
          <w:i w:val="1"/>
          <w:iCs w:val="1"/>
          <w:color w:val="auto"/>
        </w:rPr>
        <w:t>Interim Regulations on Assignment and Transfer of the Rights to the Use of the State-owned Urban Land of the PRC</w:t>
      </w:r>
      <w:r>
        <w:rPr>
          <w:rFonts w:ascii="Times New Roman" w:cs="Times New Roman" w:eastAsia="Times New Roman" w:hAnsi="Times New Roman"/>
          <w:sz w:val="16"/>
          <w:szCs w:val="16"/>
          <w:color w:val="auto"/>
        </w:rPr>
        <w:t xml:space="preserve">, promulgated by the State Council on May 19, 1990 and latest amended on November 29, 2020, a system of assignment and transfer of the right to use state-owned land was adopted. A land user must pay land premiums to the state as consideration for the assignment of the right to use a land site within a certain term, and the land user who obtained the right to use the land may transfer, lease out, mortgage or otherwise commercially exploit the land within the term of use. Under the </w:t>
      </w:r>
      <w:r>
        <w:rPr>
          <w:rFonts w:ascii="Times New Roman" w:cs="Times New Roman" w:eastAsia="Times New Roman" w:hAnsi="Times New Roman"/>
          <w:sz w:val="16"/>
          <w:szCs w:val="16"/>
          <w:i w:val="1"/>
          <w:iCs w:val="1"/>
          <w:color w:val="auto"/>
        </w:rPr>
        <w:t>Interim Regulations on Assignment and Transfer of the Rights to the Use of the State-owned Urban Land of the PRC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Law of the PRC on Urban Real Estate Administration</w:t>
      </w:r>
      <w:r>
        <w:rPr>
          <w:rFonts w:ascii="Times New Roman" w:cs="Times New Roman" w:eastAsia="Times New Roman" w:hAnsi="Times New Roman"/>
          <w:sz w:val="16"/>
          <w:szCs w:val="16"/>
          <w:color w:val="auto"/>
        </w:rPr>
        <w:t>, the local land administration authority may enter into an assignment contract with the land user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assignment of land use rights. The land user is required to pay the land premium as provided in the assignment contract. After the full payment of the land premium, the land user must register with the land administration authority and obtain a land use rights certificate which evidences the acquisition of land use rights.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Planning of a Construction Project</w:t>
      </w:r>
    </w:p>
    <w:p>
      <w:pPr>
        <w:spacing w:after="0" w:line="214"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Regulations on Planning Administration regarding Assignment and Transfer of the Rights to Use of the State-Owned Land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Urban Area </w:t>
      </w:r>
      <w:r>
        <w:rPr>
          <w:rFonts w:ascii="Times New Roman" w:cs="Times New Roman" w:eastAsia="Times New Roman" w:hAnsi="Times New Roman"/>
          <w:sz w:val="16"/>
          <w:szCs w:val="16"/>
          <w:color w:val="auto"/>
        </w:rPr>
        <w:t>promulgated by the Ministry of Construction in December 1992 and amended in January 2011, a construction land planning permit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be obtained from the municipal planning authority with respect to the planning and use of land. According to the </w:t>
      </w:r>
      <w:r>
        <w:rPr>
          <w:rFonts w:ascii="Times New Roman" w:cs="Times New Roman" w:eastAsia="Times New Roman" w:hAnsi="Times New Roman"/>
          <w:sz w:val="16"/>
          <w:szCs w:val="16"/>
          <w:i w:val="1"/>
          <w:iCs w:val="1"/>
          <w:color w:val="auto"/>
        </w:rPr>
        <w:t>Urban and Rural Planning Law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the PRC </w:t>
      </w:r>
      <w:r>
        <w:rPr>
          <w:rFonts w:ascii="Times New Roman" w:cs="Times New Roman" w:eastAsia="Times New Roman" w:hAnsi="Times New Roman"/>
          <w:sz w:val="16"/>
          <w:szCs w:val="16"/>
          <w:color w:val="auto"/>
        </w:rPr>
        <w:t>promulgated by the Standing Committee of the National People’s Congress of China on October 28, 2007 and latest amended on April 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2019, a construction work planning permit must be obtained from the competent urban and rural planning government authority for the construction of any structure, fixture, road, pipeline or other engineering project within an urban or rural planning area.</w:t>
      </w:r>
    </w:p>
    <w:p>
      <w:pPr>
        <w:spacing w:after="0" w:line="165"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 xml:space="preserve">After obtaining a construction work planning permit, subject to certain exceptions, a construction enterprise must apply for a construction work commencement permit from the construction authority under the local people’s government at the county level or above in accordance with the </w:t>
      </w:r>
      <w:r>
        <w:rPr>
          <w:rFonts w:ascii="Times New Roman" w:cs="Times New Roman" w:eastAsia="Times New Roman" w:hAnsi="Times New Roman"/>
          <w:sz w:val="16"/>
          <w:szCs w:val="16"/>
          <w:i w:val="1"/>
          <w:iCs w:val="1"/>
          <w:color w:val="auto"/>
        </w:rPr>
        <w:t xml:space="preserve">Administrative Provisions on Construction Permit of Construction Projects </w:t>
      </w:r>
      <w:r>
        <w:rPr>
          <w:rFonts w:ascii="Times New Roman" w:cs="Times New Roman" w:eastAsia="Times New Roman" w:hAnsi="Times New Roman"/>
          <w:sz w:val="16"/>
          <w:szCs w:val="16"/>
          <w:color w:val="auto"/>
        </w:rPr>
        <w:t>promulgated by the Ministry of Housing and Urban-Rural Development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June 25, 2014 and implemented on October 25, 2014 and latest amended on March 30, 2021.</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Administrative Measures for Reporting Details Regarding Acceptance Examination upon Completion of Buildings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Municipal Infrastructure </w:t>
      </w:r>
      <w:r>
        <w:rPr>
          <w:rFonts w:ascii="Times New Roman" w:cs="Times New Roman" w:eastAsia="Times New Roman" w:hAnsi="Times New Roman"/>
          <w:sz w:val="16"/>
          <w:szCs w:val="16"/>
          <w:color w:val="auto"/>
        </w:rPr>
        <w:t>promulgated by the Ministry of Construction on April 4, 2000 and amended on October 19, 2009 and the</w:t>
      </w:r>
      <w:r>
        <w:rPr>
          <w:rFonts w:ascii="Times New Roman" w:cs="Times New Roman" w:eastAsia="Times New Roman" w:hAnsi="Times New Roman"/>
          <w:sz w:val="16"/>
          <w:szCs w:val="16"/>
          <w:i w:val="1"/>
          <w:iCs w:val="1"/>
          <w:color w:val="auto"/>
        </w:rPr>
        <w:t xml:space="preserve"> Provisions on Acceptance Examination upon Completion of Buildings and Municipal Infrastructure </w:t>
      </w:r>
      <w:r>
        <w:rPr>
          <w:rFonts w:ascii="Times New Roman" w:cs="Times New Roman" w:eastAsia="Times New Roman" w:hAnsi="Times New Roman"/>
          <w:sz w:val="16"/>
          <w:szCs w:val="16"/>
          <w:color w:val="auto"/>
        </w:rPr>
        <w:t>promulgated and implemented by the Ministry of Housing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Urban - Rural Development on December 2, 2013, upon the completion of a construction project, the construction enterprise must submit an application to the competent department in the people’s government at or above county level where the project is located, for examination upon completion of building and for filing purpose; and to obtain the filing form for acceptance and examination upon completion of construction project.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Environmental Protection and Work Safety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Environmental Protection</w:t>
      </w:r>
    </w:p>
    <w:p>
      <w:pPr>
        <w:spacing w:after="0" w:line="214"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Environmental Protection Law of the PRC</w:t>
      </w:r>
      <w:r>
        <w:rPr>
          <w:rFonts w:ascii="Times New Roman" w:cs="Times New Roman" w:eastAsia="Times New Roman" w:hAnsi="Times New Roman"/>
          <w:sz w:val="16"/>
          <w:szCs w:val="16"/>
          <w:color w:val="auto"/>
        </w:rPr>
        <w:t xml:space="preserve"> promulgated by the Standing Committee of the National People’s Congress of China, on December 26, 1989, latest amended on April 24, 2014 and effective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Environmental protection authorities impose various administrative penalties on persons or enterprises in violation of the Environmental Protection Law. Such penalties include warnings, fines, orders to rectify within the prescribed period, orders to cease construction, orders to restrict or suspend production, orders to make recovery, orders to disclose information or make an announcement, imposition of administrative action against responsible persons, and orders to shut down enterprises. Any person or entity that pollutes the environment resulting in damage could also be held liable under the </w:t>
      </w:r>
      <w:r>
        <w:rPr>
          <w:rFonts w:ascii="Times New Roman" w:cs="Times New Roman" w:eastAsia="Times New Roman" w:hAnsi="Times New Roman"/>
          <w:sz w:val="16"/>
          <w:szCs w:val="16"/>
          <w:i w:val="1"/>
          <w:iCs w:val="1"/>
          <w:color w:val="auto"/>
        </w:rPr>
        <w:t>PRC Civil Code</w:t>
      </w:r>
      <w:r>
        <w:rPr>
          <w:rFonts w:ascii="Times New Roman" w:cs="Times New Roman" w:eastAsia="Times New Roman" w:hAnsi="Times New Roman"/>
          <w:sz w:val="16"/>
          <w:szCs w:val="16"/>
          <w:color w:val="auto"/>
        </w:rPr>
        <w:t>. In addition, environmental organizations may also bring lawsuits against any entity that discharges pollutants detrimental to the public welfare.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Work Safety</w:t>
      </w:r>
    </w:p>
    <w:p>
      <w:pPr>
        <w:spacing w:after="0" w:line="214"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 xml:space="preserve">Under construction safety laws and regulations, including the </w:t>
      </w:r>
      <w:r>
        <w:rPr>
          <w:rFonts w:ascii="Times New Roman" w:cs="Times New Roman" w:eastAsia="Times New Roman" w:hAnsi="Times New Roman"/>
          <w:sz w:val="16"/>
          <w:szCs w:val="16"/>
          <w:i w:val="1"/>
          <w:iCs w:val="1"/>
          <w:color w:val="auto"/>
        </w:rPr>
        <w:t>Work Safety Law of the PRC,</w:t>
      </w:r>
      <w:r>
        <w:rPr>
          <w:rFonts w:ascii="Times New Roman" w:cs="Times New Roman" w:eastAsia="Times New Roman" w:hAnsi="Times New Roman"/>
          <w:sz w:val="16"/>
          <w:szCs w:val="16"/>
          <w:color w:val="auto"/>
        </w:rPr>
        <w:t xml:space="preserve"> which was promulgated by the Standing Committee of the National People’s Congress of China on June 29, 2002, latest amended on June 10, 2021 and took effect on September 1, 2021,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 employees with protective equipment that meets the national standards or industrial standards. Furthermore, production and operating business entities shall report their major hazard sources and related safety and emergency measures to the emergency management department and other departments for the record, and establish a safety risk grading control system and take corresponding control measures. Automobile and components manufacturers are subject to the above-mentioned environment protection and work safety requirements.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Fire Control</w:t>
      </w:r>
    </w:p>
    <w:p>
      <w:pPr>
        <w:spacing w:after="0" w:line="214"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Fire Control Law of the PRC</w:t>
      </w:r>
      <w:r>
        <w:rPr>
          <w:rFonts w:ascii="Times New Roman" w:cs="Times New Roman" w:eastAsia="Times New Roman" w:hAnsi="Times New Roman"/>
          <w:sz w:val="16"/>
          <w:szCs w:val="16"/>
          <w:color w:val="auto"/>
        </w:rPr>
        <w:t xml:space="preserve"> promulgated by the Standing Committee of the National People’s Congress of China on April 29, 1998 and latest amended on April 29, 2021, for special construction projects stipulated by the housing and urban-rural development authority of the State Council, the developer shall submit the fire safety design documents to the housing and urban-rural development authority for examination, while for construction projects other than those stipulated as special development projects, the developer shall, at the time of applying for the construction permit or approval for work commencement report, provide the fire safety design drawings and technical materials which satisfy the construction needs. According to the </w:t>
      </w:r>
      <w:r>
        <w:rPr>
          <w:rFonts w:ascii="Times New Roman" w:cs="Times New Roman" w:eastAsia="Times New Roman" w:hAnsi="Times New Roman"/>
          <w:sz w:val="16"/>
          <w:szCs w:val="16"/>
          <w:i w:val="1"/>
          <w:iCs w:val="1"/>
          <w:color w:val="auto"/>
        </w:rPr>
        <w:t>Interim Regulations on Administration of Examination and Acceptance of Fire Control Design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Construction Projects </w:t>
      </w:r>
      <w:r>
        <w:rPr>
          <w:rFonts w:ascii="Times New Roman" w:cs="Times New Roman" w:eastAsia="Times New Roman" w:hAnsi="Times New Roman"/>
          <w:sz w:val="16"/>
          <w:szCs w:val="16"/>
          <w:color w:val="auto"/>
        </w:rPr>
        <w:t>promulgated on April 1, 2020 and effective on June 1, 2020, which was latest amended on August 21, 2023, an examination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system for fire prevention design and acceptance only applies to special construction projects, and for other projects, a record-filing and spot check system would be applied.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Intellectual Property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Patent Law</w:t>
      </w:r>
    </w:p>
    <w:p>
      <w:pPr>
        <w:spacing w:after="0" w:line="214"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Patent Law of the PRC</w:t>
      </w:r>
      <w:r>
        <w:rPr>
          <w:rFonts w:ascii="Times New Roman" w:cs="Times New Roman" w:eastAsia="Times New Roman" w:hAnsi="Times New Roman"/>
          <w:sz w:val="16"/>
          <w:szCs w:val="16"/>
          <w:color w:val="auto"/>
        </w:rPr>
        <w:t xml:space="preserve"> promulgated by the Standing Committee of the National People’s Congress of China on March 12, 1984 and was latest amended in October 2020 and took effect on June 1, 2021, the State Intellectual Property Office is responsible for administering patent law in the PRC. The patent administration departments of provincial, autonomous region or municipal governments are responsible for administering patent law within their respective jurisdictions. The Chinese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The protection period is twenty years for an invention patent and ten years for a utility model patent and fifteen years for a design patent, commencing from their respective application dates.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Copyright</w:t>
      </w:r>
    </w:p>
    <w:p>
      <w:pPr>
        <w:spacing w:after="0" w:line="214"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Copyright Law of the PRC</w:t>
      </w:r>
      <w:r>
        <w:rPr>
          <w:rFonts w:ascii="Times New Roman" w:cs="Times New Roman" w:eastAsia="Times New Roman" w:hAnsi="Times New Roman"/>
          <w:sz w:val="16"/>
          <w:szCs w:val="16"/>
          <w:color w:val="auto"/>
        </w:rPr>
        <w:t xml:space="preserve"> which took effect on June 1, 1991 and was latest amended in 2020 and took effect on June 1, 2021,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 According to the Copyright Law, an infringer of the copyrights shall be subject to various civil liabilities, which include ceasing infringement activities, apologizing to the copyright owners and compensating the loss of the copyright owner. Infringers of a copyright may also be subject to fines and/or administrative or criminal liabilities in severe situations.</w:t>
      </w:r>
    </w:p>
    <w:p>
      <w:pPr>
        <w:spacing w:after="0" w:line="163" w:lineRule="exact"/>
        <w:rPr>
          <w:sz w:val="20"/>
          <w:szCs w:val="20"/>
          <w:color w:val="auto"/>
        </w:rPr>
      </w:pPr>
    </w:p>
    <w:p>
      <w:pPr>
        <w:jc w:val="both"/>
        <w:ind w:firstLine="594"/>
        <w:spacing w:after="0" w:line="272"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Computer Software Copyright Protection Regulations</w:t>
      </w:r>
      <w:r>
        <w:rPr>
          <w:rFonts w:ascii="Times New Roman" w:cs="Times New Roman" w:eastAsia="Times New Roman" w:hAnsi="Times New Roman"/>
          <w:sz w:val="16"/>
          <w:szCs w:val="16"/>
          <w:color w:val="auto"/>
        </w:rPr>
        <w:t xml:space="preserve"> promulgated by the State Council on December 20, 2001, latest amended on January 30, 2013 and took effect on March 1,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Trademark Law</w:t>
      </w:r>
    </w:p>
    <w:p>
      <w:pPr>
        <w:spacing w:after="0" w:line="214"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 xml:space="preserve">Trademarks are protected by the </w:t>
      </w:r>
      <w:r>
        <w:rPr>
          <w:rFonts w:ascii="Times New Roman" w:cs="Times New Roman" w:eastAsia="Times New Roman" w:hAnsi="Times New Roman"/>
          <w:sz w:val="16"/>
          <w:szCs w:val="16"/>
          <w:i w:val="1"/>
          <w:iCs w:val="1"/>
          <w:color w:val="auto"/>
        </w:rPr>
        <w:t>Trademark Law of the PRC</w:t>
      </w:r>
      <w:r>
        <w:rPr>
          <w:rFonts w:ascii="Times New Roman" w:cs="Times New Roman" w:eastAsia="Times New Roman" w:hAnsi="Times New Roman"/>
          <w:sz w:val="16"/>
          <w:szCs w:val="16"/>
          <w:color w:val="auto"/>
        </w:rPr>
        <w:t xml:space="preserve"> which was adopted on August 23, 1982 and latest amended in 2019, as well as by the </w:t>
      </w:r>
      <w:r>
        <w:rPr>
          <w:rFonts w:ascii="Times New Roman" w:cs="Times New Roman" w:eastAsia="Times New Roman" w:hAnsi="Times New Roman"/>
          <w:sz w:val="16"/>
          <w:szCs w:val="16"/>
          <w:i w:val="1"/>
          <w:iCs w:val="1"/>
          <w:color w:val="auto"/>
        </w:rPr>
        <w:t>Implementation Regulations of the PRC Trademark Law</w:t>
      </w:r>
      <w:r>
        <w:rPr>
          <w:rFonts w:ascii="Times New Roman" w:cs="Times New Roman" w:eastAsia="Times New Roman" w:hAnsi="Times New Roman"/>
          <w:sz w:val="16"/>
          <w:szCs w:val="16"/>
          <w:color w:val="auto"/>
        </w:rPr>
        <w:t xml:space="preserve"> adopted by the State Council in 2002 and latest amended on April 29, 2014. The Trademark Office under the State Administration for Market Regulation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its record. As with patents, the Trademark Law of the PRC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Domain Names</w:t>
      </w:r>
    </w:p>
    <w:p>
      <w:pPr>
        <w:spacing w:after="0" w:line="214"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The Ministry of Industry and Information Technology promulgated the </w:t>
      </w:r>
      <w:r>
        <w:rPr>
          <w:rFonts w:ascii="Times New Roman" w:cs="Times New Roman" w:eastAsia="Times New Roman" w:hAnsi="Times New Roman"/>
          <w:sz w:val="16"/>
          <w:szCs w:val="16"/>
          <w:i w:val="1"/>
          <w:iCs w:val="1"/>
          <w:color w:val="auto"/>
        </w:rPr>
        <w:t>Measures on Administration of Internet Domain Names</w:t>
      </w:r>
      <w:r>
        <w:rPr>
          <w:rFonts w:ascii="Times New Roman" w:cs="Times New Roman" w:eastAsia="Times New Roman" w:hAnsi="Times New Roman"/>
          <w:sz w:val="16"/>
          <w:szCs w:val="16"/>
          <w:color w:val="auto"/>
        </w:rPr>
        <w:t xml:space="preserve"> on August 24, 2017, which took effect on November 1, 2017. According to these measures, the Ministry of Industry and Information Technology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Foreign Investment in China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Catalogue for the Guidance of Foreign Investment Industries</w:t>
      </w:r>
    </w:p>
    <w:p>
      <w:pPr>
        <w:spacing w:after="0" w:line="214"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 xml:space="preserve">Investments in the PRC by foreign investors and foreign-invested enterprises were regulated by the </w:t>
      </w:r>
      <w:r>
        <w:rPr>
          <w:rFonts w:ascii="Times New Roman" w:cs="Times New Roman" w:eastAsia="Times New Roman" w:hAnsi="Times New Roman"/>
          <w:sz w:val="16"/>
          <w:szCs w:val="16"/>
          <w:i w:val="1"/>
          <w:iCs w:val="1"/>
          <w:color w:val="auto"/>
        </w:rPr>
        <w:t>Catalogue for the Guidance of Foreign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Investment Industries</w:t>
      </w:r>
      <w:r>
        <w:rPr>
          <w:rFonts w:ascii="Times New Roman" w:cs="Times New Roman" w:eastAsia="Times New Roman" w:hAnsi="Times New Roman"/>
          <w:sz w:val="16"/>
          <w:szCs w:val="16"/>
          <w:color w:val="auto"/>
        </w:rPr>
        <w:t>, jointly promulgated by the Ministry of Commerce and NDRC on June 28, 1995 and amended from time to time. This catalogue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was last repealed by the </w:t>
      </w:r>
      <w:r>
        <w:rPr>
          <w:rFonts w:ascii="Times New Roman" w:cs="Times New Roman" w:eastAsia="Times New Roman" w:hAnsi="Times New Roman"/>
          <w:sz w:val="16"/>
          <w:szCs w:val="16"/>
          <w:i w:val="1"/>
          <w:iCs w:val="1"/>
          <w:color w:val="auto"/>
        </w:rPr>
        <w:t>Special Administrative Measures (Negative List) for Foreign Investment Access (2024 Version)</w:t>
      </w:r>
      <w:r>
        <w:rPr>
          <w:rFonts w:ascii="Times New Roman" w:cs="Times New Roman" w:eastAsia="Times New Roman" w:hAnsi="Times New Roman"/>
          <w:sz w:val="16"/>
          <w:szCs w:val="16"/>
          <w:color w:val="auto"/>
        </w:rPr>
        <w:t xml:space="preserve">, or the 2024 Negative List, which was jointly promulgated by the Ministry of Commerce and the NDRC on September 6, 2024 and took effect on November 1, 2024, and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Catalogue of Industries for Encouraging Foreign Investment (2025 Version)</w:t>
      </w:r>
      <w:r>
        <w:rPr>
          <w:rFonts w:ascii="Times New Roman" w:cs="Times New Roman" w:eastAsia="Times New Roman" w:hAnsi="Times New Roman"/>
          <w:sz w:val="16"/>
          <w:szCs w:val="16"/>
          <w:color w:val="auto"/>
        </w:rPr>
        <w:t>, or the 2022 Encouraging Catalogue, which was jointly promulgated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Ministry of Commerce and the NDRC on October 26, 2022 and took effect on January 1, 2023. The 2022 Encouraging Catalogue and the 2024 Negative List set out the industries and economic activities in which foreign investment in the PRC is encouraged, restricted or prohibited. Pursuant to the 2022 Encouraging Catalogue, the research and development and manufacture of key parts and components of NEVs fall within the encouraged catalogue, and the 2024 Negative List lifts the limit on foreign ownership of automakers for ICE passenger vehicles. However, the 2024 Negative List provides that foreign investors shall hold no more than 50% of the equity interest in a service provider operating certain value-added telecommunications services (other than for e-commerce, domestic multi-parties communications, storage and forwarding categories, call centers), and foreign investors are prohibited to invest in certain services related to autonomous driving.</w:t>
      </w:r>
    </w:p>
    <w:p>
      <w:pPr>
        <w:spacing w:after="0" w:line="164"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The establishment, operation and management of corporate entities in the PRC is governed by the </w:t>
      </w:r>
      <w:r>
        <w:rPr>
          <w:rFonts w:ascii="Times New Roman" w:cs="Times New Roman" w:eastAsia="Times New Roman" w:hAnsi="Times New Roman"/>
          <w:sz w:val="16"/>
          <w:szCs w:val="16"/>
          <w:i w:val="1"/>
          <w:iCs w:val="1"/>
          <w:color w:val="auto"/>
        </w:rPr>
        <w:t>PRC Company Law</w:t>
      </w:r>
      <w:r>
        <w:rPr>
          <w:rFonts w:ascii="Times New Roman" w:cs="Times New Roman" w:eastAsia="Times New Roman" w:hAnsi="Times New Roman"/>
          <w:sz w:val="16"/>
          <w:szCs w:val="16"/>
          <w:color w:val="auto"/>
        </w:rPr>
        <w:t xml:space="preserve">, which was latest amended on December 29, 2023 and took effect on July 1, 2024. The </w:t>
      </w:r>
      <w:r>
        <w:rPr>
          <w:rFonts w:ascii="Times New Roman" w:cs="Times New Roman" w:eastAsia="Times New Roman" w:hAnsi="Times New Roman"/>
          <w:sz w:val="16"/>
          <w:szCs w:val="16"/>
          <w:i w:val="1"/>
          <w:iCs w:val="1"/>
          <w:color w:val="auto"/>
        </w:rPr>
        <w:t>PRC Company Law</w:t>
      </w:r>
      <w:r>
        <w:rPr>
          <w:rFonts w:ascii="Times New Roman" w:cs="Times New Roman" w:eastAsia="Times New Roman" w:hAnsi="Times New Roman"/>
          <w:sz w:val="16"/>
          <w:szCs w:val="16"/>
          <w:color w:val="auto"/>
        </w:rPr>
        <w:t xml:space="preserve"> governs two types of companies—limited liability companies and joint stock limited companies. The </w:t>
      </w:r>
      <w:r>
        <w:rPr>
          <w:rFonts w:ascii="Times New Roman" w:cs="Times New Roman" w:eastAsia="Times New Roman" w:hAnsi="Times New Roman"/>
          <w:sz w:val="16"/>
          <w:szCs w:val="16"/>
          <w:i w:val="1"/>
          <w:iCs w:val="1"/>
          <w:color w:val="auto"/>
        </w:rPr>
        <w:t>PRC Company Law</w:t>
      </w:r>
      <w:r>
        <w:rPr>
          <w:rFonts w:ascii="Times New Roman" w:cs="Times New Roman" w:eastAsia="Times New Roman" w:hAnsi="Times New Roman"/>
          <w:sz w:val="16"/>
          <w:szCs w:val="16"/>
          <w:color w:val="auto"/>
        </w:rPr>
        <w:t xml:space="preserve"> shall also apply to foreign-invested companies. Where laws on foreign investment have other stipulations, such stipulations shall prevail. The primary amendments in the latest amended </w:t>
      </w:r>
      <w:r>
        <w:rPr>
          <w:rFonts w:ascii="Times New Roman" w:cs="Times New Roman" w:eastAsia="Times New Roman" w:hAnsi="Times New Roman"/>
          <w:sz w:val="16"/>
          <w:szCs w:val="16"/>
          <w:i w:val="1"/>
          <w:iCs w:val="1"/>
          <w:color w:val="auto"/>
        </w:rPr>
        <w:t>PRC Company Law</w:t>
      </w:r>
      <w:r>
        <w:rPr>
          <w:rFonts w:ascii="Times New Roman" w:cs="Times New Roman" w:eastAsia="Times New Roman" w:hAnsi="Times New Roman"/>
          <w:sz w:val="16"/>
          <w:szCs w:val="16"/>
          <w:color w:val="auto"/>
        </w:rPr>
        <w:t xml:space="preserve"> include revisions aimed at improving the company’s establishment and exit system, optimizing the company’s organizational structure, detailing exercise of shareholder rights, perfecting the company’s capital system and strengthening the responsibilities of controlling shareholders and management personnel, etc. The establishment procedures, approval or record-filing procedures, registered capital requirements, foreign exchange matters, accounting practices, taxation and labor matters of a wholly foreign-owned enterprise are regulated by the </w:t>
      </w:r>
      <w:r>
        <w:rPr>
          <w:rFonts w:ascii="Times New Roman" w:cs="Times New Roman" w:eastAsia="Times New Roman" w:hAnsi="Times New Roman"/>
          <w:sz w:val="16"/>
          <w:szCs w:val="16"/>
          <w:i w:val="1"/>
          <w:iCs w:val="1"/>
          <w:color w:val="auto"/>
        </w:rPr>
        <w:t>Foreign Investment Law of the PRC</w:t>
      </w:r>
      <w:r>
        <w:rPr>
          <w:rFonts w:ascii="Times New Roman" w:cs="Times New Roman" w:eastAsia="Times New Roman" w:hAnsi="Times New Roman"/>
          <w:sz w:val="16"/>
          <w:szCs w:val="16"/>
          <w:color w:val="auto"/>
        </w:rPr>
        <w:t>, which took effect on January 1, 2020.</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Investment Law</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On March 15, 2019, the National People’s Congress of China promulgated the Foreign Investment Law, which took effect on January 1, 2020. The Foreign Investment Law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Foreign Investment Law establishes the basic framework for the access to, and the promotion, protection and administration of foreign investments in view of investment protection and fair competition.</w:t>
      </w:r>
    </w:p>
    <w:p>
      <w:pPr>
        <w:spacing w:after="0" w:line="161"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According to the Foreign Investment Law, “foreign investment” refers to investment activities directly or indirectly conducted by one or more natural persons, business entities, or otherwise organizations of a foreign country, or collectively the foreign investor,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similar rights and interests of an enterprise within China; (iii) a foreign investor, individually or collectively with other investors, invests in a new project within China; and (iv) investments in other means as provided by laws, administrative regulations or the State Council.</w:t>
      </w:r>
    </w:p>
    <w:p>
      <w:pPr>
        <w:spacing w:after="0" w:line="16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According to the Foreign Investment Law, the State Council will publish or approve to publish a catalogue for special administrative measures, or the “negative list.” The Foreign Investment Law grants national treatment to foreign invested entities, except for those foreign invested entities that operate in industries deemed to be either “restricted” or “prohibited” in the “negative list.” Because the “negative list” has yet been published, it is unclear whether it will differ from the current 2024 Negative List. The Foreign Investment Law provides that foreign invested entities operating in foreign restricted or prohibited industries will require market entry clearance and other approvals from PRC governmental authorities.</w:t>
      </w:r>
    </w:p>
    <w:p>
      <w:pPr>
        <w:spacing w:after="0" w:line="161"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Furthermore, the Foreign Investment Law provides that foreign invested enterprises established before the implementation of the Foreign Investment Law may maintain their structure and corporate governance within five years after the implementation of the Foreign Investment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In addition, the Foreign Investment Law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w:t>
      </w:r>
    </w:p>
    <w:p>
      <w:pPr>
        <w:spacing w:after="0" w:line="161"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On December 26, 2019, the State Council promulgated the </w:t>
      </w:r>
      <w:r>
        <w:rPr>
          <w:rFonts w:ascii="Times New Roman" w:cs="Times New Roman" w:eastAsia="Times New Roman" w:hAnsi="Times New Roman"/>
          <w:sz w:val="16"/>
          <w:szCs w:val="16"/>
          <w:i w:val="1"/>
          <w:iCs w:val="1"/>
          <w:color w:val="auto"/>
        </w:rPr>
        <w:t>Implementation Regulations on the Foreign Investment Law of the PRC</w:t>
      </w:r>
      <w:r>
        <w:rPr>
          <w:rFonts w:ascii="Times New Roman" w:cs="Times New Roman" w:eastAsia="Times New Roman" w:hAnsi="Times New Roman"/>
          <w:sz w:val="16"/>
          <w:szCs w:val="16"/>
          <w:color w:val="auto"/>
        </w:rPr>
        <w:t>, effective on January 1, 2020, which further requires that foreign-invested enterprises and domestic enterprises shall be treated equally with respect to policy making and implementation. Pursuant to the Implementation Regulations on the Foreign Investment Law, if the existing foreign-invested enterprises fail to change their original forms as of January 1, 2025, the market regulation departments will not process other registration matters for the enterprises, and may disclose their information to the public.</w:t>
      </w:r>
    </w:p>
    <w:p>
      <w:pPr>
        <w:spacing w:after="0" w:line="157"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On December 30, 2019, the Ministry of Commerce and the State Administration for Market Regulation jointly issued the </w:t>
      </w:r>
      <w:r>
        <w:rPr>
          <w:rFonts w:ascii="Times New Roman" w:cs="Times New Roman" w:eastAsia="Times New Roman" w:hAnsi="Times New Roman"/>
          <w:sz w:val="16"/>
          <w:szCs w:val="16"/>
          <w:i w:val="1"/>
          <w:iCs w:val="1"/>
          <w:color w:val="auto"/>
        </w:rPr>
        <w:t>Measures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Reporting of Foreign Investment Information</w:t>
      </w:r>
      <w:r>
        <w:rPr>
          <w:rFonts w:ascii="Times New Roman" w:cs="Times New Roman" w:eastAsia="Times New Roman" w:hAnsi="Times New Roman"/>
          <w:sz w:val="16"/>
          <w:szCs w:val="16"/>
          <w:color w:val="auto"/>
        </w:rPr>
        <w:t>, which took effect on January 1, 2020. Since January 1, 2020, for foreign investors carrying 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activities directly or indirectly in the PRC, foreign investors or foreign-invested enterprises shall submit investment information through the enterprise registration system and the national enterprise credit information publicity system operated by the State Administration for Market Regulation. Foreign investors or foreign-invested enterprises shall disclose their investment information by submitting reports for their establishments, modifications and cancellations and their annual reports in accordance with these measures. If a foreign-invested enterprise investing in the PRC has finished submitting its reports for its establishment, modifications and cancellation and its annual reports, the information will be shared by the competent market regulation department to the competent commercial department, and such foreign-invested enterprise is not required to submit the reports to the two departments separately.</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Foreign Exchange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Principles of Foreign Exchange</w:t>
      </w:r>
    </w:p>
    <w:p>
      <w:pPr>
        <w:spacing w:after="0" w:line="214"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Under the </w:t>
      </w:r>
      <w:r>
        <w:rPr>
          <w:rFonts w:ascii="Times New Roman" w:cs="Times New Roman" w:eastAsia="Times New Roman" w:hAnsi="Times New Roman"/>
          <w:sz w:val="16"/>
          <w:szCs w:val="16"/>
          <w:i w:val="1"/>
          <w:iCs w:val="1"/>
          <w:color w:val="auto"/>
        </w:rPr>
        <w:t>Regulations on the Foreign Exchange System of the PRC</w:t>
      </w:r>
      <w:r>
        <w:rPr>
          <w:rFonts w:ascii="Times New Roman" w:cs="Times New Roman" w:eastAsia="Times New Roman" w:hAnsi="Times New Roman"/>
          <w:sz w:val="16"/>
          <w:szCs w:val="16"/>
          <w:color w:val="auto"/>
        </w:rPr>
        <w:t xml:space="preserve"> promulgated on January 29, 1996 and most recently amended on August 5, 2008 and various regulations issued by the State Administration of Foreign Exchange of the PRC, or the SAFE, and other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of capital account items, such as direct equity investments, loans and repatriation of investment, requires the prior approval from the SAFE or its local office.</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branch. Foreign exchange proceeds under the current accounts may be either retained or sold to a financial institution engaged in settlement and sale of foreign exchange pursuant to SAFE rules and regulations. For foreign exchange proceeds under the capital accounts, approval from the SAFE is required for the retention or sale of such proceeds to a financial institution engaged in settlement and sale of foreign exchange.</w:t>
      </w:r>
    </w:p>
    <w:p>
      <w:pPr>
        <w:spacing w:after="0" w:line="161"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Circular of the SAFE on Further Improving and Adjusting Foreign Exchange Administration Policies for Direct Investment</w:t>
      </w:r>
      <w:r>
        <w:rPr>
          <w:rFonts w:ascii="Times New Roman" w:cs="Times New Roman" w:eastAsia="Times New Roman" w:hAnsi="Times New Roman"/>
          <w:sz w:val="16"/>
          <w:szCs w:val="16"/>
          <w:color w:val="auto"/>
        </w:rPr>
        <w:t>, or the SAFE Circular No. 59, promulgated by SAFE on November 19, 2012, which took effect on December 17, 2012 and latest amended on December 30, 2019, approval of SAFE is not required for opening a foreign exchange account and depositing foreign exchange into the accounts relating to the direct investments. The SAFE Circular No. 59 also simplified foreign exchange-related registration required for the foreign investors to acquire the equity interests of Chinese companies and further improve the administration on foreign exchange settlement for foreign-invested enterprises.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94"/>
        <w:spacing w:after="0" w:line="272"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Circular on Further Simplifying and Improving the Foreign Currency Management Policy on Direct Investment</w:t>
      </w:r>
      <w:r>
        <w:rPr>
          <w:rFonts w:ascii="Times New Roman" w:cs="Times New Roman" w:eastAsia="Times New Roman" w:hAnsi="Times New Roman"/>
          <w:sz w:val="16"/>
          <w:szCs w:val="16"/>
          <w:color w:val="auto"/>
        </w:rPr>
        <w:t>, or the SAFE Circular No. 13, effective from June 1, 2015 and latest amended on December 30, 2019, cancels the administrative approvals of foreign exchange registration of direct domestic investment and direct overseas investment and simplifies the procedure of foreign exchange-related registration. Pursuant to SAFE Circular No. 13, the investors shall register with banks for direct domestic investment and direct overseas investment.</w:t>
      </w:r>
    </w:p>
    <w:p>
      <w:pPr>
        <w:spacing w:after="0" w:line="15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Circular on Reforming the Management Approach regarding the Settlement of Foreign Capital of Foreign-invested Enterprise</w:t>
      </w:r>
      <w:r>
        <w:rPr>
          <w:rFonts w:ascii="Times New Roman" w:cs="Times New Roman" w:eastAsia="Times New Roman" w:hAnsi="Times New Roman"/>
          <w:sz w:val="16"/>
          <w:szCs w:val="16"/>
          <w:color w:val="auto"/>
        </w:rPr>
        <w:t>, or the SAFE Circular No. 19, which was promulgated by the SAFE on March 30, 2015 and latest amended on March 23, 2023, provides that a foreign-invested enterprise may, according to its actual business needs, settle with a bank the portion of the foreign exchange capital in its capital account for which the foreign exchange administration has confirmed monetary capital contribution rights and interests (or for which the bank has registered the injection of the monetary capital contribution into the account). Pursuant to SAFE Circular No. 19,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foreign-invested enterprise must first go through domestic reinvestment­ registration and open a corresponding account for foreign exchange settlement pending payment with the foreign exchange administration or the bank at the place where it is registered.</w:t>
      </w:r>
    </w:p>
    <w:p>
      <w:pPr>
        <w:spacing w:after="0" w:line="364"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Circular on Reforming and Regulating Policies on the Control over Foreign Exchange Settlement of Capital Accounts</w:t>
      </w:r>
      <w:r>
        <w:rPr>
          <w:rFonts w:ascii="Times New Roman" w:cs="Times New Roman" w:eastAsia="Times New Roman" w:hAnsi="Times New Roman"/>
          <w:sz w:val="16"/>
          <w:szCs w:val="16"/>
          <w:color w:val="auto"/>
        </w:rPr>
        <w:t>, or the SAFE Circular No. 16, which was promulgated by the SAFE and took effect on June 9, 2016, and latest amended on December 4, 2023, provides that enterprises registered in the PRC may also convert their foreign debts from foreign currency into Renminbi at their own discretion. SAFE Circular No. 16 also provides an integrated standard for conversion of foreign exchange under capital account items (including, but not limited to, foreign currency capital and foreign debts) on a basis of self-discretion, which applies to all enterprises registered in the PRC.</w:t>
      </w:r>
    </w:p>
    <w:p>
      <w:pPr>
        <w:spacing w:after="0" w:line="157"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PRC Market Entities Registration Administrative Regulations</w:t>
      </w:r>
      <w:r>
        <w:rPr>
          <w:rFonts w:ascii="Times New Roman" w:cs="Times New Roman" w:eastAsia="Times New Roman" w:hAnsi="Times New Roman"/>
          <w:sz w:val="16"/>
          <w:szCs w:val="16"/>
          <w:color w:val="auto"/>
        </w:rPr>
        <w:t xml:space="preserve"> promulgated by the State Council on July 27, 2021 and effective on March 1, 2022, and other laws and regulations governing the foreign-invested enterprises and company registrations, the establishment of a foreign-invested enterprise and any capital increase and other major changes in a foreign-invested enterprise shall be registered with the State Administration for Market Regulation or its local counterparts, and shall be filed via the foreign investment comprehensive administrative system, if such foreign-invested enterprise does not involve special access administrative measures prescribed by the PRC government.</w:t>
      </w:r>
    </w:p>
    <w:p>
      <w:pPr>
        <w:spacing w:after="0" w:line="157"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 xml:space="preserve">On October 23, 2019, the SAFE issued the </w:t>
      </w:r>
      <w:r>
        <w:rPr>
          <w:rFonts w:ascii="Times New Roman" w:cs="Times New Roman" w:eastAsia="Times New Roman" w:hAnsi="Times New Roman"/>
          <w:sz w:val="16"/>
          <w:szCs w:val="16"/>
          <w:i w:val="1"/>
          <w:iCs w:val="1"/>
          <w:color w:val="auto"/>
        </w:rPr>
        <w:t>Circular on Further Promoting Cross-border Trade and Investment Facilitation</w:t>
      </w:r>
      <w:r>
        <w:rPr>
          <w:rFonts w:ascii="Times New Roman" w:cs="Times New Roman" w:eastAsia="Times New Roman" w:hAnsi="Times New Roman"/>
          <w:sz w:val="16"/>
          <w:szCs w:val="16"/>
          <w:color w:val="auto"/>
        </w:rPr>
        <w:t>. This circular allows the foreign-invested enterprises without equity investment as in their approved business scope to use their capital obtained from foreign exchange settlement to make domestic equity investment if the investments are real and in compliance with the foreign investment-related laws and regulations. In addition, this circular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 Payments for transactions that take place within the PRC must be made in RMB. Foreign currency revenues received by PRC companies may be repatriated into the PRC or retained outside of the PRC in accordance with requirements and terms specified by SAFE.</w:t>
      </w:r>
    </w:p>
    <w:p>
      <w:pPr>
        <w:spacing w:after="0" w:line="164"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Pursuant to SAFE Circular No. 13 and other laws and regulations relating to foreign exchange, when setting up a new foreign-invested enterprise, the foreign-invested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foreign-invested enterprise must register such changes with the bank located at its registered place after obtaining approval from or completing the filing with competent authorities. Pursuant to the foreign exchange laws and regulations, the above-mentioned foreign exchange registration with the banks will typically take less than four weeks upon the acceptance of the registration application.</w:t>
      </w:r>
    </w:p>
    <w:p>
      <w:pPr>
        <w:spacing w:after="0" w:line="161" w:lineRule="exact"/>
        <w:rPr>
          <w:sz w:val="20"/>
          <w:szCs w:val="20"/>
          <w:color w:val="auto"/>
        </w:rPr>
      </w:pPr>
    </w:p>
    <w:p>
      <w:pPr>
        <w:jc w:val="both"/>
        <w:ind w:firstLine="594"/>
        <w:spacing w:after="0" w:line="272" w:lineRule="auto"/>
        <w:rPr>
          <w:sz w:val="20"/>
          <w:szCs w:val="20"/>
          <w:color w:val="auto"/>
        </w:rPr>
      </w:pPr>
      <w:r>
        <w:rPr>
          <w:rFonts w:ascii="Times New Roman" w:cs="Times New Roman" w:eastAsia="Times New Roman" w:hAnsi="Times New Roman"/>
          <w:sz w:val="16"/>
          <w:szCs w:val="16"/>
          <w:color w:val="auto"/>
        </w:rPr>
        <w:t xml:space="preserve">On December 4, 2023, the SAFE issued the </w:t>
      </w:r>
      <w:r>
        <w:rPr>
          <w:rFonts w:ascii="Times New Roman" w:cs="Times New Roman" w:eastAsia="Times New Roman" w:hAnsi="Times New Roman"/>
          <w:sz w:val="16"/>
          <w:szCs w:val="16"/>
          <w:i w:val="1"/>
          <w:iCs w:val="1"/>
          <w:color w:val="auto"/>
        </w:rPr>
        <w:t>Circular on Further Deepening the Reform to Facilitate Cross-border Trade and Investment</w:t>
      </w:r>
      <w:r>
        <w:rPr>
          <w:rFonts w:ascii="Times New Roman" w:cs="Times New Roman" w:eastAsia="Times New Roman" w:hAnsi="Times New Roman"/>
          <w:sz w:val="16"/>
          <w:szCs w:val="16"/>
          <w:color w:val="auto"/>
        </w:rPr>
        <w:t>. This circular relaxes restrictions on the scale of preliminary expenses for overseas direct investment, facilitates the payment and use of funds from equity transfer under domestic reinvestment and funds raised from overseas listing of foreign direct investment, improves the administration of the negative list for the use of revenue under the capital account, and cancels the approval for the opening of foreign debt accounts at different locations.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Based on the foregoing, if we intend to provide funding to our wholly foreign-owned subsidiaries through capital injection at or after their establishment, we must register the establishment of and any follow-on capital increase in our wholly foreign-owned subsidiaries with the State Administration for Market Regulation or its local counterparts, file such via the foreign investment comprehensive administrative system and register such with the local banks for the foreign exchange related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Loans by the Foreign Companies to their PRC Subsidiaries</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 xml:space="preserve">A loan made by foreign investors as shareholders in a foreign-invested enterprise is considered to be foreign debt in China and is regulated by various laws and regulations, including the </w:t>
      </w:r>
      <w:r>
        <w:rPr>
          <w:rFonts w:ascii="Times New Roman" w:cs="Times New Roman" w:eastAsia="Times New Roman" w:hAnsi="Times New Roman"/>
          <w:sz w:val="16"/>
          <w:szCs w:val="16"/>
          <w:i w:val="1"/>
          <w:iCs w:val="1"/>
          <w:color w:val="auto"/>
        </w:rPr>
        <w:t>Regulation of the PRC on Foreign Exchange Administration</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Interim Provisions 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 of Foreign Debts</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Statistical Monitoring of Foreign Debts Tentative Provisions (Revised in 2020)</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Administrative Measures for Registration of Foreign Debts</w:t>
      </w:r>
      <w:r>
        <w:rPr>
          <w:rFonts w:ascii="Times New Roman" w:cs="Times New Roman" w:eastAsia="Times New Roman" w:hAnsi="Times New Roman"/>
          <w:sz w:val="16"/>
          <w:szCs w:val="16"/>
          <w:color w:val="auto"/>
        </w:rPr>
        <w:t>, and the</w:t>
      </w:r>
      <w:r>
        <w:rPr>
          <w:rFonts w:ascii="Times New Roman" w:cs="Times New Roman" w:eastAsia="Times New Roman" w:hAnsi="Times New Roman"/>
          <w:sz w:val="16"/>
          <w:szCs w:val="16"/>
          <w:i w:val="1"/>
          <w:iCs w:val="1"/>
          <w:color w:val="auto"/>
        </w:rPr>
        <w:t xml:space="preserve"> Administrative Measures for Examination and Registration of Medium and Long-term Foreign Debts of Enterprises</w:t>
      </w:r>
      <w:r>
        <w:rPr>
          <w:rFonts w:ascii="Times New Roman" w:cs="Times New Roman" w:eastAsia="Times New Roman" w:hAnsi="Times New Roman"/>
          <w:sz w:val="16"/>
          <w:szCs w:val="16"/>
          <w:color w:val="auto"/>
        </w:rPr>
        <w:t>. Under these rules and regulations, a shareholder loan in the form of foreign debt made to a PRC entity does not require the prior approval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SAFE. However, such foreign debt must be registered with and recorded by the SAFE or its local branches within fifteen (15) business days after entering into the foreign debt contract. Pursuant to these rules and regulations, the balance of the foreign debts of a foreign-invested enterprise shall not exceed the difference between the total investment and the registered capital of the foreign-invested enterprise, or the Total Investment and Registered Capital Balance.</w:t>
      </w:r>
    </w:p>
    <w:p>
      <w:pPr>
        <w:spacing w:after="0" w:line="367"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On January 12, 2017, the People’s Bank of China promulgated the Notice of the People’s Bank of China on Matters concerning the Macro-Prudential Management of Full-Covered Cross-Border Financing, or the PBOC Notice No. 9. Pursuant to PBOC Notice No. 9, within a transition period of one year from January 12, 2017, the foreign-invested enterprises may adopt the currently valid foreign debt management mechanism, or the mechanism as provided in PBOC Notice No. 9, at their own discretions. PBOC Notice No. 9 provides that enterprises may conduct independent cross-border financing in RMB or foreign currencies as required. Pursuant to PBOC Notice No. 9, the outstanding cross-border financing of an enterprise (the outstanding balance drawn, here and below) shall be calculated using a risk-weighted approach, and shall not exceed certain specified upper limits. PBOC Notice No. 9 further provides that the upper limit of risk-weighted outstanding cross-border financing for enterprises shall be equal to 200% of its net assets multiplied by macro-prudential regulation parameter, or the Net Asset Limits. The macro-prudential regulation parameter shall be 1. Enterprises shall file with the SAFE in its capital item information system after entering into the cross-border financing contracts and prior to three business days before drawing any money from the foreign debts. On July 20, 2023, the People’s Bank of China and the SAFE raised the macro-prudential regulation parameter for cross-border financing of enterprises and financial institutions from 1.25 to 1.5.</w:t>
      </w:r>
    </w:p>
    <w:p>
      <w:pPr>
        <w:spacing w:after="0" w:line="167"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Based on the foregoing, if we provide funding to our wholly foreign-owned subsidiaries through shareholder loans, the balance of such loans shall not exceed the Total Investment and Registered Capital Balance and we will need to register such loans with the SAFE or its local branches in the event that the currently valid foreign debt management mechanism applies, or the balance of such loans shall be subject to the risk-weighted approach and the Net Asset Limits and we will need to file the loans with the SAFE in its information system in the event that the mechanism as provided in PBOC Notice No. 9 applies. According to PBOC Notice No. 9, after a transition period of one year from January 12, 2017, the People’s Bank of China and the SAFE will determine the cross-border financing administration mechanism for the foreign-invested enterprises after evaluating the overall implementation of PBOC Notice No. 9. As of the date of this annual report, neither the People’s Bank of China nor the SAFE has promulgated and made public any further rules, regulations, notices or circulars in this regard. It is uncertain which mechanism will be adopted by the People’s Bank of China and the SAFE in the future and what statutory limits will be imposed on us when providing loans to our PRC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Offshore Investment</w:t>
      </w:r>
    </w:p>
    <w:p>
      <w:pPr>
        <w:spacing w:after="0" w:line="21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Under the Circular of the State Administration of Foreign Exchange on Issues Concerning the Foreign Exchange Administration over the Overseas Investment and Financing and Round-trip Investment by Domestic Residents via Special Purpose Vehicles, or the SAFE Circular 37, issued by the SAFE and effective on July 4, 2014, PRC residents are required to register with the local SAFE branch prior to the establishment or control of an offshore special purpose vehicle, which is defined as an offshore enterprise directly established or indirectly controlled by PRC residents for investment and financing purposes, with the enterprise assets or interests PRC residents hold in China or overseas. The term “control” means to obtain the operation rights, right to proceeds or decision-making power of an SPY through acquisition, trust, holding shares on behalf of others, voting rights, repurchase, convertible bonds or other means.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Operation Guidance for the Issues Concerning Foreign Exchange Administration over Round-trip Investment regarding the procedures for SAFE registration under SAFE Circular 37, which took effect on July 4, 2014 as an attachment of SAFE Circular 37.</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Under these rules, failure to comply with the registration procedures set forth in the SAFE Circular 37 may result in bans on the foreign exchange activities of the onshore company, including the payment of dividends and other distributions to its offshore parent or affiliates, and may also subject PRC residents to penalties under PRC foreign exchange administration regulations.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Dividend Distribution</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Wholly foreign-owned enterprises and Sino-foreign equity joint ventures in the PRC may pay dividends only out of their accumulated profits, if any, as determined in accordance with PRC accounting standards and regulations. Additionally, these foreign-invested enterprises may not pay dividends unless they set aside at least 10% of their respective accumulated profits after tax each year, if any, to fund certain reserve funds, until such time as the accumulative amount of such fund reaches 50% of the enterprise’s registered capital. In addition, these companies also may allocate a portion of their after-tax profits based on PRC accounting standards to employee welfare and bonus funds at their discretion. These reserves are not distributable as cash dividends.</w:t>
      </w:r>
    </w:p>
    <w:p>
      <w:pPr>
        <w:spacing w:after="0" w:line="16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Regulations governing abovementioned dividend distribution arrangements have been replaced by the Foreign Investment Law and its implementation rules, which do not provide specific dividend distribution rules for foreign invested enterprises. The Foreign Investment Law and its implementation rules also provide that after the conversion from a wholly foreign-owned enterprise or sino-foreign equity joint venture to a foreign invested enterprise under the Foreign Investment Law, distribution method of gains agreed in the joint venture agreements may continue to apply.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Taxation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Enterprise Income Tax</w:t>
      </w:r>
    </w:p>
    <w:p>
      <w:pPr>
        <w:spacing w:after="0" w:line="214"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 xml:space="preserve">On March 16, 2007, the Standing Committee of the National People’s Congress of China promulgated the </w:t>
      </w:r>
      <w:r>
        <w:rPr>
          <w:rFonts w:ascii="Times New Roman" w:cs="Times New Roman" w:eastAsia="Times New Roman" w:hAnsi="Times New Roman"/>
          <w:sz w:val="16"/>
          <w:szCs w:val="16"/>
          <w:i w:val="1"/>
          <w:iCs w:val="1"/>
          <w:color w:val="auto"/>
        </w:rPr>
        <w:t>PRC Enterprise Income Tax Law</w:t>
      </w:r>
      <w:r>
        <w:rPr>
          <w:rFonts w:ascii="Times New Roman" w:cs="Times New Roman" w:eastAsia="Times New Roman" w:hAnsi="Times New Roman"/>
          <w:sz w:val="16"/>
          <w:szCs w:val="16"/>
          <w:color w:val="auto"/>
        </w:rPr>
        <w:t xml:space="preserve"> which was amended on February 24, 2017 and December 29, 2018 and on December 6, 2007, the State Council enacted the </w:t>
      </w:r>
      <w:r>
        <w:rPr>
          <w:rFonts w:ascii="Times New Roman" w:cs="Times New Roman" w:eastAsia="Times New Roman" w:hAnsi="Times New Roman"/>
          <w:sz w:val="16"/>
          <w:szCs w:val="16"/>
          <w:i w:val="1"/>
          <w:iCs w:val="1"/>
          <w:color w:val="auto"/>
        </w:rPr>
        <w:t>Regulations for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Implementation of the Enterprise Income Tax Law </w:t>
      </w:r>
      <w:r>
        <w:rPr>
          <w:rFonts w:ascii="Times New Roman" w:cs="Times New Roman" w:eastAsia="Times New Roman" w:hAnsi="Times New Roman"/>
          <w:sz w:val="16"/>
          <w:szCs w:val="16"/>
          <w:color w:val="auto"/>
        </w:rPr>
        <w:t>which took effect on January 1, 2008 and was amended on April 23, 2019. Under the Enterprise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Tax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Enterprise Income Tax Law and implementation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income derived in the PRC and the established institutions or premises set up by them, enterprise income tax is set at the rate of 10% with respect to their income sourced from inside the PRC.</w:t>
      </w:r>
    </w:p>
    <w:p>
      <w:pPr>
        <w:spacing w:after="0" w:line="367"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In addition, an enterprise certified as a high and new technology enterprise enjoys a reduced enterprise income tax rate of 15%. According to the </w:t>
      </w:r>
      <w:r>
        <w:rPr>
          <w:rFonts w:ascii="Times New Roman" w:cs="Times New Roman" w:eastAsia="Times New Roman" w:hAnsi="Times New Roman"/>
          <w:sz w:val="16"/>
          <w:szCs w:val="16"/>
          <w:i w:val="1"/>
          <w:iCs w:val="1"/>
          <w:color w:val="auto"/>
        </w:rPr>
        <w:t>Administrative Measures for the Certification of High-Tech Enterprises</w:t>
      </w:r>
      <w:r>
        <w:rPr>
          <w:rFonts w:ascii="Times New Roman" w:cs="Times New Roman" w:eastAsia="Times New Roman" w:hAnsi="Times New Roman"/>
          <w:sz w:val="16"/>
          <w:szCs w:val="16"/>
          <w:color w:val="auto"/>
        </w:rPr>
        <w:t xml:space="preserve"> amended in January 2016, the provincial counterparts of the Ministry of Science and Technology, the Ministry of Finance and the State Taxation Administration jointly determine whether an enterprise is a High-Tech Enterprise considering the ownership of core technology, whether the main technologies underlying the key products or services fall within the officially supported high-tech fields, the proportion of research and development personnel of the total staff, the proportion of research and development expenditure of total revenue, the proportion of high-tech products or services of total revenue, and other factors prescribed.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Value-added Tax</w:t>
      </w:r>
    </w:p>
    <w:p>
      <w:pPr>
        <w:spacing w:after="0" w:line="214"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Value-added Tax Law of the PRC,</w:t>
      </w:r>
      <w:r>
        <w:rPr>
          <w:rFonts w:ascii="Times New Roman" w:cs="Times New Roman" w:eastAsia="Times New Roman" w:hAnsi="Times New Roman"/>
          <w:sz w:val="16"/>
          <w:szCs w:val="16"/>
          <w:color w:val="auto"/>
        </w:rPr>
        <w:t xml:space="preserve"> promulgated on December 25, 2024 and effective on January 1, 2026, all enterprises and individuals engaged in the sale of goods, the provision of processing, repair and replacement services, the sales of services, intangible assets and real property, and the importation of goods within the territory of the PRC shall be liable to pay value-added taxes, or VAT. The VAT tax rates are generally 13%, 9%, 6% and 0%. The </w:t>
      </w:r>
      <w:r>
        <w:rPr>
          <w:rFonts w:ascii="Times New Roman" w:cs="Times New Roman" w:eastAsia="Times New Roman" w:hAnsi="Times New Roman"/>
          <w:sz w:val="16"/>
          <w:szCs w:val="16"/>
          <w:i w:val="1"/>
          <w:iCs w:val="1"/>
          <w:color w:val="auto"/>
        </w:rPr>
        <w:t>Regulations for the Implementation of the Value-Added Tax Law of the PRC</w:t>
      </w:r>
      <w:r>
        <w:rPr>
          <w:rFonts w:ascii="Times New Roman" w:cs="Times New Roman" w:eastAsia="Times New Roman" w:hAnsi="Times New Roman"/>
          <w:sz w:val="16"/>
          <w:szCs w:val="16"/>
          <w:color w:val="auto"/>
        </w:rPr>
        <w:t>, promulgated on December 25, 2025 and effective on January 1, 2026, provides further details on the scope of the tax, applicable tax rate in specific situations, and calculation methods for the amount payable.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Withholding Tax</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The Enterprise Income Tax Law provides that since January 1, 2008, an income tax rate of 10% will normally be applicable to dividends declared to non-PRC resident investors that do not have an establishment or place of business in the PRC, or that have such establishment or place of business but the income is not effectively connected with the establishment or place of business, to the extent such dividends are derived from sources within the PRC.</w:t>
      </w:r>
    </w:p>
    <w:p>
      <w:pPr>
        <w:spacing w:after="0" w:line="15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Pursuant to the Arrangement Between the Mainland of China and the Hong Kong Special Administrative Region for the Avoidance of Double Taxation and the Prevention of Fiscal Evasion with Respect to Taxes on Income and Capital, and other applicable PRC laws, if a Hong Kong resident enterprise is determined by the competent PRC tax authority to have satisfied the conditions and requirements under such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or Circular 81, issued on February 20, 2009 by the State Taxation Administration, if the PRC tax authorities determine, in their discretions, that a company benefits from such reduced income tax rate due to a structure or arrangement that is primarily tax-driven, such PRC tax authorities may adjust the preferential tax treatment. According to the Circular on Several Questions regarding the “Beneficial Owner” in Tax Treaties, which was issued on February 3, 2018 by the State Taxation Administration and took effect on April 1, 2018, when determining the applicant’s status as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any tax exemption on incomes or levy tax at an extremely low rate, will be taken into account, and such factors will be analyzed according to the actual circumstances of the specific cases. This circular further provides that an applicant who intends to prove his or her status as the “beneficial owner” shall submit the documents to the tax bureau according to the Announcement on Issuing the Measures for the Administration of Non-Resident Taxpayers’ Enjoyment of the Treatment under Agreements.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on Indirect Transfer</w:t>
      </w:r>
    </w:p>
    <w:p>
      <w:pPr>
        <w:spacing w:after="0" w:line="214"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 xml:space="preserve">On February 3, 2015, the State Taxation Administration issued the </w:t>
      </w:r>
      <w:r>
        <w:rPr>
          <w:rFonts w:ascii="Times New Roman" w:cs="Times New Roman" w:eastAsia="Times New Roman" w:hAnsi="Times New Roman"/>
          <w:sz w:val="16"/>
          <w:szCs w:val="16"/>
          <w:i w:val="1"/>
          <w:iCs w:val="1"/>
          <w:color w:val="auto"/>
        </w:rPr>
        <w:t>Circular on Issues of Enterprise Income Tax on Indirect Transfers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Assets by Non-PRC Resident Enterprises</w:t>
      </w:r>
      <w:r>
        <w:rPr>
          <w:rFonts w:ascii="Times New Roman" w:cs="Times New Roman" w:eastAsia="Times New Roman" w:hAnsi="Times New Roman"/>
          <w:sz w:val="16"/>
          <w:szCs w:val="16"/>
          <w:color w:val="auto"/>
        </w:rPr>
        <w:t>, or the Circular 7, which was latest amended on December 29, 2017. Pursuant to Circular 7, an “indirect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inter alia, whether the main value of the equity interest of the offshore enterprise derives directly or indirectly from PRC taxable assets; whether the assets of the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According to Circular 7, where the payer fails to withhold any or sufficient tax, the transferor shall declare and pay such tax to the tax authority by itself within the statutory time limit. Circular 7 does not apply to transactions of sale of shares by investors through a public stock exchange where such shares were acquired on a public stock exchange. On October 17, 2017, the State Taxation Administration issued the </w:t>
      </w:r>
      <w:r>
        <w:rPr>
          <w:rFonts w:ascii="Times New Roman" w:cs="Times New Roman" w:eastAsia="Times New Roman" w:hAnsi="Times New Roman"/>
          <w:sz w:val="16"/>
          <w:szCs w:val="16"/>
          <w:i w:val="1"/>
          <w:iCs w:val="1"/>
          <w:color w:val="auto"/>
        </w:rPr>
        <w:t>Circular on Issues of Tax Withholding regarding Non-PRC Resident Enterprise Income Tax</w:t>
      </w:r>
      <w:r>
        <w:rPr>
          <w:rFonts w:ascii="Times New Roman" w:cs="Times New Roman" w:eastAsia="Times New Roman" w:hAnsi="Times New Roman"/>
          <w:sz w:val="16"/>
          <w:szCs w:val="16"/>
          <w:color w:val="auto"/>
        </w:rPr>
        <w:t xml:space="preserve">, or the Circular 37, which was amended by the </w:t>
      </w:r>
      <w:r>
        <w:rPr>
          <w:rFonts w:ascii="Times New Roman" w:cs="Times New Roman" w:eastAsia="Times New Roman" w:hAnsi="Times New Roman"/>
          <w:sz w:val="16"/>
          <w:szCs w:val="16"/>
          <w:i w:val="1"/>
          <w:iCs w:val="1"/>
          <w:color w:val="auto"/>
        </w:rPr>
        <w:t>Announcement of the State Taxation Administration on Revising Certain Taxation Normative Documents</w:t>
      </w:r>
      <w:r>
        <w:rPr>
          <w:rFonts w:ascii="Times New Roman" w:cs="Times New Roman" w:eastAsia="Times New Roman" w:hAnsi="Times New Roman"/>
          <w:sz w:val="16"/>
          <w:szCs w:val="16"/>
          <w:color w:val="auto"/>
        </w:rPr>
        <w:t xml:space="preserve"> issued on June 15, 2018 by the State Taxation Administration. The Circular 37 further elaborates the implemental rules regarding the calculation, reporting and payment obligations of the withholding tax by the non-resident enterprises. Nonetheless, there remain uncertainties as to the interpretation and application of Circular 7. Circular 7 may be determined by the tax authorities to be applicable to our offshore transactions or sale of our shares or those of our offshore subsidiaries where nonresident­ enterprises, being the transferors, were involved.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Employment and Social Welfare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Labor Contract Law</w:t>
      </w:r>
    </w:p>
    <w:p>
      <w:pPr>
        <w:spacing w:after="0" w:line="214"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Labor Contract Law of the PRC</w:t>
      </w:r>
      <w:r>
        <w:rPr>
          <w:rFonts w:ascii="Times New Roman" w:cs="Times New Roman" w:eastAsia="Times New Roman" w:hAnsi="Times New Roman"/>
          <w:sz w:val="16"/>
          <w:szCs w:val="16"/>
          <w:color w:val="auto"/>
        </w:rPr>
        <w:t xml:space="preserve"> which was promulgated on June 29, 2007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employees. Employers are prohibited from forcing employees to work above certain time limits and employers shall pay employees for overtime work in accordance with national regulations. In addition, employee wages shall be no lower than local standards on minimum wages and must be paid to employees in a timely manner.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Interim Provisions on Labor Dispatch</w:t>
      </w:r>
    </w:p>
    <w:p>
      <w:pPr>
        <w:spacing w:after="0" w:line="214"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Interim Provisions on Labor Dispatch</w:t>
      </w:r>
      <w:r>
        <w:rPr>
          <w:rFonts w:ascii="Times New Roman" w:cs="Times New Roman" w:eastAsia="Times New Roman" w:hAnsi="Times New Roman"/>
          <w:sz w:val="16"/>
          <w:szCs w:val="16"/>
          <w:color w:val="auto"/>
        </w:rPr>
        <w:t xml:space="preserve"> promulgated by the Ministry of Human Resources and Social Security on January 24, 2014, which took effect on March 1, 2014, dispatched workers are entitled to equal pay with full-time employees for equal work. Employers are allowed to use dispatched workers for temporary, auxiliary or substitutive positions, and the number of dispatched workers may not exceed 10% of the total number of employees. Pursuant to the Labor Contract Law, if the employer violates the labor dispatch regulations, the labor administrative department shall order it to make corrections within a prescribed time limit; if it fails to make corrections within the time limit, a fine of more than RMB5,000 but less than RMB10,000 per person will be imposed on the employer.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Social Insurance and Housing Fund</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As required under the Regulation of Insurance for Labor Injury implemented on January 1, 2004 and amended in 2010, the Provisional Measures for Maternity Insurance of Employees of Corporations implemented on January 1, 1995, the Decisions on the Establishment of a Unified Program for Old-Aged Pension Insurance of the State Council issued on July 16, 1997, the Decisions on the Establishment of the Medical Insurance Program for Urban Workers of the State Council promulgated on December 14, 1998, the Unemployment Insurance Measures promulgated on January 22, 1999 and the Social Insurance Law of the PRC implemented on July 1, 2011 and amended on December 29, 2018, employers are required to provide their employees in the PRC with welfare benefits covering pension insurance, unemployment insurance, maternity insurance, work-related injury insurance and medical insurance. These payments are made to local administrative authorities. Any employer that fails to make social insurance contributions may be ordered to rectify the non-compliance and pay the required contributions within a prescribed time limit and be subject to a late fee. If the employer still fails to rectify the failure to make the contributions within the prescribed time, it may be subject to a fine ranging from one to three times the amount overdue.</w:t>
      </w:r>
    </w:p>
    <w:p>
      <w:pPr>
        <w:spacing w:after="0" w:line="362"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 xml:space="preserve">In accordance with the </w:t>
      </w:r>
      <w:r>
        <w:rPr>
          <w:rFonts w:ascii="Times New Roman" w:cs="Times New Roman" w:eastAsia="Times New Roman" w:hAnsi="Times New Roman"/>
          <w:sz w:val="16"/>
          <w:szCs w:val="16"/>
          <w:i w:val="1"/>
          <w:iCs w:val="1"/>
          <w:color w:val="auto"/>
        </w:rPr>
        <w:t>Regulations on the Administration of Housing Funds</w:t>
      </w:r>
      <w:r>
        <w:rPr>
          <w:rFonts w:ascii="Times New Roman" w:cs="Times New Roman" w:eastAsia="Times New Roman" w:hAnsi="Times New Roman"/>
          <w:sz w:val="16"/>
          <w:szCs w:val="16"/>
          <w:color w:val="auto"/>
        </w:rPr>
        <w:t xml:space="preserve"> which were promulgated by the State Council in 1999 and latest amended in March 2019,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 See “Item 3. Key Information—D. Risk Factors—Risks Related to Doing Business in China— Increases in labor costs and enforcement of stricter labor laws and regulations in the PRC may adversely affect our business and our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Stock Incentive Plan</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Pursuant to the Notice of Issues Related to the Foreign Exchange Administration for Domestic Individuals Participating in Stock Incentive Plan of Overseas Listed Company, which was issued by the SAFE on February 15, 2012, employees, directors, supervisors, and other senior management who participate in any stock incentive plan of a publicly-listed overseas company and who are PRC citizens or non-PRC citizens residing in China for a continuous period of no less than one year, subject to a few exceptions, are required to register with the SAFE through a qualified domestic agent, which may be a PRC subsidiary of such overseas listed company, and complete certain other procedures.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In addition, the State Taxation Administration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tax authorities and to withhold individual income taxes of employees who exercise their stock options or purchase restricted shares. If the employees fail to pay or the PRC subsidiaries fail to withhold income tax in accordance with laws and regulations, the PRC subsidiaries may face sanctions imposed by the tax authorities or other PRC governmental authorities.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M&amp;A Rules and Overseas Listing</w:t>
      </w:r>
    </w:p>
    <w:p>
      <w:pPr>
        <w:spacing w:after="0" w:line="21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 xml:space="preserve">On August 8, 2006, six PRC governmental and regulatory agencies, including the Ministry of Commerce and the CSRC, promulgated the </w:t>
      </w:r>
      <w:r>
        <w:rPr>
          <w:rFonts w:ascii="Times New Roman" w:cs="Times New Roman" w:eastAsia="Times New Roman" w:hAnsi="Times New Roman"/>
          <w:sz w:val="16"/>
          <w:szCs w:val="16"/>
          <w:i w:val="1"/>
          <w:iCs w:val="1"/>
          <w:color w:val="auto"/>
        </w:rPr>
        <w:t>Regulations on Mergers and Acquisitions of Domestic Enterprises by Foreign Investors</w:t>
      </w:r>
      <w:r>
        <w:rPr>
          <w:rFonts w:ascii="Times New Roman" w:cs="Times New Roman" w:eastAsia="Times New Roman" w:hAnsi="Times New Roman"/>
          <w:sz w:val="16"/>
          <w:szCs w:val="16"/>
          <w:color w:val="auto"/>
        </w:rPr>
        <w:t>, governing the mergers and acquisitions of domestic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enterprises by foreign investors that took effect on September 8, 2006 and was revised on June 22, 2009. These rules, among other things, require that if an overseas company established or controlled by PRC companies or individuals, intends to acquire equity interests or assets of any other PRC domestic company affiliated with the PRC companies or individuals, such acquisition must be submitted to the Ministry of Commerce for approval. These rules also require that an offshore special vehicle, or a special purpose vehicle formed for overseas listing purposes and controlled directly or indirectly by the PRC companies or individuals, shall obtain the approval of the CSRC prior to overseas listing and trading of such special purpose vehicle’s securities on an overseas stock exchange.</w:t>
      </w:r>
    </w:p>
    <w:p>
      <w:pPr>
        <w:spacing w:after="0" w:line="163"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 xml:space="preserve">On February 17, 2023, the CSRC released the Trial Administrative Measures of Overseas Securities Offering and Listing by Domestic Companies and five supporting guidelines, which took effect on March 31, 2023. Further, on May 16, 2023 and May 6, 2024, the CSRC released the sixth and the seventh supporting guideline. According to these rules, the issuer or a major domestic operating company designated by the issuer, as the case may be, shall file with the CSRC, among other things, (i) with respect to its follow-on offering in the same foreign market within three business days after completion of the follow-on offering, and (ii) with respect to its follow-on offering and listing in other foreign markets within three business days, after its initial filing of the listing application to the regulator in the place of such intended listing. Non-compliance with these rules or an overseas listing completed in breach of these rules may result in a warning on the domestic companies and a fine of RMB1 million to RMB10 million on them. Furthermore, the supervisors directly responsible and other directly responsible persons of the domestic enterprises may be warned, and fined between RMB500,000 to RMB5,000,000. The controlling shareholders or actual controllers of the domestic company organize or instigate the illegal acts, or conceal matters resulting in the illegal acts, may be fined between RMB1 million to RMB10 million. On February 17, 2023, the CSRC issued the </w:t>
      </w:r>
      <w:r>
        <w:rPr>
          <w:rFonts w:ascii="Times New Roman" w:cs="Times New Roman" w:eastAsia="Times New Roman" w:hAnsi="Times New Roman"/>
          <w:sz w:val="16"/>
          <w:szCs w:val="16"/>
          <w:i w:val="1"/>
          <w:iCs w:val="1"/>
          <w:color w:val="auto"/>
        </w:rPr>
        <w:t>Notice on Administrative Arrangements for the Filing of Domestic Enterprise’s Overseas Offering and Listing</w:t>
      </w:r>
      <w:r>
        <w:rPr>
          <w:rFonts w:ascii="Times New Roman" w:cs="Times New Roman" w:eastAsia="Times New Roman" w:hAnsi="Times New Roman"/>
          <w:sz w:val="16"/>
          <w:szCs w:val="16"/>
          <w:color w:val="auto"/>
        </w:rPr>
        <w:t>, which stipulates the domestic enterprises have completed overseas listings are not required to file with CSRC in accordance with these rules immediately, but shall carry out filing procedures as required if they conduct refinancing or fall within other circumstances that require filing with the CSRC.</w:t>
      </w:r>
    </w:p>
    <w:p>
      <w:pPr>
        <w:spacing w:after="0" w:line="171"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On February 24, 2023, the CSRC and several other administrations jointly released the Provisions on Strengthening Confidentiality and Archives Administration of Overseas Securities Offering and Listing by Domestic Companies, which took effect on March 31, 2023. These rules apply to both overseas direct offerings and overseas indirect offerings. These rules provide that, among other things, (i) in relation to the overseas listing activities of domestic enterprises, the domestic enterprises are required to strictly comply with the requirements on confidentiality and archives management, establish a sound confidentiality and archives system, and take necessary measures to implement their confidentiality and archives management responsibilities; (ii) during the course of an overseas offering and listing, if a domestic enterprise needs to publicly disclose or provide to securities companies, accounting firms or other securities service providers and overseas regulators, any materials that contain state secrets or that have a sensitive impact (i.e., be detrimental to national security or the public interest if divulged), the domestic enterprise should complete the approval/filing and other regulatory procedures; and (iii) working papers produced in the PRC by securities companies and securities service institutions, which provide domestic enterprises with securities services during their overseas issuance and listing, should be stored in the PRC, and the transmission of all such working papers to recipients outside of the PRC is required to be approved by competent authorities of the PRC.</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600" w:hanging="600"/>
        <w:spacing w:after="0"/>
        <w:tabs>
          <w:tab w:leader="none" w:pos="60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Organizational Structure</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diagram illustrates our corporate structure, including our principal subsidiaries and the VIEs, as of the date of this annual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5862955" cy="51238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62955" cy="512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w:t>
      </w:r>
    </w:p>
    <w:p>
      <w:pPr>
        <w:spacing w:after="0" w:line="123" w:lineRule="exact"/>
        <w:rPr>
          <w:sz w:val="20"/>
          <w:szCs w:val="20"/>
          <w:color w:val="auto"/>
        </w:rPr>
      </w:pPr>
    </w:p>
    <w:p>
      <w:pPr>
        <w:ind w:left="300" w:hanging="300"/>
        <w:spacing w:after="0"/>
        <w:tabs>
          <w:tab w:leader="none" w:pos="3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completion of an ongoing investment transaction, NIO Technology (Anhui) Co. Ltd. will hold an equity interest of 62.7% of GeniTech Co., Ltd.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Agreements with the VIEs and Their Shareholders</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April 2018, we entered into a series of contractual arrangements through one of our PRC subsidiaries with Beijing NIO and its shareholders, which was then replaced by a new set of contractual arrangements we entered into with the same parties in April 2021. Further, on November 30, 2022 and December 12, 2022, we entered into a series of contractual agreements through our respective PRC subsidiaries with each of Anhui NIO AT and Anhui NIO DT, respectively, and their respective shareholders.</w:t>
      </w:r>
    </w:p>
    <w:p>
      <w:pPr>
        <w:spacing w:after="0" w:line="159"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The following is a summary of the contractual agreements by and among Shanghai NIO, Beijing NIO and the shareholders of Beijing NIO. The terms of the contractual agreements with the same title between (i) Anhui NIO AD, Anhui NIO AT and the shareholders of Anhui NIO AT, and</w:t>
      </w:r>
    </w:p>
    <w:p>
      <w:pPr>
        <w:spacing w:after="0" w:line="1" w:lineRule="exact"/>
        <w:rPr>
          <w:sz w:val="20"/>
          <w:szCs w:val="20"/>
          <w:color w:val="auto"/>
        </w:rPr>
      </w:pPr>
    </w:p>
    <w:p>
      <w:pPr>
        <w:jc w:val="both"/>
        <w:spacing w:after="0" w:line="267" w:lineRule="auto"/>
        <w:tabs>
          <w:tab w:leader="none" w:pos="25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China, Anhui NIO DT and the shareholders of Anhui NIO DT are substantially the same as those described below, except for, among other things, the amount of the loans to the shareholders of each VIE and the amount of service fees to be paid. We believe that the shareholders of all the VIEs will not receive any personal benefits from these agreements except as shareholders of our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Exclusive Business Cooperation Agreement between Shanghai NIO and Beijing NIO</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Under the exclusive business cooperation agreement dated April 12, 2021, between Shanghai NIO and Beijing NIO, in exchange for a monthly service fee, Beijing NIO agreed to engage the Shanghai NIO as its exclusive provider of technical support, consultation and other services.</w:t>
      </w:r>
    </w:p>
    <w:p>
      <w:pPr>
        <w:spacing w:after="0" w:line="137"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Under the agreement, the service fee shall consist of 100% of the total consolidated profit of Beijing NIO, after the deduction of any accumulated deficit of Beijing NIO in respect of the preceding financial year(s), operating costs, expenses, taxes and other statutory contributions. Notwithstanding the foregoing, Shanghai NIO may adjust the scope and amount of services fees according to the Chinese mainland tax law and tax practices, and Beijing NIO will accept such adjustments. Shanghai NIO shall calculate the service fee on a monthly basis and issue a corresponding invoice to Beijing NIO. Notwithstanding the payment arrangements in the agreement, Shanghai NIO may adjust the payment time and payment method, and Beijing NIO will accept any such adjustment.</w:t>
      </w:r>
    </w:p>
    <w:p>
      <w:pPr>
        <w:spacing w:after="0" w:line="16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addition, absent the prior written consent of Shanghai NIO, during the term of the agreement, with respect to the services subject to the agreement and other matters, Beijing NIO shall not directly or indirectly accept the same or any similar services provided by any third party and shall not establish cooperation relationships similar to that formed by the agreement with any third party. Shanghai NIO may appoint other parties, who may enter into certain agreements with Beijing NIO, to provide Beijing NIO with the services under the agreement.</w:t>
      </w:r>
    </w:p>
    <w:p>
      <w:pPr>
        <w:spacing w:after="0" w:line="15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The agreement also provides that Shanghai NIO has the exclusive proprietary rights to and interests in any and all intellectual property rights developed or created by Beijing NIO during the performance of the agreement.</w:t>
      </w:r>
    </w:p>
    <w:p>
      <w:pPr>
        <w:spacing w:after="0" w:line="137"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agreement shall remain effective unless terminated (a) in accordance with the provisions of the agreement; (b) in writing by the Shanghai NIO; or (c) renewal of the expired business period of either Shanghai NIO or Beijing NIO is denied by government authorities, at which time the agreement will terminate upon termination of that business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Exclusive Option Agreements between Shanghai NIO, Registered Shareholders and Beijing NIO</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The exclusive option agreement, dated April 12, 2021, was executed among Shanghai NIO, Beijing NIO and the shareholders of Beijing NIO, namely Mr. Bin Li and Mr. Lihong Qin. We refer to Mr. Li and Mr. Qin as the Registered Shareholders. Under the exclusive option agreement, Shanghai NIO has the rights to require the Registered Shareholders to transfer any or all their equity interests in Beijing NIO to Shanghai NIO and/or a third party designated by it, in whole or in part at any time and from time to time, for considerations equivalent to the respectively outstanding loans owed to the Registered Shareholders (or part of the loan amounts in proportion to the equity interests being transferred) or, if applicable, for a nominal price, unless the government authorities or the Chinese mainland laws request that another amount be used as the purchase price, in which case the purchase price shall be the lowest amount under such request.</w:t>
      </w:r>
    </w:p>
    <w:p>
      <w:pPr>
        <w:spacing w:after="0" w:line="162"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Beijing NIO and the Registered Shareholders, and Registered Shareholders, separately, have made a series of covenants and undertakings to ensure that Shanghai NIO retains control over all material respects of the operation and governance of Beijing NIO.</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91" w:lineRule="auto"/>
        <w:rPr>
          <w:sz w:val="20"/>
          <w:szCs w:val="20"/>
          <w:color w:val="auto"/>
        </w:rPr>
      </w:pPr>
      <w:r>
        <w:rPr>
          <w:rFonts w:ascii="Times New Roman" w:cs="Times New Roman" w:eastAsia="Times New Roman" w:hAnsi="Times New Roman"/>
          <w:sz w:val="16"/>
          <w:szCs w:val="16"/>
          <w:color w:val="auto"/>
        </w:rPr>
        <w:t>The Registered Shareholders have also undertaken that, subject to the laws and regulations, they will return to Shanghai NIO any consideration they receive in the event that Shanghai NIO exercises the options under the exclusive option agreement to acquire the equity interests in Beijing NIO.</w:t>
      </w:r>
    </w:p>
    <w:p>
      <w:pPr>
        <w:spacing w:after="0" w:line="34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The exclusive option agreement shall remain effective unless terminated in the event that the entire equity interests held by the Registered Shareholders in Beijing NIO have been transferred to Shanghai NIO or its appointee(s).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Pledge Agreements between Shanghai NIO, Registered Shareholders and Beijing NIO</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Under the equity pledge agreement dated April 12, 2021, entered into between Shanghai NIO, the Registered Shareholders and Beijing NIO, the Registered Shareholders agreed to pledge all their respective equity interests in Beijing NIO that they own, including any interest or dividend paid for the shares, to Shanghai NIO as a security interest to guarantee the performance of contractual obligations and the payment of outstanding debts.</w:t>
      </w:r>
    </w:p>
    <w:p>
      <w:pPr>
        <w:spacing w:after="0" w:line="153"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The pledge in respect of Beijing NIO takes effect upon the completion of registration with the administration for industry and commerce and shall remain valid until after all the contractual obligations of the Registered Shareholders and Beijing NIO under the contractual arrangements have been fully performed and all the outstanding debts of the Registered Shareholders and Beijing NIO under the contractual arrangements have been fully paid.</w:t>
      </w:r>
    </w:p>
    <w:p>
      <w:pPr>
        <w:spacing w:after="0" w:line="358"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Upon the occurrence and during the continuance of an event of default (as defined in the equity pledge agreements), Shanghai NIO shall have the right to require Beijing NIO’s shareholders (i.e., the Registered Shareholders) to immediately pay any amount payable by Beijing NIO under the Exclusive Business Cooperation Agreement, repay any loans and pay any other due payments, and Shanghai NIO shall have the right to exercise all such rights as a secured party under any applicable Chinese mainland law and the equity pledge agreements, including without limitations, being paid in priority with the equity interests based on the monetary valuation that such equity interests are converted into or from the proceeds from auction or sale of the equity interest upon written notice to the Registered Shareholders.</w:t>
      </w:r>
    </w:p>
    <w:p>
      <w:pPr>
        <w:spacing w:after="0" w:line="163"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The registration of the equity pledge agreement as required by the laws and regulations has been completed in accordance with the terms of the equity pledge agreements and the PRC laws and regulations.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Power of Attorney by Registered Shareholders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Registered Shareholders have executed powers of attorney dated April 12, 2021. Under the powers of attorney, the Registered Shareholders irrevocably appointed Shanghai NIO and their designated persons (including but not limited to directors and their successors and liquidators replacing the directors but excluding those non-independent or who may give rise to conflict of interests) as their attorneys-in-fact to exercise on their behalf, and agreed and undertook not to exercise without such attorneys-in-fact’s prior written consent, any and all right that they have in respect of their equity interests in Beijing NIO, including without limitation:</w:t>
      </w:r>
    </w:p>
    <w:p>
      <w:pPr>
        <w:spacing w:after="0" w:line="161" w:lineRule="exact"/>
        <w:rPr>
          <w:sz w:val="20"/>
          <w:szCs w:val="20"/>
          <w:color w:val="auto"/>
        </w:rPr>
      </w:pPr>
    </w:p>
    <w:p>
      <w:pPr>
        <w:ind w:left="1180" w:hanging="586"/>
        <w:spacing w:after="0"/>
        <w:tabs>
          <w:tab w:leader="none" w:pos="11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convene and attend shareholders’ meetings of Beijing NIO;</w:t>
      </w:r>
    </w:p>
    <w:p>
      <w:pPr>
        <w:spacing w:after="0" w:line="212" w:lineRule="exact"/>
        <w:rPr>
          <w:rFonts w:ascii="Times New Roman" w:cs="Times New Roman" w:eastAsia="Times New Roman" w:hAnsi="Times New Roman"/>
          <w:sz w:val="16"/>
          <w:szCs w:val="16"/>
          <w:color w:val="auto"/>
        </w:rPr>
      </w:pPr>
    </w:p>
    <w:p>
      <w:pPr>
        <w:ind w:left="1180" w:hanging="586"/>
        <w:spacing w:after="0"/>
        <w:tabs>
          <w:tab w:leader="none" w:pos="11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documents with the companies registry;</w:t>
      </w:r>
    </w:p>
    <w:p>
      <w:pPr>
        <w:spacing w:after="0" w:line="212" w:lineRule="exact"/>
        <w:rPr>
          <w:rFonts w:ascii="Times New Roman" w:cs="Times New Roman" w:eastAsia="Times New Roman" w:hAnsi="Times New Roman"/>
          <w:sz w:val="16"/>
          <w:szCs w:val="16"/>
          <w:color w:val="auto"/>
        </w:rPr>
      </w:pPr>
    </w:p>
    <w:p>
      <w:pPr>
        <w:ind w:left="1180" w:hanging="586"/>
        <w:spacing w:after="0" w:line="298" w:lineRule="auto"/>
        <w:tabs>
          <w:tab w:leader="none" w:pos="11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exercise all shareholder’s rights and shareholder’s voting rights in accordance with law and the constitutional documents of Beijing NIO, including but not limited to the sale, transfer, pledge or disposal of any or all of the equity interests in Beijing NIO;</w:t>
      </w:r>
    </w:p>
    <w:p>
      <w:pPr>
        <w:spacing w:after="0" w:line="137" w:lineRule="exact"/>
        <w:rPr>
          <w:rFonts w:ascii="Times New Roman" w:cs="Times New Roman" w:eastAsia="Times New Roman" w:hAnsi="Times New Roman"/>
          <w:sz w:val="16"/>
          <w:szCs w:val="16"/>
          <w:color w:val="auto"/>
        </w:rPr>
      </w:pPr>
    </w:p>
    <w:p>
      <w:pPr>
        <w:ind w:left="1180" w:hanging="586"/>
        <w:spacing w:after="0" w:line="298" w:lineRule="auto"/>
        <w:tabs>
          <w:tab w:leader="none" w:pos="11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execute any and all written resolutions and meeting minutes and to approve the amendments to the articles of associations in the name and on behalf of such shareholder; and</w:t>
      </w:r>
    </w:p>
    <w:p>
      <w:pPr>
        <w:spacing w:after="0" w:line="137" w:lineRule="exact"/>
        <w:rPr>
          <w:rFonts w:ascii="Times New Roman" w:cs="Times New Roman" w:eastAsia="Times New Roman" w:hAnsi="Times New Roman"/>
          <w:sz w:val="16"/>
          <w:szCs w:val="16"/>
          <w:color w:val="auto"/>
        </w:rPr>
      </w:pPr>
    </w:p>
    <w:p>
      <w:pPr>
        <w:ind w:left="1180" w:hanging="586"/>
        <w:spacing w:after="0" w:line="298" w:lineRule="auto"/>
        <w:tabs>
          <w:tab w:leader="none" w:pos="11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nominate, appoint or remove the legal representatives, directors, supervisors, general manager and other senior management of Beijing NIO.</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Further, the powers of attorney shall remain effective for so long as each shareholder holds an equity interest in Beijing NIO.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 Agreements between Shanghai NIO and Registered Shareholders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Shanghai NIO and the Registered Shareholders entered into a loan agreement dated April 12, 2021, pursuant to which Shanghai NIO agreed to provide loans to the Registered Shareholders, to be used exclusively as investment in Beijing NIO. The loans must not be used for any other purposes without the lender’s prior written consent.</w:t>
      </w:r>
    </w:p>
    <w:p>
      <w:pPr>
        <w:spacing w:after="0" w:line="1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term of each loan commences from the date of the agreement and ends on the date the lender exercises its exclusive call option under the Exclusive Option Agreement, or when certain defined termination events occur, such as if the lender sends a written notice demanding repayment to the borrower, or upon the default of the borrower, whichever is earlier.</w:t>
      </w:r>
    </w:p>
    <w:p>
      <w:pPr>
        <w:spacing w:after="0" w:line="1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After the lender exercises his exclusive call option, the borrower may repay the loan by transferring all of its equity interest in Beijing NIO to the lender, or a person or entity nominated by the lender, and use the proceeds of such transfer as repayment of the loan. If the proceeds of such transfer are equal to or less than the principal of the loan under the Loan Agreement, the loan is considered interest-free. If the proceeds of such transfer are higher than the principal of the loan under the Loan Agreement, any surplus is considered interest for the loan under the Loan Agreement.</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 the opinion of Han Kun Law Offices, our PRC legal counsel:</w:t>
      </w:r>
    </w:p>
    <w:p>
      <w:pPr>
        <w:spacing w:after="0" w:line="212" w:lineRule="exact"/>
        <w:rPr>
          <w:sz w:val="20"/>
          <w:szCs w:val="20"/>
          <w:color w:val="auto"/>
        </w:rPr>
      </w:pPr>
    </w:p>
    <w:p>
      <w:pPr>
        <w:jc w:val="both"/>
        <w:ind w:left="1180" w:hanging="586"/>
        <w:spacing w:after="0" w:line="263" w:lineRule="auto"/>
        <w:tabs>
          <w:tab w:leader="none" w:pos="11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agreements comprising the contractual arrangements is legal, valid and binding on the parties thereto, enforceable under applicable PRC laws and regulations, except that (a) the contractual arrangements provide that the arbitral body may award remedies over the shares and/or assets or award injunctive relief and/or order the winding up of Beijing NIO, and that courts of competent jurisdictions are empowered to grant interim remedies in support of the arbitration pending the formation of an arbitral tribunal or in appropriate cases, while under PRC laws and regulations, an arbitral body has no power to grant injunctive relief or to order an entity to wind up, and the aforesaid interim remedies granted by competent courts may not be recognizable or enforceable in the PRC; and (b) the contractual arrangements provide that the Registered Shareholders undertake to appoint committees designated by Shanghai NIO as the liquidation committee upon the winding up of Beijing NIO to manage its assets; however, in the event of a mandatory liquidation required by PRC laws and regulations, these provisions may not be enforceable;</w:t>
      </w:r>
    </w:p>
    <w:p>
      <w:pPr>
        <w:spacing w:after="0" w:line="165" w:lineRule="exact"/>
        <w:rPr>
          <w:rFonts w:ascii="Times New Roman" w:cs="Times New Roman" w:eastAsia="Times New Roman" w:hAnsi="Times New Roman"/>
          <w:sz w:val="16"/>
          <w:szCs w:val="16"/>
          <w:color w:val="auto"/>
        </w:rPr>
      </w:pPr>
    </w:p>
    <w:p>
      <w:pPr>
        <w:ind w:left="1180" w:hanging="586"/>
        <w:spacing w:after="0" w:line="298" w:lineRule="auto"/>
        <w:tabs>
          <w:tab w:leader="none" w:pos="11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agreements comprising the contractual arrangements does not violate the provisions of the articles of associations of Shanghai NIO and Beijing NIO, respectively; and</w:t>
      </w:r>
    </w:p>
    <w:p>
      <w:pPr>
        <w:spacing w:after="0" w:line="137" w:lineRule="exact"/>
        <w:rPr>
          <w:rFonts w:ascii="Times New Roman" w:cs="Times New Roman" w:eastAsia="Times New Roman" w:hAnsi="Times New Roman"/>
          <w:sz w:val="16"/>
          <w:szCs w:val="16"/>
          <w:color w:val="auto"/>
        </w:rPr>
      </w:pPr>
    </w:p>
    <w:p>
      <w:pPr>
        <w:jc w:val="both"/>
        <w:ind w:left="1180" w:hanging="586"/>
        <w:spacing w:after="0" w:line="265" w:lineRule="auto"/>
        <w:tabs>
          <w:tab w:leader="none" w:pos="11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approval or authorization from the PRC governmental authorities are required for entering into and the performance of the contractual arrangements except that (a) the pledge of any equity interest in Beijing NIO for the benefit of Shanghai NIO is subject to registration requirements with the governmental authority which has been duly completed; (b) the exercise of any exclusive option rights by Shanghai NIO under the exclusive option agreements may subject to the approval, filing or registration requirements with the authorities under the then prevailing PRC laws and regulations; and (c) the arbitration awards/interim remedies provided under the dispute resolution provision of the contractual arrangements shall be recognized by competent courts before compulsory enforcement.</w:t>
      </w:r>
    </w:p>
    <w:p>
      <w:pPr>
        <w:spacing w:after="0" w:line="365"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For a description of the risks related to our corporate structure, please see “Item 3. Key Information—D. Risk Factors—Risks Related to Our Corporate Structure.”</w:t>
      </w:r>
    </w:p>
    <w:p>
      <w:pPr>
        <w:spacing w:after="0" w:line="133" w:lineRule="exact"/>
        <w:rPr>
          <w:sz w:val="20"/>
          <w:szCs w:val="20"/>
          <w:color w:val="auto"/>
        </w:rPr>
      </w:pPr>
    </w:p>
    <w:p>
      <w:pPr>
        <w:ind w:left="600" w:hanging="600"/>
        <w:spacing w:after="0"/>
        <w:tabs>
          <w:tab w:leader="none" w:pos="60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Plants and Equipment</w:t>
      </w:r>
    </w:p>
    <w:p>
      <w:pPr>
        <w:spacing w:after="0" w:line="21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Currently, we own land use rights with respect to a parcel of land in Nanjing of approximately 355,297 square meters and the ownership with respect to the plant thereon for a term ending on March 10, 2063, which are used for the manufacture of our electric powertrains. As of December 31, 2025, we also leased a number of our facilities in various cities in China, mainly facilities we use for user centers, warehouses, power management centers and sales, marketing, manufacture and customer service, with an aggregated floor area of approximately 5,985,895 square meters. As of December 31, 2025, we leased properties in North America for our North American headquarters and global software development center and our marketing, light assembly, research and development center with an aggregate floor area of 201,825 square feet; we leased properties in Europe for management, engineering and storage, design headquarters, and sales and marketing with an aggregate floor area of approximately 310,659 square 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4A.</w:t>
        <w:tab/>
        <w:t>UNRESOLVED STAFF COMMENTS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OPERATING AND FINANCIAL REVIEW AND PROSPECTS</w:t>
      </w:r>
    </w:p>
    <w:p>
      <w:pPr>
        <w:spacing w:after="0" w:line="216" w:lineRule="exact"/>
        <w:rPr>
          <w:sz w:val="20"/>
          <w:szCs w:val="20"/>
          <w:color w:val="auto"/>
        </w:rPr>
      </w:pPr>
    </w:p>
    <w:p>
      <w:pPr>
        <w:jc w:val="both"/>
        <w:ind w:right="40" w:firstLine="594"/>
        <w:spacing w:after="0" w:line="268" w:lineRule="auto"/>
        <w:rPr>
          <w:sz w:val="20"/>
          <w:szCs w:val="20"/>
          <w:color w:val="auto"/>
        </w:rPr>
      </w:pPr>
      <w:r>
        <w:rPr>
          <w:rFonts w:ascii="Times New Roman" w:cs="Times New Roman" w:eastAsia="Times New Roman" w:hAnsi="Times New Roman"/>
          <w:sz w:val="16"/>
          <w:szCs w:val="16"/>
          <w:color w:val="auto"/>
        </w:rPr>
        <w:t>The following discussion of our financial condition and results of operations is based upon and should be read in conjunction with our consolidated financial statements and their related notes included elsewhere in this annual report. This annual report contains forward-looking statements. See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57" w:lineRule="exact"/>
        <w:rPr>
          <w:sz w:val="20"/>
          <w:szCs w:val="20"/>
          <w:color w:val="auto"/>
        </w:rPr>
      </w:pPr>
    </w:p>
    <w:p>
      <w:pPr>
        <w:ind w:right="8100"/>
        <w:spacing w:after="0" w:line="519" w:lineRule="auto"/>
        <w:tabs>
          <w:tab w:leader="none" w:pos="573"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Results Overview</w:t>
      </w:r>
    </w:p>
    <w:p>
      <w:pPr>
        <w:jc w:val="both"/>
        <w:ind w:right="40" w:firstLine="594"/>
        <w:spacing w:after="0" w:line="266" w:lineRule="auto"/>
        <w:rPr>
          <w:sz w:val="20"/>
          <w:szCs w:val="20"/>
          <w:color w:val="auto"/>
        </w:rPr>
      </w:pPr>
      <w:r>
        <w:rPr>
          <w:rFonts w:ascii="Times New Roman" w:cs="Times New Roman" w:eastAsia="Times New Roman" w:hAnsi="Times New Roman"/>
          <w:sz w:val="16"/>
          <w:szCs w:val="16"/>
          <w:color w:val="auto"/>
        </w:rPr>
        <w:t>We are a pioneer and a leading company in the global smart electric vehicle market. We aspire to shape a sustainable and brighter future with the mission of “Blue Sky Coming”. We envision ourselves as a user enterprise where innovative technology meets experience excellence. We design, develop, manufacture and sell smart electric vehicles, driving innovations in next-generation core technologies. We distinguish ourselves through continuous technological breakthroughs and innovations, exceptional products and services, and a community for shared growth. We provide premium smart electric vehicles under the NIO brand, family-oriented smart electric vehicles through the ONVO brand, and small smart high-end electric cars with the FIREFLY brand.</w:t>
      </w:r>
    </w:p>
    <w:p>
      <w:pPr>
        <w:spacing w:after="0" w:line="163" w:lineRule="exact"/>
        <w:rPr>
          <w:sz w:val="20"/>
          <w:szCs w:val="20"/>
          <w:color w:val="auto"/>
        </w:rPr>
      </w:pPr>
    </w:p>
    <w:p>
      <w:pPr>
        <w:jc w:val="both"/>
        <w:ind w:right="40" w:firstLine="594"/>
        <w:spacing w:after="0" w:line="298" w:lineRule="auto"/>
        <w:rPr>
          <w:sz w:val="20"/>
          <w:szCs w:val="20"/>
          <w:color w:val="auto"/>
        </w:rPr>
      </w:pPr>
      <w:r>
        <w:rPr>
          <w:rFonts w:ascii="Times New Roman" w:cs="Times New Roman" w:eastAsia="Times New Roman" w:hAnsi="Times New Roman"/>
          <w:sz w:val="16"/>
          <w:szCs w:val="16"/>
          <w:color w:val="auto"/>
        </w:rPr>
        <w:t>In 2025, we delivered 326,028 vehicles, including 178,806 vehicles from our premium smart electric vehicle brand NIO, 107,808 vehicles from our family-oriented smart electric vehicle brand ONVO, and 39,414 vehicles from our small smart high-end electric car brand FIREFLY.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Line Items Affecting Our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presents our revenue components by amount and as a percentage of the total revenues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11"/>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9"/>
              </w:rPr>
              <w:t>Year Ended December 31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69"/>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480" w:type="dxa"/>
            <w:vAlign w:val="bottom"/>
          </w:tcPr>
          <w:p>
            <w:pPr>
              <w:spacing w:after="0"/>
              <w:rPr>
                <w:sz w:val="9"/>
                <w:szCs w:val="9"/>
                <w:color w:val="auto"/>
              </w:rPr>
            </w:pPr>
          </w:p>
        </w:tc>
        <w:tc>
          <w:tcPr>
            <w:tcW w:w="1960" w:type="dxa"/>
            <w:vAlign w:val="bottom"/>
            <w:gridSpan w:val="2"/>
          </w:tcPr>
          <w:p>
            <w:pPr>
              <w:ind w:left="1780"/>
              <w:spacing w:after="0" w:line="10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300"/>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148"/>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214"/>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88"/>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9"/>
                <w:szCs w:val="9"/>
                <w:color w:val="auto"/>
              </w:rPr>
            </w:pPr>
          </w:p>
        </w:tc>
        <w:tc>
          <w:tcPr>
            <w:tcW w:w="20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28"/>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200" w:type="dxa"/>
            <w:vAlign w:val="bottom"/>
            <w:gridSpan w:val="2"/>
          </w:tcPr>
          <w:p>
            <w:pPr>
              <w:ind w:left="40"/>
              <w:spacing w:after="0" w:line="106"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189"/>
              <w:spacing w:after="0" w:line="106" w:lineRule="exact"/>
              <w:rPr>
                <w:sz w:val="20"/>
                <w:szCs w:val="20"/>
                <w:color w:val="auto"/>
              </w:rPr>
            </w:pPr>
            <w:r>
              <w:rPr>
                <w:rFonts w:ascii="Times New Roman" w:cs="Times New Roman" w:eastAsia="Times New Roman" w:hAnsi="Times New Roman"/>
                <w:sz w:val="12"/>
                <w:szCs w:val="12"/>
                <w:b w:val="1"/>
                <w:bCs w:val="1"/>
                <w:color w:val="auto"/>
              </w:rPr>
              <w:t>US$</w:t>
            </w:r>
          </w:p>
        </w:tc>
        <w:tc>
          <w:tcPr>
            <w:tcW w:w="40" w:type="dxa"/>
            <w:vAlign w:val="bottom"/>
          </w:tcPr>
          <w:p>
            <w:pPr>
              <w:spacing w:after="0"/>
              <w:rPr>
                <w:sz w:val="9"/>
                <w:szCs w:val="9"/>
                <w:color w:val="auto"/>
              </w:rPr>
            </w:pPr>
          </w:p>
        </w:tc>
        <w:tc>
          <w:tcPr>
            <w:tcW w:w="200" w:type="dxa"/>
            <w:vAlign w:val="bottom"/>
          </w:tcPr>
          <w:p>
            <w:pPr>
              <w:ind w:left="60"/>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88"/>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78"/>
              </w:rPr>
              <w:t>(in</w:t>
            </w:r>
          </w:p>
        </w:tc>
        <w:tc>
          <w:tcPr>
            <w:tcW w:w="46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2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3"/>
            <w:vMerge w:val="continue"/>
          </w:tcPr>
          <w:p>
            <w:pPr>
              <w:spacing w:after="0"/>
              <w:rPr>
                <w:sz w:val="10"/>
                <w:szCs w:val="10"/>
                <w:color w:val="auto"/>
              </w:rPr>
            </w:pPr>
          </w:p>
        </w:tc>
        <w:tc>
          <w:tcPr>
            <w:tcW w:w="600" w:type="dxa"/>
            <w:vAlign w:val="bottom"/>
            <w:gridSpan w:val="4"/>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w w:val="88"/>
              </w:rPr>
              <w:t>thousands)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4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Vehicle sales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49,257,270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88.6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58,234,086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76,883,876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10,994,248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tcBorders>
              <w:right w:val="single" w:sz="8" w:color="CCEEFF"/>
            </w:tcBorders>
            <w:gridSpan w:val="3"/>
            <w:shd w:val="clear" w:color="auto" w:fill="CCEEFF"/>
          </w:tcPr>
          <w:p>
            <w:pPr>
              <w:ind w:left="100"/>
              <w:spacing w:after="0" w:line="186" w:lineRule="exact"/>
              <w:rPr>
                <w:sz w:val="20"/>
                <w:szCs w:val="20"/>
                <w:color w:val="auto"/>
              </w:rPr>
            </w:pPr>
            <w:r>
              <w:rPr>
                <w:rFonts w:ascii="Times New Roman" w:cs="Times New Roman" w:eastAsia="Times New Roman" w:hAnsi="Times New Roman"/>
                <w:sz w:val="14"/>
                <w:szCs w:val="14"/>
                <w:color w:val="auto"/>
              </w:rPr>
              <w:t>Other sales</w:t>
            </w:r>
            <w:r>
              <w:rPr>
                <w:rFonts w:ascii="Times New Roman" w:cs="Times New Roman" w:eastAsia="Times New Roman" w:hAnsi="Times New Roman"/>
                <w:sz w:val="21"/>
                <w:szCs w:val="21"/>
                <w:color w:val="auto"/>
                <w:vertAlign w:val="superscript"/>
              </w:rPr>
              <w:t>(1)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6,360,663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7,497,473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10,603,634</w:t>
            </w: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1,516,299</w:t>
            </w: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55,617,933</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100.0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65,731,559</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87,487,510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12,510,547</w:t>
            </w:r>
          </w:p>
        </w:tc>
        <w:tc>
          <w:tcPr>
            <w:tcW w:w="40" w:type="dxa"/>
            <w:vAlign w:val="bottom"/>
            <w:tcBorders>
              <w:top w:val="single" w:sz="8" w:color="auto"/>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480" w:type="dxa"/>
            <w:vAlign w:val="bottom"/>
            <w:tcBorders>
              <w:bottom w:val="single" w:sz="8" w:color="auto"/>
            </w:tcBorders>
          </w:tcPr>
          <w:p>
            <w:pPr>
              <w:spacing w:after="0"/>
              <w:rPr>
                <w:sz w:val="6"/>
                <w:szCs w:val="6"/>
                <w:color w:val="auto"/>
              </w:rPr>
            </w:pPr>
          </w:p>
        </w:tc>
        <w:tc>
          <w:tcPr>
            <w:tcW w:w="1960" w:type="dxa"/>
            <w:vAlign w:val="bottom"/>
            <w:gridSpan w:val="2"/>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4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Note:</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44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  Other sales are comprised as below:</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1"/>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bottom w:val="single" w:sz="8" w:color="auto"/>
            </w:tcBorders>
            <w:gridSpan w:val="4"/>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4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960" w:type="dxa"/>
            <w:vAlign w:val="bottom"/>
            <w:gridSpan w:val="2"/>
          </w:tcPr>
          <w:p>
            <w:pPr>
              <w:ind w:left="18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3"/>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12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3"/>
          </w:tcPr>
          <w:p>
            <w:pPr>
              <w:jc w:val="right"/>
              <w:ind w:right="19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ind w:right="8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188"/>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189"/>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1"/>
                <w:szCs w:val="11"/>
                <w:color w:val="auto"/>
              </w:rPr>
            </w:pPr>
          </w:p>
        </w:tc>
        <w:tc>
          <w:tcPr>
            <w:tcW w:w="2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7"/>
          </w:tcPr>
          <w:p>
            <w:pPr>
              <w:jc w:val="center"/>
              <w:ind w:right="60"/>
              <w:spacing w:after="0" w:line="116"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44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sales</w:t>
            </w:r>
          </w:p>
        </w:tc>
        <w:tc>
          <w:tcPr>
            <w:tcW w:w="700" w:type="dxa"/>
            <w:vAlign w:val="bottom"/>
            <w:shd w:val="clear" w:color="auto" w:fill="CCEEFF"/>
          </w:tcPr>
          <w:p>
            <w:pPr>
              <w:spacing w:after="0"/>
              <w:rPr>
                <w:sz w:val="16"/>
                <w:szCs w:val="16"/>
                <w:color w:val="auto"/>
              </w:rPr>
            </w:pPr>
          </w:p>
        </w:tc>
        <w:tc>
          <w:tcPr>
            <w:tcW w:w="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6"/>
                <w:szCs w:val="16"/>
                <w:color w:val="auto"/>
              </w:rPr>
            </w:pPr>
          </w:p>
        </w:tc>
        <w:tc>
          <w:tcPr>
            <w:tcW w:w="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6"/>
                <w:szCs w:val="16"/>
                <w:color w:val="auto"/>
              </w:rPr>
            </w:pPr>
          </w:p>
        </w:tc>
        <w:tc>
          <w:tcPr>
            <w:tcW w:w="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Parts, accessories and after-sales vehicle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2,337,490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3,324,321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4,174,135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596,893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Provision of power solutions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1,666,346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2,100,553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2,464,441</w:t>
            </w: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352,410</w:t>
            </w: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Others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2,356,827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2,072,599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3,965,058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566,996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40" w:type="dxa"/>
            <w:vAlign w:val="bottom"/>
            <w:tcBorders>
              <w:top w:val="single" w:sz="8" w:color="CCEEFF"/>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6,360,663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7,497,473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10,603,634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1,516,299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60"/>
          </w:cols>
          <w:pgMar w:left="980" w:top="482" w:right="9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right="20" w:firstLine="594"/>
        <w:spacing w:after="0" w:line="268" w:lineRule="auto"/>
        <w:rPr>
          <w:sz w:val="20"/>
          <w:szCs w:val="20"/>
          <w:color w:val="auto"/>
        </w:rPr>
      </w:pPr>
      <w:r>
        <w:rPr>
          <w:rFonts w:ascii="Times New Roman" w:cs="Times New Roman" w:eastAsia="Times New Roman" w:hAnsi="Times New Roman"/>
          <w:sz w:val="16"/>
          <w:szCs w:val="16"/>
          <w:color w:val="auto"/>
        </w:rPr>
        <w:t>We currently generate revenues from vehicle sales, which represent revenues from sales of new vehicles, and other sales including (a) parts, accessories and after-sales vehicle services, including repair, maintenance, extended warranty services, service package and other vehicle-related services, (b) provision of power solutions, including provision of battery charging and swapping services, sales of charging piles, provision of BaaS-related services and other power solution services, (c) others, which mainly consist of technical services, used car sales, auto financing services, sales of lifestyle product merchandise and other products and services.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Sales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presents our cost of sales components by amount and as a percentage of our total cost of sales for the period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60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45"/>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640" w:type="dxa"/>
            <w:vAlign w:val="bottom"/>
            <w:gridSpan w:val="2"/>
          </w:tcPr>
          <w:p>
            <w:pPr>
              <w:ind w:left="3480"/>
              <w:spacing w:after="0" w:line="106"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285"/>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640" w:type="dxa"/>
            <w:vAlign w:val="bottom"/>
            <w:gridSpan w:val="2"/>
          </w:tcPr>
          <w:p>
            <w:pPr>
              <w:jc w:val="right"/>
              <w:ind w:right="98"/>
              <w:spacing w:after="0" w:line="10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220" w:type="dxa"/>
            <w:vAlign w:val="bottom"/>
            <w:gridSpan w:val="2"/>
          </w:tcPr>
          <w:p>
            <w:pPr>
              <w:ind w:left="60"/>
              <w:spacing w:after="0" w:line="106"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267"/>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640" w:type="dxa"/>
            <w:vAlign w:val="bottom"/>
            <w:gridSpan w:val="2"/>
          </w:tcPr>
          <w:p>
            <w:pPr>
              <w:jc w:val="right"/>
              <w:ind w:right="106"/>
              <w:spacing w:after="0" w:line="10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220" w:type="dxa"/>
            <w:vAlign w:val="bottom"/>
            <w:gridSpan w:val="2"/>
          </w:tcPr>
          <w:p>
            <w:pPr>
              <w:ind w:left="60"/>
              <w:spacing w:after="0" w:line="106"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263"/>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gridSpan w:val="2"/>
          </w:tcPr>
          <w:p>
            <w:pPr>
              <w:ind w:left="60"/>
              <w:spacing w:after="0" w:line="106"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325"/>
              <w:spacing w:after="0" w:line="106" w:lineRule="exact"/>
              <w:rPr>
                <w:sz w:val="20"/>
                <w:szCs w:val="20"/>
                <w:color w:val="auto"/>
              </w:rPr>
            </w:pPr>
            <w:r>
              <w:rPr>
                <w:rFonts w:ascii="Times New Roman" w:cs="Times New Roman" w:eastAsia="Times New Roman" w:hAnsi="Times New Roman"/>
                <w:sz w:val="12"/>
                <w:szCs w:val="12"/>
                <w:b w:val="1"/>
                <w:bCs w:val="1"/>
                <w:color w:val="auto"/>
              </w:rPr>
              <w:t>US$</w:t>
            </w:r>
          </w:p>
        </w:tc>
        <w:tc>
          <w:tcPr>
            <w:tcW w:w="660" w:type="dxa"/>
            <w:vAlign w:val="bottom"/>
            <w:gridSpan w:val="2"/>
          </w:tcPr>
          <w:p>
            <w:pPr>
              <w:jc w:val="right"/>
              <w:ind w:right="118"/>
              <w:spacing w:after="0" w:line="10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8"/>
              </w:rPr>
              <w:t>(in</w:t>
            </w: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3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Vehicle sales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(44,587,572)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(51,094,616)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(65,670,810)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(9,390,801)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198"/>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sales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(7,978,565)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(8,144,181)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(9,900,995)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(1,415,823)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cost of sales</w:t>
            </w: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(52,566,137)</w:t>
            </w:r>
          </w:p>
        </w:tc>
        <w:tc>
          <w:tcPr>
            <w:tcW w:w="14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(59,238,797)</w:t>
            </w:r>
          </w:p>
        </w:tc>
        <w:tc>
          <w:tcPr>
            <w:tcW w:w="14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(75,571,805)</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(10,806,624)</w:t>
            </w:r>
          </w:p>
        </w:tc>
        <w:tc>
          <w:tcPr>
            <w:tcW w:w="14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594"/>
        <w:spacing w:after="0" w:line="271" w:lineRule="auto"/>
        <w:rPr>
          <w:sz w:val="20"/>
          <w:szCs w:val="20"/>
          <w:color w:val="auto"/>
        </w:rPr>
      </w:pPr>
      <w:r>
        <w:rPr>
          <w:rFonts w:ascii="Times New Roman" w:cs="Times New Roman" w:eastAsia="Times New Roman" w:hAnsi="Times New Roman"/>
          <w:sz w:val="16"/>
          <w:szCs w:val="16"/>
          <w:color w:val="auto"/>
        </w:rPr>
        <w:t>We incur cost of sales in relation to (i) vehicle sales, including parts, materials, processing fee, labor costs, manufacturing cost (including depreciation of assets associated with the production), losses on production related purchase commitments, warranty expenses, and inventory write-downs, and (ii) other sales, including parts, materials, labor costs, vehicle connectivity cost, and depreciation of assets that are associated with sales of service and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216" w:lineRule="exact"/>
        <w:rPr>
          <w:sz w:val="20"/>
          <w:szCs w:val="20"/>
          <w:color w:val="auto"/>
        </w:rPr>
      </w:pPr>
    </w:p>
    <w:p>
      <w:pPr>
        <w:jc w:val="both"/>
        <w:ind w:right="20" w:firstLine="594"/>
        <w:spacing w:after="0" w:line="267" w:lineRule="auto"/>
        <w:rPr>
          <w:sz w:val="20"/>
          <w:szCs w:val="20"/>
          <w:color w:val="auto"/>
        </w:rPr>
      </w:pPr>
      <w:r>
        <w:rPr>
          <w:rFonts w:ascii="Times New Roman" w:cs="Times New Roman" w:eastAsia="Times New Roman" w:hAnsi="Times New Roman"/>
          <w:sz w:val="16"/>
          <w:szCs w:val="16"/>
          <w:color w:val="auto"/>
        </w:rPr>
        <w:t>Research and development expenses consist primarily of (i) employee compensation, representing salaries, benefits and bonuses as well as share-based compensation expenses for our research and development staff and (ii) design and development expenses, which include, among others, consultation fees, outsourcing fees and expenses of testing materials. Our research and development expenses also include travel expenses, depreciation and amortization of equipment used in relation to our research and development activities, rental and related expenses with respect to laboratories and offices for research and development teams and others, which primarily consists of telecommunication expenses, office fees and freight charges.</w:t>
      </w:r>
    </w:p>
    <w:p>
      <w:pPr>
        <w:spacing w:after="0" w:line="363" w:lineRule="exact"/>
        <w:rPr>
          <w:sz w:val="20"/>
          <w:szCs w:val="20"/>
          <w:color w:val="auto"/>
        </w:rPr>
      </w:pPr>
    </w:p>
    <w:p>
      <w:pPr>
        <w:jc w:val="both"/>
        <w:ind w:right="20" w:firstLine="594"/>
        <w:spacing w:after="0" w:line="298" w:lineRule="auto"/>
        <w:rPr>
          <w:sz w:val="20"/>
          <w:szCs w:val="20"/>
          <w:color w:val="auto"/>
        </w:rPr>
      </w:pPr>
      <w:r>
        <w:rPr>
          <w:rFonts w:ascii="Times New Roman" w:cs="Times New Roman" w:eastAsia="Times New Roman" w:hAnsi="Times New Roman"/>
          <w:sz w:val="16"/>
          <w:szCs w:val="16"/>
          <w:color w:val="auto"/>
        </w:rPr>
        <w:t>Our research and development expenses are mainly driven by the number of our research and development employees, the stage and scale of our vehicle development and development of technology.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216" w:lineRule="exact"/>
        <w:rPr>
          <w:sz w:val="20"/>
          <w:szCs w:val="20"/>
          <w:color w:val="auto"/>
        </w:rPr>
      </w:pPr>
    </w:p>
    <w:p>
      <w:pPr>
        <w:jc w:val="both"/>
        <w:ind w:right="20" w:firstLine="594"/>
        <w:spacing w:after="0" w:line="264" w:lineRule="auto"/>
        <w:rPr>
          <w:sz w:val="20"/>
          <w:szCs w:val="20"/>
          <w:color w:val="auto"/>
        </w:rPr>
      </w:pPr>
      <w:r>
        <w:rPr>
          <w:rFonts w:ascii="Times New Roman" w:cs="Times New Roman" w:eastAsia="Times New Roman" w:hAnsi="Times New Roman"/>
          <w:sz w:val="16"/>
          <w:szCs w:val="16"/>
          <w:color w:val="auto"/>
        </w:rPr>
        <w:t>Our selling, general and administrative expenses mainly include (i) employee compensation, including salaries, benefits and bonuses as well as share-based compensation expenses with respect to our sales, marketing and general corporate staff, (ii) marketing and promotional expenses, which primarily consist of marketing and advertising costs, (iii) rental and related expenses, which primarily consist of rental for physical stores and offices, (iv) professional service expenses, which consist of outsourcing fees primarily relating to legal and human resources and IT functions, design fees paid for physical stores and offices and fees paid to auditors, (v) depreciation and amortization expenses, primarily consisting of depreciation and amortization of leasehold improvements, IT equipment and software, among others, (vi) expenses of low value consumables, primarily consisting of, among others, IT consumables, office supplies, sample fees and IT-system related licenses, (vii) traveling expenses, and (viii) other expenses, which includes telecommunication expenses, utilities and other miscellaneous expenses.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91" w:lineRule="auto"/>
        <w:rPr>
          <w:sz w:val="20"/>
          <w:szCs w:val="20"/>
          <w:color w:val="auto"/>
        </w:rPr>
      </w:pPr>
      <w:r>
        <w:rPr>
          <w:rFonts w:ascii="Times New Roman" w:cs="Times New Roman" w:eastAsia="Times New Roman" w:hAnsi="Times New Roman"/>
          <w:sz w:val="16"/>
          <w:szCs w:val="16"/>
          <w:color w:val="auto"/>
        </w:rPr>
        <w:t>Our selling, general and administrative expenses are significantly affected by the number of our non-research and development employees, marketing and promotion activities and the expansion of our sales and after-sales network, including NIO Houses, NIO Spaces and other leased properties.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Investment Income</w:t>
      </w:r>
    </w:p>
    <w:p>
      <w:pPr>
        <w:spacing w:after="0" w:line="216"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Interest and investment income primarily consists of interest and gain earned on cash deposits, short-term investment and long-term investment.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Gain/(Loss) on Extinguishment of Debt</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Gain or loss on extinguishment of debt consists of gain or loss derived from repurchase of convertible notes.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Interest expense primarily consists of interest expense with respect to our indebtedness and finance lease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of Income/(Loss) of Equity Investees</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Share of income or loss of equity investees primarily consists of our share of the losses, net of shares of gains of our investees in which, as of December 31, 2025, we held 1.0% to 51.0% in related equity interests. Our equity interests are accounted for using the equity method since we exercise significant influence but do not own a majority equity interest in or control those investees. For investees in which we held equity interest less than 20%, we can exercise significant influence over investees through participation and voting rights in the board of directors or investment committee. For investee in which we held equity interest of 51.0%, we cannot control the significant financial and operating decisions of this investee at our discretion according to the corporate government documents. Our share of income/(loss) of equity investees also includes the elimination of the unrealized intercompany profit in upstream and downstream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Income/(Loss), Net</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Other income or loss primarily consist of foreign exchange gains or losses we incur based on movements between the U.S. dollar and the Renminbi. Other income also includes income from reimbursement from depository bank.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Income tax expense primarily consists of current income tax expense, mainly attributable to intra-group income earned by our United States, German, UK, Hong Kong and PRC subsidiaries which are eliminated upon consolidation but were subject to tax in accordance with applicable tax law, and deferred income tax expense, recognized for the tax consequences attributable to differences between carrying amounts of existing assets and liabilities in the financial statements and their respective tax basis, and operating loss carry-forwards.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are incorporated in the Cayman Islands. The Cayman Islands currently has no form of income, corporate or capital gains tax. There are no other taxes likely to be material to us levied by the government of the Cayman Islands except for stamp duties which may be applicable on instruments executed in, or, after execution, brought within the jurisdiction of the Cayman Islands.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Subsidiaries incorporated in Hong Kong are subject to 8.25% profit tax on the first HK$2 million taxable income and 16.5% profit tax on the remaining taxable income generated from operations in Hong Kong. There is no withholding tax in Hong Kong on remittance of dividends.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Generally, our PRC subsidiaries are subject to enterprise income tax on their taxable income in China at a statutory rate of 25%, except for our certain PRC subsidiaries that are qualified as high and new technology enterprises under the PRC Enterprise Income Tax Law and are eligible for a preferential enterprise income tax rate of 15%. The enterprise income tax is calculated based on the entity’s global income as determined under PRC tax laws and accounting standards.</w:t>
      </w:r>
    </w:p>
    <w:p>
      <w:pPr>
        <w:spacing w:after="0" w:line="15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products and services are primarily subject to value-added tax at a rate of 13% on the vehicles and charging piles, repair and maintenance services and charging services as well as 6% on services such as research and development services, in each case less any deductible value-added tax we have already paid or born. We are also subject to surcharges on value-added tax payments in accordance with PRC law.</w:t>
      </w:r>
    </w:p>
    <w:p>
      <w:pPr>
        <w:spacing w:after="0" w:line="15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Dividends paid by our PRC subsidiaries in China to our Hong Kong subsidiaries will be subject to a withholding tax rate of 10%, unless the Hong Kong entity satisfies all the requirements under the Arrangement Between the Mainland of China and the Hong Kong Special Administrative Region for the Avoidance of Double Taxation and the Prevention of Fiscal Evasion with Respect to Taxes on Income and Capital and receives approval from the tax authority. If our Hong Kong subsidiaries satisfy all the requirements under the tax arrangement and receive approval from the tax authority, then the dividends paid to the Hong Kong subsidiaries would be subject to withholding tax at the standard rate of 5%. Effective from November 1, 2015, the above-mentioned approval requirement has been abolished, but a Hong Kong entity is still required to file application package with the tax authority, and settle the overdue taxes if the preferential 5% tax rate is denied based on the subsequent review of the application package by the tax authority.</w:t>
      </w:r>
    </w:p>
    <w:p>
      <w:pPr>
        <w:spacing w:after="0" w:line="365"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If NIO Inc. or any of our subsidiaries outside of China were deemed to be a “resident enterprise” under the PRC Enterprise Income Tax Law, it would be subject to enterprise income tax on its worldwide income at a rate of 25%.</w:t>
      </w:r>
    </w:p>
    <w:p>
      <w:pPr>
        <w:spacing w:after="0" w:line="137"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Under the PRC Enterprise Income Tax Law, research and development expenses incurred by an enterprise in the course of carrying out research and development activities that have not formed intangible assets are included in the profit and loss account for the current year. Besides deducting the actual amount of research and development expenses incurred, an enterprise is allowed an additional 100% deduction of the amount in calculating its taxable income for the relevant year. For research and development expenses that have formed intangible assets, the tax amortization is based on 200% of the costs of the intangible assets.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For a summary of recently issued accounting pronouncements, see Note 3 to our consolidated financial statements included elsewhere in this annual report.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16" w:lineRule="exact"/>
        <w:rPr>
          <w:sz w:val="20"/>
          <w:szCs w:val="20"/>
          <w:color w:val="auto"/>
        </w:rPr>
      </w:pPr>
    </w:p>
    <w:p>
      <w:pPr>
        <w:jc w:val="both"/>
        <w:ind w:right="40" w:firstLine="594"/>
        <w:spacing w:after="0" w:line="278" w:lineRule="auto"/>
        <w:rPr>
          <w:sz w:val="20"/>
          <w:szCs w:val="20"/>
          <w:color w:val="auto"/>
        </w:rPr>
      </w:pPr>
      <w:r>
        <w:rPr>
          <w:rFonts w:ascii="Times New Roman" w:cs="Times New Roman" w:eastAsia="Times New Roman" w:hAnsi="Times New Roman"/>
          <w:sz w:val="16"/>
          <w:szCs w:val="16"/>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year are not necessarily indicative of the results that may be expected for any future periods.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Borders>
              <w:bottom w:val="single" w:sz="8" w:color="auto"/>
            </w:tcBorders>
          </w:tcPr>
          <w:p>
            <w:pPr>
              <w:jc w:val="right"/>
              <w:ind w:right="31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1"/>
                <w:szCs w:val="11"/>
                <w:color w:val="auto"/>
              </w:rPr>
            </w:pPr>
          </w:p>
        </w:tc>
        <w:tc>
          <w:tcPr>
            <w:tcW w:w="1020" w:type="dxa"/>
            <w:vAlign w:val="bottom"/>
            <w:tcBorders>
              <w:bottom w:val="single" w:sz="8" w:color="auto"/>
            </w:tcBorders>
          </w:tcPr>
          <w:p>
            <w:pPr>
              <w:jc w:val="right"/>
              <w:ind w:right="31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70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Borders>
              <w:bottom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1"/>
                <w:szCs w:val="11"/>
                <w:color w:val="auto"/>
              </w:rPr>
            </w:pPr>
          </w:p>
        </w:tc>
        <w:tc>
          <w:tcPr>
            <w:tcW w:w="1020" w:type="dxa"/>
            <w:vAlign w:val="bottom"/>
            <w:tcBorders>
              <w:bottom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54"/>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gridSpan w:val="3"/>
          </w:tcPr>
          <w:p>
            <w:pPr>
              <w:jc w:val="center"/>
              <w:ind w:left="654"/>
              <w:spacing w:after="0" w:line="116"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6"/>
        </w:trPr>
        <w:tc>
          <w:tcPr>
            <w:tcW w:w="4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1"/>
                <w:szCs w:val="11"/>
                <w:b w:val="1"/>
                <w:bCs w:val="1"/>
                <w:color w:val="auto"/>
              </w:rPr>
              <w:t>Revenues:</w:t>
            </w:r>
            <w:r>
              <w:rPr>
                <w:rFonts w:ascii="Times New Roman" w:cs="Times New Roman" w:eastAsia="Times New Roman" w:hAnsi="Times New Roman"/>
                <w:sz w:val="15"/>
                <w:szCs w:val="15"/>
                <w:b w:val="1"/>
                <w:bCs w:val="1"/>
                <w:color w:val="auto"/>
                <w:vertAlign w:val="superscript"/>
              </w:rPr>
              <w:t>(1)</w:t>
            </w:r>
          </w:p>
        </w:tc>
        <w:tc>
          <w:tcPr>
            <w:tcW w:w="500" w:type="dxa"/>
            <w:vAlign w:val="bottom"/>
            <w:shd w:val="clear" w:color="auto" w:fill="CCEEFF"/>
          </w:tcPr>
          <w:p>
            <w:pPr>
              <w:ind w:left="3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ind w:left="100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1560" w:type="dxa"/>
            <w:vAlign w:val="bottom"/>
            <w:gridSpan w:val="3"/>
            <w:shd w:val="clear" w:color="auto" w:fill="CCEEFF"/>
          </w:tcPr>
          <w:p>
            <w:pPr>
              <w:ind w:left="100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1140" w:type="dxa"/>
            <w:vAlign w:val="bottom"/>
            <w:gridSpan w:val="3"/>
            <w:shd w:val="clear" w:color="auto" w:fill="CCEEFF"/>
          </w:tcPr>
          <w:p>
            <w:pPr>
              <w:ind w:left="72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86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Vehicle sales</w:t>
            </w:r>
          </w:p>
        </w:tc>
        <w:tc>
          <w:tcPr>
            <w:tcW w:w="5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49,257,270</w:t>
            </w:r>
          </w:p>
        </w:tc>
        <w:tc>
          <w:tcPr>
            <w:tcW w:w="24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58,234,086</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76,883,876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10,994,248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Other sales</w:t>
            </w:r>
            <w:r>
              <w:rPr>
                <w:rFonts w:ascii="Times New Roman" w:cs="Times New Roman" w:eastAsia="Times New Roman" w:hAnsi="Times New Roman"/>
                <w:sz w:val="15"/>
                <w:szCs w:val="15"/>
                <w:color w:val="auto"/>
                <w:vertAlign w:val="superscript"/>
              </w:rPr>
              <w:t>(3)</w:t>
            </w:r>
          </w:p>
        </w:tc>
        <w:tc>
          <w:tcPr>
            <w:tcW w:w="50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6,360,663</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7,497,473</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10,603,634</w:t>
            </w:r>
          </w:p>
        </w:tc>
        <w:tc>
          <w:tcPr>
            <w:tcW w:w="2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1,516,299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revenues</w:t>
            </w:r>
          </w:p>
        </w:tc>
        <w:tc>
          <w:tcPr>
            <w:tcW w:w="5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55,617,933</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65,731,559</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87,487,510</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12,510,547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0"/>
                <w:szCs w:val="10"/>
                <w:color w:val="auto"/>
              </w:rPr>
              <w:t>Cost of sales:</w:t>
            </w:r>
            <w:r>
              <w:rPr>
                <w:rFonts w:ascii="Times New Roman" w:cs="Times New Roman" w:eastAsia="Times New Roman" w:hAnsi="Times New Roman"/>
                <w:sz w:val="14"/>
                <w:szCs w:val="14"/>
                <w:color w:val="auto"/>
                <w:vertAlign w:val="superscript"/>
              </w:rPr>
              <w:t>(2)</w:t>
            </w:r>
          </w:p>
        </w:tc>
        <w:tc>
          <w:tcPr>
            <w:tcW w:w="5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Vehicle sales</w:t>
            </w:r>
          </w:p>
        </w:tc>
        <w:tc>
          <w:tcPr>
            <w:tcW w:w="5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(44,587,572)</w:t>
            </w:r>
          </w:p>
        </w:tc>
        <w:tc>
          <w:tcPr>
            <w:tcW w:w="24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(51,094,616)</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(65,670,810)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(9,390,801)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Other sales</w:t>
            </w:r>
          </w:p>
        </w:tc>
        <w:tc>
          <w:tcPr>
            <w:tcW w:w="50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(7,978,565)</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(8,144,181)</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(9,900,995)</w:t>
            </w:r>
          </w:p>
        </w:tc>
        <w:tc>
          <w:tcPr>
            <w:tcW w:w="2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(1,415,823)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cost of sales</w:t>
            </w:r>
          </w:p>
        </w:tc>
        <w:tc>
          <w:tcPr>
            <w:tcW w:w="5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(52,566,137)</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(59,238,797)</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(75,571,805)</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(10,806,624)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Gross profit</w:t>
            </w:r>
          </w:p>
        </w:tc>
        <w:tc>
          <w:tcPr>
            <w:tcW w:w="50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3,051,796</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6,492,762</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11,915,705</w:t>
            </w:r>
          </w:p>
        </w:tc>
        <w:tc>
          <w:tcPr>
            <w:tcW w:w="2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1,703,923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tcPr>
          <w:p>
            <w:pPr>
              <w:spacing w:after="0" w:line="129" w:lineRule="exact"/>
              <w:rPr>
                <w:sz w:val="20"/>
                <w:szCs w:val="20"/>
                <w:color w:val="auto"/>
              </w:rPr>
            </w:pPr>
            <w:r>
              <w:rPr>
                <w:rFonts w:ascii="Times New Roman" w:cs="Times New Roman" w:eastAsia="Times New Roman" w:hAnsi="Times New Roman"/>
                <w:sz w:val="10"/>
                <w:szCs w:val="10"/>
                <w:color w:val="auto"/>
              </w:rPr>
              <w:t>Operating expenses:</w:t>
            </w:r>
            <w:r>
              <w:rPr>
                <w:rFonts w:ascii="Times New Roman" w:cs="Times New Roman" w:eastAsia="Times New Roman" w:hAnsi="Times New Roman"/>
                <w:sz w:val="14"/>
                <w:szCs w:val="14"/>
                <w:color w:val="auto"/>
                <w:vertAlign w:val="superscript"/>
              </w:rPr>
              <w:t>(2)</w:t>
            </w: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Research and development</w:t>
            </w:r>
            <w:r>
              <w:rPr>
                <w:rFonts w:ascii="Times New Roman" w:cs="Times New Roman" w:eastAsia="Times New Roman" w:hAnsi="Times New Roman"/>
                <w:sz w:val="15"/>
                <w:szCs w:val="15"/>
                <w:color w:val="auto"/>
                <w:vertAlign w:val="superscript"/>
              </w:rPr>
              <w:t>(2)</w:t>
            </w:r>
          </w:p>
        </w:tc>
        <w:tc>
          <w:tcPr>
            <w:tcW w:w="5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(13,431,399)</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(13,037,304)</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(10,604,993)</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(1,516,494)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gridSpan w:val="2"/>
          </w:tcPr>
          <w:p>
            <w:pPr>
              <w:spacing w:after="0" w:line="136" w:lineRule="exact"/>
              <w:rPr>
                <w:sz w:val="20"/>
                <w:szCs w:val="20"/>
                <w:color w:val="auto"/>
              </w:rPr>
            </w:pPr>
            <w:r>
              <w:rPr>
                <w:rFonts w:ascii="Times New Roman" w:cs="Times New Roman" w:eastAsia="Times New Roman" w:hAnsi="Times New Roman"/>
                <w:sz w:val="11"/>
                <w:szCs w:val="11"/>
                <w:color w:val="auto"/>
              </w:rPr>
              <w:t>Selling, general and administrative</w:t>
            </w:r>
            <w:r>
              <w:rPr>
                <w:rFonts w:ascii="Times New Roman" w:cs="Times New Roman" w:eastAsia="Times New Roman" w:hAnsi="Times New Roman"/>
                <w:sz w:val="15"/>
                <w:szCs w:val="15"/>
                <w:color w:val="auto"/>
                <w:vertAlign w:val="superscript"/>
              </w:rPr>
              <w:t>(2)</w:t>
            </w:r>
          </w:p>
        </w:tc>
        <w:tc>
          <w:tcPr>
            <w:tcW w:w="5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(12,884,556)</w:t>
            </w:r>
          </w:p>
        </w:tc>
        <w:tc>
          <w:tcPr>
            <w:tcW w:w="24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(15,741,057)</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(16,087,747)</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(2,300,517)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Other operating income, net</w:t>
            </w:r>
          </w:p>
        </w:tc>
        <w:tc>
          <w:tcPr>
            <w:tcW w:w="50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608,975</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411,526</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735,797</w:t>
            </w:r>
          </w:p>
        </w:tc>
        <w:tc>
          <w:tcPr>
            <w:tcW w:w="2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105,218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5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(25,706,980)</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(28,366,835)</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(25,956,943)</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(3,711,793)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50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(22,655,184)</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(21,874,073)</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(14,041,238)</w:t>
            </w:r>
          </w:p>
        </w:tc>
        <w:tc>
          <w:tcPr>
            <w:tcW w:w="2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(2,007,870)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Interest and investment income</w:t>
            </w:r>
          </w:p>
        </w:tc>
        <w:tc>
          <w:tcPr>
            <w:tcW w:w="50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2,210,018</w:t>
            </w:r>
          </w:p>
        </w:tc>
        <w:tc>
          <w:tcPr>
            <w:tcW w:w="24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853,728</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761,658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108,916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Interest expenses</w:t>
            </w:r>
          </w:p>
        </w:tc>
        <w:tc>
          <w:tcPr>
            <w:tcW w:w="5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(403,530)</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(798,363)</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(885,248)</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(126,589)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Gain/(loss) on extinguishment of debt</w:t>
            </w:r>
          </w:p>
        </w:tc>
        <w:tc>
          <w:tcPr>
            <w:tcW w:w="5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170,193</w:t>
            </w:r>
          </w:p>
        </w:tc>
        <w:tc>
          <w:tcPr>
            <w:tcW w:w="24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(4,480)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(14,660)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Share of income/(loss) of equity investees</w:t>
            </w:r>
          </w:p>
        </w:tc>
        <w:tc>
          <w:tcPr>
            <w:tcW w:w="5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64,394</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(503,193)</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(1,092,184)</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(156,180)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tcBorders>
              <w:bottom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3"/>
                <w:szCs w:val="13"/>
                <w:color w:val="auto"/>
              </w:rPr>
              <w:t>Other income/ (loss), net</w:t>
            </w:r>
          </w:p>
        </w:tc>
        <w:tc>
          <w:tcPr>
            <w:tcW w:w="5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155,191</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(98,143)</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450,953</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64,485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tcBorders>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Loss before income tax expense</w:t>
            </w:r>
          </w:p>
        </w:tc>
        <w:tc>
          <w:tcPr>
            <w:tcW w:w="5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(20,458,918)</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(22,424,524)</w:t>
            </w:r>
          </w:p>
        </w:tc>
        <w:tc>
          <w:tcPr>
            <w:tcW w:w="2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(14,820,719)</w:t>
            </w:r>
          </w:p>
        </w:tc>
        <w:tc>
          <w:tcPr>
            <w:tcW w:w="2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(2,119,334)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Income tax (expense)/benefit</w:t>
            </w: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40" w:type="dxa"/>
            <w:vAlign w:val="bottom"/>
            <w:tcBorders>
              <w:bottom w:val="single" w:sz="8" w:color="CCEEFF"/>
            </w:tcBorders>
            <w:gridSpan w:val="2"/>
            <w:vMerge w:val="continue"/>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(260,835)</w:t>
            </w:r>
          </w:p>
        </w:tc>
        <w:tc>
          <w:tcPr>
            <w:tcW w:w="240" w:type="dxa"/>
            <w:vAlign w:val="bottom"/>
            <w:tcBorders>
              <w:bottom w:val="single" w:sz="8" w:color="CCEEFF"/>
            </w:tcBorders>
          </w:tcPr>
          <w:p>
            <w:pPr>
              <w:spacing w:after="0"/>
              <w:rPr>
                <w:sz w:val="9"/>
                <w:szCs w:val="9"/>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22,815</w:t>
            </w:r>
          </w:p>
        </w:tc>
        <w:tc>
          <w:tcPr>
            <w:tcW w:w="24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(121,882)</w:t>
            </w:r>
          </w:p>
        </w:tc>
        <w:tc>
          <w:tcPr>
            <w:tcW w:w="2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(17,429)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640" w:type="dxa"/>
            <w:vAlign w:val="bottom"/>
            <w:tcBorders>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5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(20,719,753)</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(22,401,709)</w:t>
            </w:r>
          </w:p>
        </w:tc>
        <w:tc>
          <w:tcPr>
            <w:tcW w:w="2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(14,942,601)</w:t>
            </w:r>
          </w:p>
        </w:tc>
        <w:tc>
          <w:tcPr>
            <w:tcW w:w="2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(2,136,763)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 comprehensive (loss)/income</w:t>
            </w: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Change in unrealized losses related to available-for-sale debt securities, net of tax</w:t>
            </w:r>
          </w:p>
        </w:tc>
        <w:tc>
          <w:tcPr>
            <w:tcW w:w="5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(770,560)</w:t>
            </w:r>
          </w:p>
        </w:tc>
        <w:tc>
          <w:tcPr>
            <w:tcW w:w="2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right"/>
              <w:ind w:right="6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3"/>
            <w:shd w:val="clear" w:color="auto" w:fill="CCEEFF"/>
          </w:tcPr>
          <w:p>
            <w:pPr>
              <w:jc w:val="right"/>
              <w:ind w:right="4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tcBorders>
              <w:bottom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3"/>
                <w:szCs w:val="13"/>
                <w:color w:val="auto"/>
              </w:rPr>
              <w:t>Foreign currency translation adjustment, net of nil tax</w:t>
            </w:r>
          </w:p>
        </w:tc>
        <w:tc>
          <w:tcPr>
            <w:tcW w:w="5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11,514</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149,668</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(2,860)</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comprehensive (loss)/ income</w:t>
            </w:r>
          </w:p>
        </w:tc>
        <w:tc>
          <w:tcPr>
            <w:tcW w:w="50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(759,046)</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149,668</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(2,860)</w:t>
            </w:r>
          </w:p>
        </w:tc>
        <w:tc>
          <w:tcPr>
            <w:tcW w:w="2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(21,478,799)</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(22,252,041)</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(14,945,461)</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(2,137,172)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Accretion on redeemable non-controlling interests to redemption value</w:t>
            </w:r>
          </w:p>
        </w:tc>
        <w:tc>
          <w:tcPr>
            <w:tcW w:w="5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(303,163)</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(347,516)</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(609,857)</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(87,208)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40" w:type="dxa"/>
            <w:vAlign w:val="bottom"/>
            <w:tcBorders>
              <w:bottom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3"/>
                <w:szCs w:val="13"/>
                <w:color w:val="auto"/>
              </w:rPr>
              <w:t>Net (profit)/loss attributable to non-controlling interests</w:t>
            </w:r>
          </w:p>
        </w:tc>
        <w:tc>
          <w:tcPr>
            <w:tcW w:w="5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(124,051)</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91,533</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(18,220)</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(2,605)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Other comprehensive loss attributable to non-controlling interests</w:t>
            </w:r>
          </w:p>
        </w:tc>
        <w:tc>
          <w:tcPr>
            <w:tcW w:w="50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156,026</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Comprehensive loss attributable to ordinary shareholders of NIO Inc.</w:t>
            </w:r>
          </w:p>
        </w:tc>
        <w:tc>
          <w:tcPr>
            <w:tcW w:w="500" w:type="dxa"/>
            <w:vAlign w:val="bottom"/>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(21,749,987)</w:t>
            </w:r>
          </w:p>
        </w:tc>
        <w:tc>
          <w:tcPr>
            <w:tcW w:w="240" w:type="dxa"/>
            <w:vAlign w:val="bottom"/>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(22,508,024)</w:t>
            </w: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(15,573,538)</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(2,226,985)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480" w:type="dxa"/>
            <w:vAlign w:val="bottom"/>
            <w:tcBorders>
              <w:bottom w:val="single" w:sz="8" w:color="auto"/>
            </w:tcBorders>
          </w:tcPr>
          <w:p>
            <w:pPr>
              <w:spacing w:after="0"/>
              <w:rPr>
                <w:sz w:val="6"/>
                <w:szCs w:val="6"/>
                <w:color w:val="auto"/>
              </w:rPr>
            </w:pPr>
          </w:p>
        </w:tc>
        <w:tc>
          <w:tcPr>
            <w:tcW w:w="2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Notes:</w:t>
      </w:r>
    </w:p>
    <w:p>
      <w:pPr>
        <w:spacing w:after="0" w:line="148" w:lineRule="exact"/>
        <w:rPr>
          <w:sz w:val="20"/>
          <w:szCs w:val="20"/>
          <w:color w:val="auto"/>
        </w:rPr>
      </w:pPr>
    </w:p>
    <w:p>
      <w:pPr>
        <w:ind w:left="300" w:hanging="300"/>
        <w:spacing w:after="0"/>
        <w:tabs>
          <w:tab w:leader="none" w:pos="3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currently generate revenues from vehicle sales and other sales.</w:t>
      </w:r>
    </w:p>
    <w:p>
      <w:pPr>
        <w:spacing w:after="0" w:line="184"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compensation expenses were allocated in cost of sales and operating expenses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2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83,972</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71,779</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57,954</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8,287</w:t>
            </w: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1,517,206</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1,296,136</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1,129,859</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161,568</w:t>
            </w: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767,863</w:t>
            </w:r>
          </w:p>
        </w:tc>
        <w:tc>
          <w:tcPr>
            <w:tcW w:w="2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560,597</w:t>
            </w:r>
          </w:p>
        </w:tc>
        <w:tc>
          <w:tcPr>
            <w:tcW w:w="2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602,914</w:t>
            </w:r>
          </w:p>
        </w:tc>
        <w:tc>
          <w:tcPr>
            <w:tcW w:w="2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86,216</w:t>
            </w:r>
          </w:p>
        </w:tc>
      </w:tr>
      <w:tr>
        <w:trPr>
          <w:trHeight w:val="190"/>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2,369,041</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1,928,512</w:t>
            </w:r>
          </w:p>
        </w:tc>
        <w:tc>
          <w:tcPr>
            <w:tcW w:w="2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1,790,727</w:t>
            </w:r>
          </w:p>
        </w:tc>
        <w:tc>
          <w:tcPr>
            <w:tcW w:w="2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256,071</w:t>
            </w:r>
          </w:p>
        </w:tc>
      </w:tr>
      <w:tr>
        <w:trPr>
          <w:trHeight w:val="20"/>
        </w:trPr>
        <w:tc>
          <w:tcPr>
            <w:tcW w:w="2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6"/>
        </w:trPr>
        <w:tc>
          <w:tcPr>
            <w:tcW w:w="2480" w:type="dxa"/>
            <w:vAlign w:val="bottom"/>
            <w:tcBorders>
              <w:bottom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r>
    </w:tbl>
    <w:p>
      <w:pPr>
        <w:spacing w:after="0" w:line="66" w:lineRule="exact"/>
        <w:rPr>
          <w:sz w:val="20"/>
          <w:szCs w:val="20"/>
          <w:color w:val="auto"/>
        </w:rPr>
      </w:pPr>
    </w:p>
    <w:p>
      <w:pPr>
        <w:jc w:val="both"/>
        <w:ind w:left="300" w:right="40" w:hanging="300"/>
        <w:spacing w:after="0" w:line="232" w:lineRule="auto"/>
        <w:tabs>
          <w:tab w:leader="none" w:pos="3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sales mainly consist of revenues from (a) parts, accessories and after-sales vehicle services, including repair, maintenance, extended warranty services, service package and other vehicle-related services, (b) provision of power solutions, including provision of battery charging and swapping services, sales of charging piles, provision of BaaS-related services and other power solution services, (c) others, which mainly consist of technical services, used car sales, auto financing services, sales of lifestyle product merchandise and other products and services.</w:t>
      </w: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60"/>
          </w:cols>
          <w:pgMar w:left="980" w:top="482" w:right="9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right="4500"/>
        <w:spacing w:after="0" w:line="470" w:lineRule="auto"/>
        <w:rPr>
          <w:sz w:val="20"/>
          <w:szCs w:val="20"/>
          <w:color w:val="auto"/>
        </w:rPr>
      </w:pPr>
      <w:r>
        <w:rPr>
          <w:rFonts w:ascii="Times New Roman" w:cs="Times New Roman" w:eastAsia="Times New Roman" w:hAnsi="Times New Roman"/>
          <w:sz w:val="16"/>
          <w:szCs w:val="16"/>
          <w:b w:val="1"/>
          <w:bCs w:val="1"/>
          <w:color w:val="auto"/>
        </w:rPr>
        <w:t xml:space="preserve">Year Ended December 31, 2025 Compared to Year Ended December 31, 2024 </w:t>
      </w:r>
      <w:r>
        <w:rPr>
          <w:rFonts w:ascii="Times New Roman" w:cs="Times New Roman" w:eastAsia="Times New Roman" w:hAnsi="Times New Roman"/>
          <w:sz w:val="16"/>
          <w:szCs w:val="16"/>
          <w:b w:val="1"/>
          <w:bCs w:val="1"/>
          <w:i w:val="1"/>
          <w:iCs w:val="1"/>
          <w:color w:val="auto"/>
        </w:rPr>
        <w:t>Revenues</w:t>
      </w:r>
    </w:p>
    <w:p>
      <w:pPr>
        <w:spacing w:after="0" w:line="1"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Our revenues increased by 33.1% from RMB65,731.6 million in 2024 to RMB87,487.5 million (US$12,510.5 million) in 2025, primarily attributable to (i) an increase in vehicle sales by RMB18,649.8 million, as a result of an increase in vehicle delivery volume by 46.9% from 221,970 vehicles in 2024 to 326,028 vehicles in 2025, partially offset by a decrease in the average selling price of our vehicles mainly due to changes in product mix. In 2025, following the commencement of deliveries of firefly and NIO All-New ES8, the starting manufacturer’s suggested retail price (MSRP) of our mainstream models in China ranged from RMB119,800 to RMB406,800, compared with RMB206,900 to RMB358,000 in 2024, and</w:t>
      </w:r>
    </w:p>
    <w:p>
      <w:pPr>
        <w:spacing w:after="0" w:line="3" w:lineRule="exact"/>
        <w:rPr>
          <w:sz w:val="20"/>
          <w:szCs w:val="20"/>
          <w:color w:val="auto"/>
        </w:rPr>
      </w:pPr>
    </w:p>
    <w:p>
      <w:pPr>
        <w:jc w:val="both"/>
        <w:spacing w:after="0" w:line="267" w:lineRule="auto"/>
        <w:tabs>
          <w:tab w:leader="none" w:pos="25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other revenues by RMB1,213.7 million from sales of parts, accessories and after-sales vehicle services as well as the provision of power solutions, driven by continued growth in our user base, and (iii) the increase in sales of used cars and provision of technical services by RMB1,758.3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sales</w:t>
      </w:r>
    </w:p>
    <w:p>
      <w:pPr>
        <w:spacing w:after="0" w:line="17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Our cost of sales increased by 27.6% from RMB59,238.8 million in 2024 to RMB75,571.8 million (US$ 10,806.6 million) in 2025, primarily attributable to (i) an increase in cost of vehicle sales by RMB14,576.2 million, as a result of an increase in vehicle delivery volume by 46.9%, partially offset by changes in our product mix and lower material cost per vehicle, (ii) the increase in cost of used car sales of RMB1,159.6 million, as a result of increased used car sales volume, and (iii) an increase in cost of provision of power solutions by RMB461.0 million, mainly as a result of higher depreciation and operating cost from the increased investment in our power network.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 and Gross Margin</w:t>
      </w:r>
    </w:p>
    <w:p>
      <w:pPr>
        <w:spacing w:after="0" w:line="191"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Our gross profit increased by 83.5% from RMB6,492.8 million in 2024 to RMB11,915.7 million (US$ 1,703.9 million) in 2025. The increase of gross profit compared to 2024 was mainly driven by (i) the increase in profit from vehicle sales of RMB4,073.6 million primarily due to an increase in vehicle delivery volume by 46.9%, (ii) the increase in profit from sales of parts, accessories and after-sales vehicle services of RMB903.6 million, and (iii) the increase in profit from provision of technical services of RMB344.8 million.</w:t>
      </w:r>
    </w:p>
    <w:p>
      <w:pPr>
        <w:spacing w:after="0" w:line="122"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Gross margin in 2025 was 13.6%, compared with 9.9% in 2024. The increase of gross margin as compared to 2024 was mainly driven by the increase of vehicle margin.</w:t>
      </w:r>
    </w:p>
    <w:p>
      <w:pPr>
        <w:spacing w:after="0" w:line="100"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Vehicle margin in 2025 was 14.6%, compared with 12.3% in 2024. Vehicle margin is the margin of new vehicle sales, which is calculated based on revenues and cost of sales derived from new vehicle sales only. The increase of vehicle margin as compared to 2024 was mainly driven by decreased material cost per vehicle, which is partially offset by changes in our product mix.</w:t>
      </w:r>
    </w:p>
    <w:p>
      <w:pPr>
        <w:spacing w:after="0" w:line="128"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Other sales margin in 2025 was 6.6%, compared with negative 8.6% in 2024, which was mainly driven by (i) the increase in the gross margin of sales of parts, accessories and after-sales vehicle services as a result of cost reduction and efficiency improvement, (ii) the reduction in the gross loss rate from provision of power solutions due to continued growth in our user base, and (iii) the increase of revenue from provision of technical services with relatively higher margin.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17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Research and development expenses decreased by 18.7% from RMB13,037.3 million in 2024 to RMB10,605.0 million (US$1,516.5 million) in 2025, primarily due to decreased personnel costs in research and development functions of RMB1,187.7 million and decreased design and development costs of RMB862.5 million resulting from different stages of development for new products and technologies.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17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Selling, general and administrative expenses increased by 2.2% from RMB15,741.1 million in 2024 to RMB16,087.7 million (US$2,300.5 million) in 2025, primarily due to increased employee compensation expense of RMB345.5 million and increased rental and related expense of RMB223.6 million, driven by our sales and service network expansion, partially offset by the decreased marketing and promotional expenses of RMB284.2 million as a result of our overall cost-saving efforts and the improved operational efficiency in marketing function.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from Operations</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As a result of the foregoing, we incurred a loss from operations of RMB14,041.2 million (US$2,007.9 million) in 2025, representing a decrease of 35.8% as compared to a loss of RMB21,874.1 million in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investment income</w:t>
      </w:r>
    </w:p>
    <w:p>
      <w:pPr>
        <w:spacing w:after="0" w:line="19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recorded interest and investment income of RMB761.7 million (US$108.9 million) in 2025, representing a decrease of 10.8% as compared to RMB853.7 million in 2024, primarily due to lower average cash and cash equivalents balances throughout 2025 and partially offset by the increased fair value gains on our equity investments.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Expenses</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Our interest expenses increased from RMB798.4 million in 2024 to RMB885.2 million (US$126.6 million) in 2025, primarily due to additional finance leases.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of Loss of Equity Investees</w:t>
      </w:r>
    </w:p>
    <w:p>
      <w:pPr>
        <w:spacing w:after="0" w:line="17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share of loss of equity investees increased from RMB503.2 million in 2024 to RMB1,092.2 million (US$156.2 million) in 2025, primarily due to the impact of share of losses recorded from equity method investments, which included the elimination of the unrealized intercompany profit in upstream and downstream transactions.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(Loss)/Income, Net</w:t>
      </w:r>
    </w:p>
    <w:p>
      <w:pPr>
        <w:spacing w:after="0" w:line="19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recorded other income of RMB451.0 million (US$64.5 million) in 2025, compared with other losses of RMB98.1 million in 2024, primarily due to an increase in foreign exchange gain of RMB552.7 million from the revaluation impact of overseas Renminbi-related assets as a result of the appreciation of Renminbi against U.S. dollars in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(Expense)/Benefit</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recorded income tax expense of RMB121.9 million (US$17.4 million) in 2025, as compared to income tax benefit of RMB22.8 million in 2024, primarily due to the recognition of deferred tax liabilities in connection with the fair value change of our equity investments.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As a result of the foregoing, we incurred a net loss of RMB14,942.6 million (US$2,136.8 million) in 2025, representing a decrease of 33.3% as compared to a net loss of RMB22,401.7 million in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Ended December 31, 2024 Compared to Year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7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Our revenues increased by 18.2% from RMB55,617.9 million in 2023 to RMB65,731.6 million in 2024, primarily attributable to (i) an increase in vehicle sales by RMB8,976.8 million, as a result of an increase in vehicle delivery volume by 38.7%, partially offset by a decrease in the average selling price of our vehicles mainly due to changes in product mix, and (ii) an increase in other revenues by RMB1,497.1 million from sales of parts, accessories and after-sales vehicle services and provision of power solutions, as a result of continued growth in the number of our users, partially offset by (iii) the decrease in revenue from sales of used cars by RMB587.8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sales</w:t>
      </w:r>
    </w:p>
    <w:p>
      <w:pPr>
        <w:spacing w:after="0" w:line="191"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Our cost of sales increased by 12.7% from RMB52,566.1 million in 2023 to RMB59,238.8 million in 2024, primarily attributable to (i) an increase in cost of vehicle sales by RMB6,507.0 million, as a result of an increase in vehicle delivery volume by 38.7%, partially offset by lower material cost per vehicle and changes in our product mix, and (ii) an increase in cost of provision of power solutions and parts, accessories and after-sales vehicle services by RMB840.1 million, as a result of higher depreciation and operating cost from the increased investment in our power and service network, partially offset by (iii) the decrease in cost of used car sales of RMB746.4 million, as a result of decreased used car sales volume.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 and Gross Margin</w:t>
      </w:r>
    </w:p>
    <w:p>
      <w:pPr>
        <w:spacing w:after="0" w:line="17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gross profit increased by 112.8% from RMB3,051.8 million in 2023 to RMB6,492.8 million in 2024. The increase of gross profit compared to 2023 was mainly driven by (i) the increase in profit from vehicle sales of RMB2,469.8 million primarily due to an increase in vehicle delivery volume by 38.7%, and (ii) the increase in profit from sales of parts, accessories and after-sales vehicle services with RMB850.1 million.</w:t>
      </w:r>
    </w:p>
    <w:p>
      <w:pPr>
        <w:spacing w:after="0" w:line="1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Gross margin in 2024 was 9.9%, compared with 5.5% in 2023. The increase of gross margin as compared to 2023 was mainly driven by the increase of vehicle margin.</w:t>
      </w:r>
    </w:p>
    <w:p>
      <w:pPr>
        <w:spacing w:after="0" w:line="11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Vehicle margin in 2024 was 12.3%, compared with 9.5% in 2023. Vehicle margin is the margin of new vehicle sales, which is calculated based on revenues and cost of sales derived from new vehicle sales only. The increase of vehicle margin as compared to 2023 was mainly driven by decreased material cost per vehicle, which is partially offset by changes in our product mix.</w:t>
      </w:r>
    </w:p>
    <w:p>
      <w:pPr>
        <w:spacing w:after="0" w:line="1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Other sales margin in 2024 was negative 8.6%, compared with negative 25.4% in 2023, which was mainly driven by the increase of sales of parts, accessories and after-sales vehicle services with relatively high sales margin.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191"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Research and development expenses decreased by 2.9% from RMB13,431.4 million in 2023 to RMB13,037.3 million in 2024, primarily due to decreased design and development costs of RMB457.6 million and decreased personnel costs in research and development functions of RMB169.3 million resulting from different stages of development for new products and technologies, partially offset by the incremental depreciation and amortization expenses of RMB270.3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179"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Selling, general and administrative expenses increased by 22.2% from RMB12,884.6 million in 2023 to RMB15,741.1 million in 2024, primarily due to (i) increased employee compensation expense of RMB1,475.9 million driven by an increase in sales functions personnel, and (ii) increased marketing and promotional expenses of RMB766.4 million due to the increase in sales and marketing activities for new brands and products.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from Operations</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As a result of the foregoing, we incurred a loss from operations of RMB21,874.1 million in 2024, representing a decrease of 3.4% as compared to a loss of RMB22,655.2 million in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investment income</w:t>
      </w:r>
    </w:p>
    <w:p>
      <w:pPr>
        <w:spacing w:after="0" w:line="191"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recorded interest and investment income of RMB853.7 million in 2024, representing a decrease of 61.4% as compared to RMB2,210.0 million in 2023, primarily due to the fair value change of our equity investments.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Expenses</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Our interest expenses increased from RMB403.5 million in 2023 to RMB798.4 million in 2024, primarily due to the issuance of 2029 Notes and the 2030 Notes in September 2023 and the increased other financing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of Income/(Loss) of Equity Investees</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recorded share of loss of equity investees of RMB503.2 million in 2024, as compared to share of income of equity investees of RMB64.4 million in 2023, primarily due to the share of losses recorded from our equity investments measured under equity method in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(Loss)/Income, Net</w:t>
      </w:r>
    </w:p>
    <w:p>
      <w:pPr>
        <w:spacing w:after="0" w:line="19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recorded other losses of RMB98.1 million in 2024, compared with other income of RMB155.2 million in 2023, primarily due to an increase in foreign exchange loss of RMB253.2 million from the revaluation impact of overseas Renminbi-related assets as a result of the depreciation of Renminbi against U.S. dollars in 2024.</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(Expense)/Benefit</w:t>
      </w:r>
    </w:p>
    <w:p>
      <w:pPr>
        <w:spacing w:after="0" w:line="179"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We recorded income tax benefit of RMB22.8 million in 2024, as compared to income tax expense of RMB260.8 million in 2023, primarily due to the reversion of deferred tax liabilities in connection with the fair value change of our equity investments.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w:t>
      </w:r>
    </w:p>
    <w:p>
      <w:pPr>
        <w:spacing w:after="0" w:line="191"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As a result of the foregoing, we incurred a net loss of RMB22,401.7 million in 2024, representing an increase of 8.1% as compared to a net loss of RMB20,719.8 million in 2023.</w:t>
      </w:r>
    </w:p>
    <w:p>
      <w:pPr>
        <w:spacing w:after="0" w:line="96" w:lineRule="exact"/>
        <w:rPr>
          <w:sz w:val="20"/>
          <w:szCs w:val="20"/>
          <w:color w:val="auto"/>
        </w:rPr>
      </w:pPr>
    </w:p>
    <w:p>
      <w:pPr>
        <w:ind w:right="7040"/>
        <w:spacing w:after="0" w:line="478" w:lineRule="auto"/>
        <w:tabs>
          <w:tab w:leader="none" w:pos="594"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Liquidity and Capital Resources Cash Flows and Working Capital</w:t>
      </w:r>
    </w:p>
    <w:p>
      <w:pPr>
        <w:spacing w:after="0" w:line="1"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had net cash used in operating activities of RMB1,381.5 million in 2023, net cash used in operating activities of RMB7,849.2 million in 2024, and net cash provided by operating activities of RMB2,992.6 million (US$427.9 million) in 2025.</w:t>
      </w:r>
    </w:p>
    <w:p>
      <w:pPr>
        <w:spacing w:after="0" w:line="100"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As of December 31, 2025, we had a total of RMB45,864.2 million (US$6,558.5 million) in cash and cash equivalents, restricted cash (including non-current restricted cash) and short-term investments. As of December 31, 2025, 97.1% of our cash and cash equivalents and restricted cash (including non-current restricted cash) and short-term investments were denominated in Renminbi and held in PRC and Hong Kong and the other cash and cash equivalents and restricted cash (including non-current restricted cash) and short-term investments were mainly denominated in US$ and held in the PRC, Hong Kong and the United States. Our cash and cash equivalents consist primarily of cash on hand, time deposits and highly liquid investments placed with banks, which are unrestricted as to withdrawal and use, and which have original maturities of three months or less.</w:t>
      </w:r>
    </w:p>
    <w:p>
      <w:pPr>
        <w:spacing w:after="0" w:line="328"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As of December 31, 2025, we had bank credit quotas with an aggregate amount of RMB77,756.6 million (US$11,119.0 million), which consists of non-collateral based bank credit quotas of RMB7,752.2 million (US$1,108.5 million) and collateral-based bank credit quotas of RMB70,004.4 million (US$10,010.5 million). Out of the total non-collateral based bank credit quotas, RMB2,480.0 million (US$354.6 million), RMB690.0 million (US$98.7 million), and RMB237.0 million (US$33.9 million) were used for bank borrowing, issuance of letters of guarantee, and bank’s acceptance notes, respectively. Out of the total collateral-based bank credit quotas, RMB24,447.5 million (US$3,495.9 million), RMB8,088.3 million (US$1,156.6 million) and RMB102.1 million (US$14.6 million) were used for issuance of bank’s acceptance notes, letters of guarantee and letter of credit respectively.</w:t>
      </w:r>
    </w:p>
    <w:p>
      <w:pPr>
        <w:spacing w:after="0" w:line="34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As of December 31, 2025, we had RMB5,347.9 million (US$764.7 million) and RMB8,626.3 million (US$1,233.5 million) in total short-term and long-term borrowings outstanding, respectively. The borrowings outstanding primarily consisted of the 2029 Notes and 2030 Notes, our short-term and long-term bank debt, and other financing arrangement.</w:t>
      </w:r>
    </w:p>
    <w:p>
      <w:pPr>
        <w:spacing w:after="0" w:line="11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In September 2023, we issued US$500 million aggregate principal amount of 3.875% convertible senior notes due 2029, or the 2029 Notes, and US$500 million aggregate principal amount of 4.625% convertible senior notes due 2030, or the 2030 Notes. We granted the initial purchasers in the notes offering an option to purchase up to an additional US$75 million in aggregate principal amount of the 2029 Notes and up to an additional US$75 million in aggregate principal amount of the 2030 Notes. The initial purchasers exercised in full the option to purchase from us an aggregate of US$75 million principal amount of the 2029 Notes and US$75 million principal amount of the 2030 Notes. The 2029 Notes and the 2030 Notes are unsecured debt. The 2029 Notes will bear interest at a rate of 3.875% per year, and the 2030 Notes will bear interest at a rate of 4.625% per year. The 2029 Notes will mature on October 15, 2029 and the 2030 Notes will mature on October 15, 2030, unless repurchased, redeemed or converted in accordance with their terms prior to such date. The holders of the 2029 Notes and the 2030 Notes shall have the right, at such holder’s option, to convert all or any portion of their 2029 Notes or 2030 Notes, as applicable, at any time prior to the close of business on the second scheduled trading day immediately preceding the relevant maturity date.</w:t>
      </w:r>
    </w:p>
    <w:p>
      <w:pPr>
        <w:spacing w:after="0" w:line="13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Upon conversion, we will pay or deliver to such converting holders, as the case may be, cash, ADSs, or a combination of cash and ADSs, at our election. The initial conversion rate of the 2029 Notes is 89.9685 ADSs per US$1,000 principal amount of such 2029 Notes. The initial conversion rate of the 2030 Notes is 89.9685 ADSs per US$1,000 principal amount of such 2030 Notes. The relevant conversion rate for such series of the 2029 Notes and the 2030 Notes is subject to adjustment upon the occurrence of certain events.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Holders of the 2029 Notes and 2030 Notes may require us to repurchase all or any portion of their 2029 Notes and 2030 Notes for cash on October 15, 2027, in the case of the 2029 Notes, and October 15, 2028, in the case of 2030 Notes, or in the event of certain fundamental changes, at a repurchase price equal to 100% of the principal amount of the 2029 Notes or the 2030 Notes to be repurchased plus accrued and unpaid interest, if any, to, but excluding, the repurchase date. In addition, on or after October 22, 2027, in the case of the 2029 Notes, and October 22, 2028, in the case of the 2030 Notes, until the 20th scheduled trading day immediately prior to the relevant maturity date, we may redeem all or part of the 2029 Notes and 2030 Notes, as applicable for cash subject to certain conditions, at a redemption price equal to 100% of the principal amount of the 2029 Notes or the 2030 Notes to be redeemed, plus accrued and unpaid interest, if any, to, but excluding, the optional redemption date. Furthermore, we may redeem all but not part of the 2029 Notes or the 2030 Notes in the event of certain changes in the tax laws. Satisfying the obligations of the 2029 Notes and the 2030 Notes could adversely affect the amount or timing of any distributions to our shareholders. We may choose to satisfy, repurchase, or refinance the 2029 Notes or the 2030 Notes through public or private equity or debt financings if we deem such financings available on favorable terms.</w:t>
      </w:r>
    </w:p>
    <w:p>
      <w:pPr>
        <w:spacing w:after="0" w:line="33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As of the date of this annual report, based on the outstanding principal amount of the 2027 Notes, the 2029 Notes and the 2030 Notes and the highest conversion rate under each indenture, the maximum number of ADSs that would be issued in connection with the outstanding convertible notes is approximately 134.5 million.</w:t>
      </w:r>
    </w:p>
    <w:p>
      <w:pPr>
        <w:spacing w:after="0" w:line="1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January 2021, we issued US$750 million aggregate principal amount of 0.00% convertible senior notes due 2026, or the 2026 Notes, and US$750 million aggregate principal amount of 0.50% convertible senior notes due 2027, or the 2027 Notes. The 2026 Notes matured on February 1, 2026, and we repaid the then outstanding 2026 Notes that had not been redeemed, repurchased or converted in full. Substantially all of the 2027 Notes have also been repurchased or exchanged, with an aggregate principal amount of US$0.2 million outstanding as of December 31, 2025.</w:t>
      </w:r>
    </w:p>
    <w:p>
      <w:pPr>
        <w:spacing w:after="0" w:line="134"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Our principal sources of liquidity have been proceeds from issuances of equity securities, our notes offerings, our bank credit quotas and cash flow from business operations. We have been applying a variety of methods to manage our working capital. We use just-in-time, pull-production system to control the inventory level of the components. Meanwhile, payment methods for our suppliers can be a combination of cash and notes payable.</w:t>
      </w:r>
    </w:p>
    <w:p>
      <w:pPr>
        <w:spacing w:after="0" w:line="321"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We incurred significant losses in the past and only started to record net profit in the fourth quarter of 2025. We incurred net losses of RMB20,719.8 million, RMB22,401.7 million and RMB14,942.6 million (US$2,136.8 million) for the years ended December 31, 2023, 2024 and 2025, respectively. In addition, although we generated positive operating cash flows in 2025, we had negative operating cash flows of RMB1,381.5 million and RMB7,849.2 million in 2023 and 2024, respectively. Therefore, our ability to continue as a going concern is largely dependent on the successful implementation of our management’s business plan to mitigate these adverse conditions, which includes growing our revenue by increasing the sales volume of electric vehicles, optimizing our operation efficiency, maintaining a reasonable working capital turnover rate by managing collection of receivables and settlement of payables, and raising funds from banks under available credit quotas and other sources when needed. We have prepared a cash flows forecast covering the twelve months from the date of issuance of the consolidated financial statements after giving consideration to our business plan as noted above and the evaluation of the probability of the successful implementation of such business plan. We have assessed the uncertainties as to the successful execution of such business plan and concluded it is probable that the business plan will be effectively implemented, and our available cash and cash equivalents, restricted cash and short-term investments, cash generated from operating activities and funds from available credit quotas and other sources will be sufficient to support our continuous operations and necessary capital expenditures, and to meet our payment obligations when liabilities fall due within the twelve months from the date of issuance of the consolidated financial statements.</w:t>
      </w:r>
    </w:p>
    <w:p>
      <w:pPr>
        <w:spacing w:after="0" w:line="332"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However, we may decide to enhance our liquidity position or increase our cash reserve for future expansions and acquisitions through additional capital and/or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sets forth a summary of our cash flows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400" w:type="dxa"/>
            <w:vAlign w:val="bottom"/>
            <w:vMerge w:val="restart"/>
          </w:tcPr>
          <w:p>
            <w:pPr>
              <w:ind w:left="5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28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282"/>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9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00" w:type="dxa"/>
            <w:vAlign w:val="bottom"/>
            <w:vMerge w:val="continue"/>
          </w:tcPr>
          <w:p>
            <w:pPr>
              <w:spacing w:after="0"/>
              <w:rPr>
                <w:sz w:val="11"/>
                <w:szCs w:val="11"/>
                <w:color w:val="auto"/>
              </w:rPr>
            </w:pPr>
          </w:p>
        </w:tc>
        <w:tc>
          <w:tcPr>
            <w:tcW w:w="980" w:type="dxa"/>
            <w:vAlign w:val="bottom"/>
            <w:tcBorders>
              <w:bottom w:val="single" w:sz="8" w:color="auto"/>
            </w:tcBorders>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vMerge w:val="continue"/>
          </w:tcPr>
          <w:p>
            <w:pPr>
              <w:spacing w:after="0"/>
              <w:rPr>
                <w:sz w:val="11"/>
                <w:szCs w:val="11"/>
                <w:color w:val="auto"/>
              </w:rPr>
            </w:pPr>
          </w:p>
        </w:tc>
        <w:tc>
          <w:tcPr>
            <w:tcW w:w="980" w:type="dxa"/>
            <w:vAlign w:val="bottom"/>
            <w:tcBorders>
              <w:bottom w:val="single" w:sz="8" w:color="auto"/>
            </w:tcBorders>
          </w:tcPr>
          <w:p>
            <w:pPr>
              <w:jc w:val="right"/>
              <w:ind w:right="26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980" w:type="dxa"/>
            <w:vAlign w:val="bottom"/>
            <w:tcBorders>
              <w:bottom w:val="single" w:sz="8" w:color="auto"/>
            </w:tcBorders>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bottom w:val="single" w:sz="8" w:color="auto"/>
            </w:tcBorders>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279"/>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4"/>
          </w:tcPr>
          <w:p>
            <w:pPr>
              <w:jc w:val="right"/>
              <w:ind w:right="641"/>
              <w:spacing w:after="0" w:line="116"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of Consolidated Cash Flow Data:</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 before movements in working capital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(14,466,984)</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(11,461,099)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(2,819,656)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13,085,438</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3,611,931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5,812,268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in)/provided by operating activities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(1,381,546)</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(7,849,168)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2,992,612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(10,885,375)</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(4,958,493)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(11,459,690)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(1,638,714)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27,662,881</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1,772,483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6,844,360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978,730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Effects of exchange rate changes on cash, cash equivalents and restricted cash</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70,254</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161,039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increase/(decrease) in cash, cash equivalents and restricted cash</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15,466,214</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(10,874,139)</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(1,638,974)</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year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23,155,293</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38,621,507</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27,747,368</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3,967,821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year</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38,621,507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27,747,368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26,108,394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3,733,450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179" w:lineRule="exact"/>
        <w:rPr>
          <w:sz w:val="20"/>
          <w:szCs w:val="20"/>
          <w:color w:val="auto"/>
        </w:rPr>
      </w:pPr>
    </w:p>
    <w:p>
      <w:pPr>
        <w:jc w:val="both"/>
        <w:ind w:right="40" w:firstLine="594"/>
        <w:spacing w:after="0" w:line="262" w:lineRule="auto"/>
        <w:rPr>
          <w:sz w:val="20"/>
          <w:szCs w:val="20"/>
          <w:color w:val="auto"/>
        </w:rPr>
      </w:pPr>
      <w:r>
        <w:rPr>
          <w:rFonts w:ascii="Times New Roman" w:cs="Times New Roman" w:eastAsia="Times New Roman" w:hAnsi="Times New Roman"/>
          <w:sz w:val="16"/>
          <w:szCs w:val="16"/>
          <w:color w:val="auto"/>
        </w:rPr>
        <w:t>Net cash provided by operating activities was RMB2,992.6 million (US$427.9 million) in 2025, as compared to net cash used in operating activities was RMB7,849.2 million in 2024, primarily due to a decrease in net loss excluding non-cash and non-operating items of RMB8,641.4 million and favorable changes in net operating assets and liabilities of RMB2,200.4 million. The decrease in net loss excluding non-cash and non-operating items was higher than the decrease in net loss, primarily due to changes in non-cash and non-operating items such as depreciation and amortization and amortization of right-of-use assets as a result of increased expenditure on long-lived assets. The favorable changes in net operating assets and liabilities was mainly due to the net positive effect on cash flow of RMB12,204.4 million from movements of trade and notes payable and inventories mainly attributable to the increased purchase and production due to business growth in the second half of 2025, partially offset by (i) the net negative effect on cash flow of RMB6,579.5 million from movements of trade and notes receivable, non-current portion of auto financing receivables and amounts due from related parties mainly attributable to one-time cash inflow from derecognition of transferred assets under asset-backed securitization arrangements in 2024, and increased sales volume, and (ii) the net negative effect on cash flow of RMB3,012.0 million from movements of contract liabilities and payables to BaaS users mainly attributable to the fulfillment of contractual obligations.</w:t>
      </w:r>
    </w:p>
    <w:p>
      <w:pPr>
        <w:spacing w:after="0" w:line="130" w:lineRule="exact"/>
        <w:rPr>
          <w:sz w:val="20"/>
          <w:szCs w:val="20"/>
          <w:color w:val="auto"/>
        </w:rPr>
      </w:pPr>
    </w:p>
    <w:p>
      <w:pPr>
        <w:jc w:val="both"/>
        <w:ind w:right="40" w:firstLine="594"/>
        <w:spacing w:after="0" w:line="266" w:lineRule="auto"/>
        <w:rPr>
          <w:sz w:val="20"/>
          <w:szCs w:val="20"/>
          <w:color w:val="auto"/>
        </w:rPr>
      </w:pPr>
      <w:r>
        <w:rPr>
          <w:rFonts w:ascii="Times New Roman" w:cs="Times New Roman" w:eastAsia="Times New Roman" w:hAnsi="Times New Roman"/>
          <w:sz w:val="16"/>
          <w:szCs w:val="16"/>
          <w:color w:val="auto"/>
        </w:rPr>
        <w:t>Net cash used in operating activities was RMB7,849.2 million in 2024, as compared to a net loss of RMB22,401.7 million. The difference was primarily attributable to (i) non-cash items of RMB10,940.6 million, which primarily consisted of depreciation and amortization of RMB5,875.5 million, share-based compensation expenses of RMB1,928.5 million, and amortization of right-of-use assets of RMB1,825.2 million, and (ii) a net increase in changes in operating assets and liabilities by RMB3,611.9 million, which was primarily attributable to an increase in trade and notes payable of RMB4,717.2 million, a decrease in trade and notes receivable of RMB2,985.8 million, and a decrease in other non-current assets of RMB1,385.1 million, partially offset by an increase in amounts due from related parties of RMB5,980.9 million.</w:t>
      </w:r>
    </w:p>
    <w:p>
      <w:pPr>
        <w:spacing w:after="0" w:line="138" w:lineRule="exact"/>
        <w:rPr>
          <w:sz w:val="20"/>
          <w:szCs w:val="20"/>
          <w:color w:val="auto"/>
        </w:rPr>
      </w:pPr>
    </w:p>
    <w:p>
      <w:pPr>
        <w:jc w:val="both"/>
        <w:ind w:right="40" w:firstLine="594"/>
        <w:spacing w:after="0" w:line="268" w:lineRule="auto"/>
        <w:rPr>
          <w:sz w:val="20"/>
          <w:szCs w:val="20"/>
          <w:color w:val="auto"/>
        </w:rPr>
      </w:pPr>
      <w:r>
        <w:rPr>
          <w:rFonts w:ascii="Times New Roman" w:cs="Times New Roman" w:eastAsia="Times New Roman" w:hAnsi="Times New Roman"/>
          <w:sz w:val="16"/>
          <w:szCs w:val="16"/>
          <w:color w:val="auto"/>
        </w:rPr>
        <w:t>Net cash used in operating activities was RMB1,381.5 million in 2023, as compared to a net loss of RMB20,719.8 million. The difference was primarily attributable to (i) non-cash items of RMB6,252.8 million, which primarily consisted of depreciation and amortization of RMB3,378.0 million, share-based compensation expenses of RMB2,369.0 million, amortization of right-of-use assets of RMB1,529.5 million, and (ii) a net increase in changes in operating assets and liabilities by RMB13,085.4 million, which was primarily attributable to an increase in trade and notes payable of RMB4,870.8 million, a decrease in inventory of RMB2,895.5 million, a decrease in other non-current assets of RMB2,600.0 million.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60"/>
          </w:cols>
          <w:pgMar w:left="980" w:top="482" w:right="9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17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Net cash used in investing activities increased by RMB6,501.2 million to RMB11,459.7 million (US$1,638.7 million) in 2025 from RMB4,958.5 million in 2024. The increase was mainly due to the increased net cash outflows of RMB10,244.5 million from purchases and sale of short-term investments as a result of our cash and investment management, partially offset by decreased cash investment in capital expenditure of RMB2,922.5 million which was attributable to timing effect according to payment schedule.</w:t>
      </w:r>
    </w:p>
    <w:p>
      <w:pPr>
        <w:spacing w:after="0" w:line="12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Net cash used in investing activities was RMB4,958.5 million in 2024, primarily attributable to (i) purchase of short-term investments of RMB45,957.6 million, and (ii) purchase of property, plant and equipment and intangible assets of RMB9,142.3 million, partially offset by proceeds from maturities of short-term investments of RMB50,413.9 million.</w:t>
      </w:r>
    </w:p>
    <w:p>
      <w:pPr>
        <w:spacing w:after="0" w:line="128"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Net cash used in investing activities was RMB10,885.4 million in 2023, primarily attributable to (i) purchase of short-term investments of RMB43,899.1 million, and (ii) purchase of property, plant and equipment and intangible assets of RMB14,340.8 million, inclusive of VAT input, partially offset by proceeds from maturities of short-term investments of RMB47,753.6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17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Net cash provided by financing activities increased by RMB5,071.9 million to RMB6,844.4 million (US$978.7 million) in 2025 from RMB1,772.5 million in 2024. The increase was mainly due to the cash inflows of RMB11,854.7 million from the issuance of ordinary shares, partially offset by (i) the decreased cash inflows of RMB6,473.8 million from proceeds from borrowings and capital injection from redeemable non-controlling interests, and (ii) increased cash outflows of RMB776.4 million from repayments of borrowings. These changes were attributable to our cash management in financing activities based on cash needs.</w:t>
      </w:r>
    </w:p>
    <w:p>
      <w:pPr>
        <w:spacing w:after="0" w:line="13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Net cash provided by financing activities was RMB1,772.5 million in 2024, primarily attributable to proceeds from borrowings from third parties of RMB9,218.9 million and capital injection from redeemable non-controlling interests of RMB3,295.5 million, partially offset by repayments of borrowings from third parties of RMB7,512.8 million and repurchase of convertible senior notes of RMB3,302.2 million.</w:t>
      </w:r>
    </w:p>
    <w:p>
      <w:pPr>
        <w:spacing w:after="0" w:line="1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Net cash provided by financing activities was RMB27,662.9 million in 2023, primarily attributable to (i) proceeds from issuance of ordinary shares to CYVN Investments, net of RMB20,962.3 million, (ii) proceeds from issuance of convertible senior notes of RMB8,120.8 million, and (iii) proceeds from borrowings from third parties of RMB8,014.4 million, partially offset by repayments of borrowings from third parties of RMB6,096.0 million and repurchase of convertible senior notes of RMB3,387.6 million.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79" w:lineRule="exact"/>
        <w:rPr>
          <w:sz w:val="20"/>
          <w:szCs w:val="20"/>
          <w:color w:val="auto"/>
        </w:rPr>
      </w:pPr>
    </w:p>
    <w:p>
      <w:pPr>
        <w:jc w:val="both"/>
        <w:ind w:right="20" w:firstLine="594"/>
        <w:spacing w:after="0" w:line="298" w:lineRule="auto"/>
        <w:rPr>
          <w:sz w:val="20"/>
          <w:szCs w:val="20"/>
          <w:color w:val="auto"/>
        </w:rPr>
      </w:pPr>
      <w:r>
        <w:rPr>
          <w:rFonts w:ascii="Times New Roman" w:cs="Times New Roman" w:eastAsia="Times New Roman" w:hAnsi="Times New Roman"/>
          <w:sz w:val="16"/>
          <w:szCs w:val="16"/>
          <w:color w:val="auto"/>
        </w:rPr>
        <w:t>Our material cash requirements as of December 31, 2025 primarily include our capital commitments, operating and financing lease obligations, short-term and long-term borrowings, and convertible notes, as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0" w:type="dxa"/>
            <w:vAlign w:val="bottom"/>
            <w:vMerge w:val="restart"/>
          </w:tcPr>
          <w:p>
            <w:pPr>
              <w:ind w:left="40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Payment due by period</w:t>
            </w: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200" w:type="dxa"/>
            <w:vAlign w:val="bottom"/>
            <w:vMerge w:val="continue"/>
          </w:tcPr>
          <w:p>
            <w:pPr>
              <w:spacing w:after="0"/>
              <w:rPr>
                <w:sz w:val="11"/>
                <w:szCs w:val="11"/>
                <w:color w:val="auto"/>
              </w:rPr>
            </w:pPr>
          </w:p>
        </w:tc>
        <w:tc>
          <w:tcPr>
            <w:tcW w:w="900" w:type="dxa"/>
            <w:vAlign w:val="bottom"/>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Less than 1 year</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40" w:type="dxa"/>
            <w:vAlign w:val="bottom"/>
          </w:tcPr>
          <w:p>
            <w:pPr>
              <w:jc w:val="right"/>
              <w:ind w:right="209"/>
              <w:spacing w:after="0" w:line="129" w:lineRule="exact"/>
              <w:rPr>
                <w:sz w:val="20"/>
                <w:szCs w:val="20"/>
                <w:color w:val="auto"/>
              </w:rPr>
            </w:pPr>
            <w:r>
              <w:rPr>
                <w:rFonts w:ascii="Times New Roman" w:cs="Times New Roman" w:eastAsia="Times New Roman" w:hAnsi="Times New Roman"/>
                <w:sz w:val="13"/>
                <w:szCs w:val="13"/>
                <w:b w:val="1"/>
                <w:bCs w:val="1"/>
                <w:color w:val="auto"/>
              </w:rPr>
              <w:t>1-3 years</w:t>
            </w:r>
          </w:p>
        </w:tc>
        <w:tc>
          <w:tcPr>
            <w:tcW w:w="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3-5 years</w:t>
            </w:r>
          </w:p>
        </w:tc>
        <w:tc>
          <w:tcPr>
            <w:tcW w:w="13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More than 5 years</w:t>
            </w:r>
          </w:p>
        </w:tc>
        <w:tc>
          <w:tcPr>
            <w:tcW w:w="0" w:type="dxa"/>
            <w:vAlign w:val="bottom"/>
          </w:tcPr>
          <w:p>
            <w:pPr>
              <w:spacing w:after="0"/>
              <w:rPr>
                <w:sz w:val="1"/>
                <w:szCs w:val="1"/>
                <w:color w:val="auto"/>
              </w:rPr>
            </w:pPr>
          </w:p>
        </w:tc>
      </w:tr>
      <w:tr>
        <w:trPr>
          <w:trHeight w:val="116"/>
        </w:trPr>
        <w:tc>
          <w:tcPr>
            <w:tcW w:w="42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0"/>
              </w:rPr>
              <w:t>(in RMB thousands)</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commitments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4,189,169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4,150,450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16,363,541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2,420,506</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3,804,226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2,658,616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7,480,193</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obligations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7,203,140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409,668</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754,166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5,249,953</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Short-term and long-term borrowings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6,564,512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5,564,453</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745,504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88,753</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8,919,446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348,180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8,571,266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43,239,808</w:t>
            </w:r>
          </w:p>
        </w:tc>
        <w:tc>
          <w:tcPr>
            <w:tcW w:w="18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12,893,257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13,949,068</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3,578,584</w:t>
            </w:r>
          </w:p>
        </w:tc>
        <w:tc>
          <w:tcPr>
            <w:tcW w:w="18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12,818,899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capital commitments are commitments in relation to the purchase of property and equipment including leasehold improvements.</w:t>
      </w:r>
    </w:p>
    <w:p>
      <w:pPr>
        <w:spacing w:after="0" w:line="187" w:lineRule="exact"/>
        <w:rPr>
          <w:sz w:val="20"/>
          <w:szCs w:val="20"/>
          <w:color w:val="auto"/>
        </w:rPr>
      </w:pPr>
    </w:p>
    <w:p>
      <w:pPr>
        <w:jc w:val="both"/>
        <w:ind w:right="20" w:firstLine="594"/>
        <w:spacing w:after="0" w:line="298" w:lineRule="auto"/>
        <w:rPr>
          <w:sz w:val="20"/>
          <w:szCs w:val="20"/>
          <w:color w:val="auto"/>
        </w:rPr>
      </w:pPr>
      <w:r>
        <w:rPr>
          <w:rFonts w:ascii="Times New Roman" w:cs="Times New Roman" w:eastAsia="Times New Roman" w:hAnsi="Times New Roman"/>
          <w:sz w:val="16"/>
          <w:szCs w:val="16"/>
          <w:color w:val="auto"/>
        </w:rPr>
        <w:t>Our operating and finance lease obligations consist of leases in relation to certain manufacturing plant, offices and buildings and other properties for our sales and service network.</w:t>
      </w:r>
    </w:p>
    <w:p>
      <w:pPr>
        <w:spacing w:after="0" w:line="1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short-term and long-term borrowings represent borrowings with maturity from one to seven years.</w:t>
      </w:r>
    </w:p>
    <w:p>
      <w:pPr>
        <w:spacing w:after="0" w:line="175" w:lineRule="exact"/>
        <w:rPr>
          <w:sz w:val="20"/>
          <w:szCs w:val="20"/>
          <w:color w:val="auto"/>
        </w:rPr>
      </w:pPr>
    </w:p>
    <w:p>
      <w:pPr>
        <w:jc w:val="both"/>
        <w:ind w:right="20" w:firstLine="594"/>
        <w:spacing w:after="0" w:line="268" w:lineRule="auto"/>
        <w:rPr>
          <w:sz w:val="20"/>
          <w:szCs w:val="20"/>
          <w:color w:val="auto"/>
        </w:rPr>
      </w:pPr>
      <w:r>
        <w:rPr>
          <w:rFonts w:ascii="Times New Roman" w:cs="Times New Roman" w:eastAsia="Times New Roman" w:hAnsi="Times New Roman"/>
          <w:sz w:val="16"/>
          <w:szCs w:val="16"/>
          <w:color w:val="auto"/>
        </w:rPr>
        <w:t>Our convertible notes that remained outstanding as of December 31, 2025 represented (i) the 2026 Notes with outstanding principal amount of US$912,000 as of December 31, 2025, which have matured in February 2026, (ii) the 2027 Notes with outstanding principal amount of US$213,000 as of December 31, 2025, which will mature in February 2027, (iii) the 2029 Notes with outstanding principal amount of US$575.0 million as of December 31, 2025, which will mature in October 2029 and (iv) the 2030 Notes with outstanding principal amount of US$575.0 million as of December 31, 2025, which will mature in October 2030.</w:t>
      </w:r>
    </w:p>
    <w:p>
      <w:pPr>
        <w:spacing w:after="0" w:line="136" w:lineRule="exact"/>
        <w:rPr>
          <w:sz w:val="20"/>
          <w:szCs w:val="20"/>
          <w:color w:val="auto"/>
        </w:rPr>
      </w:pPr>
    </w:p>
    <w:p>
      <w:pPr>
        <w:jc w:val="both"/>
        <w:ind w:right="20" w:firstLine="594"/>
        <w:spacing w:after="0" w:line="298" w:lineRule="auto"/>
        <w:rPr>
          <w:sz w:val="20"/>
          <w:szCs w:val="20"/>
          <w:color w:val="auto"/>
        </w:rPr>
      </w:pPr>
      <w:r>
        <w:rPr>
          <w:rFonts w:ascii="Times New Roman" w:cs="Times New Roman" w:eastAsia="Times New Roman" w:hAnsi="Times New Roman"/>
          <w:sz w:val="16"/>
          <w:szCs w:val="16"/>
          <w:color w:val="auto"/>
        </w:rPr>
        <w:t>We intend to fund our existing and future material cash requirements with our existing cash balance. We will continue to make cash commitments, including capital expenditures, to support the growth of our business.</w:t>
      </w:r>
    </w:p>
    <w:p>
      <w:pPr>
        <w:spacing w:after="0" w:line="100" w:lineRule="exact"/>
        <w:rPr>
          <w:sz w:val="20"/>
          <w:szCs w:val="20"/>
          <w:color w:val="auto"/>
        </w:rPr>
      </w:pPr>
    </w:p>
    <w:p>
      <w:pPr>
        <w:jc w:val="both"/>
        <w:ind w:right="20" w:firstLine="594"/>
        <w:spacing w:after="0" w:line="268" w:lineRule="auto"/>
        <w:rPr>
          <w:sz w:val="20"/>
          <w:szCs w:val="20"/>
          <w:color w:val="auto"/>
        </w:rPr>
      </w:pPr>
      <w:r>
        <w:rPr>
          <w:rFonts w:ascii="Times New Roman" w:cs="Times New Roman" w:eastAsia="Times New Roman" w:hAnsi="Times New Roman"/>
          <w:sz w:val="16"/>
          <w:szCs w:val="16"/>
          <w:color w:val="auto"/>
        </w:rPr>
        <w:t>Other than those shown above, we did not have any significant capital and other commitments, long-term obligations, mortgages and charges or guarantees as of December 31, 2025. As of December 31, 2025, save as disclosed in our consolidated financial statements included elsewhere in this annual report, we did not have significant contingent liabilities. As of December 31, 2025, save as disclosed in this section, we did not have any significant bank overdrafts, loans and other similar indebtedness, liabilities under acceptances or acceptance credits, debentures, mortgages, charges hire purchase commitments or other outstanding material contingent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191" w:lineRule="exact"/>
        <w:rPr>
          <w:sz w:val="20"/>
          <w:szCs w:val="20"/>
          <w:color w:val="auto"/>
        </w:rPr>
      </w:pPr>
    </w:p>
    <w:p>
      <w:pPr>
        <w:jc w:val="both"/>
        <w:ind w:right="20" w:firstLine="594"/>
        <w:spacing w:after="0" w:line="262" w:lineRule="auto"/>
        <w:rPr>
          <w:sz w:val="20"/>
          <w:szCs w:val="20"/>
          <w:color w:val="auto"/>
        </w:rPr>
      </w:pPr>
      <w:r>
        <w:rPr>
          <w:rFonts w:ascii="Times New Roman" w:cs="Times New Roman" w:eastAsia="Times New Roman" w:hAnsi="Times New Roman"/>
          <w:sz w:val="16"/>
          <w:szCs w:val="16"/>
          <w:color w:val="auto"/>
        </w:rPr>
        <w:t>In 2023, 2024 and 2025, our capital expenditures were mainly used for the acquisition of property, plant and equipment which consisted primarily of charging and battery swap equipment, mold and tooling, production facilities, IT equipment, research and development equipment, leasehold improvements mainly for NIO Houses and NIO Spaces, delivery and servicing centers, Power Swap Stations and laboratories as well as equity investments. We made capital expenditures of RMB14,762.5 million, RMB9,534.7 million and RMB6,630.7 million (US$948.2 million) in 2023, 2024 and 2025, respectively.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To the extent the proceeds of securities we have issued and cash flows from our business activities are insufficient to fund future capital requirements, we may need to seek equity or debt financing. We will continue to make capital expenditures to support the expected growth of our business.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Holding Company Structure</w:t>
      </w:r>
    </w:p>
    <w:p>
      <w:pPr>
        <w:spacing w:after="0" w:line="179"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NIO Inc. is a holding company with no material operations of its own. We conduct our operations in China primarily through our PRC subsidiaries, and, to a much lesser extent, the VIEs, and NIO Insurance Broker Co., Ltd., the subsidiary of Anhui NIO DT. As a result, our ability to pay dividends depends significantly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the VIEs and their subsidiaries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staff bonuses and welfare funds at its discretion, and the VIEs may allocate a portion of their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the SAFE. Our PRC subsidiaries have not paid dividends and will not be able to pay dividends until they generate accumulated profits and meet the requirements for statutory reserve funds. The VIEs did not have any material assets or liabilities as of December 31, 2025. In the future, we expect (i) Beijing NIO to focus on value-added telecommunications services, including, without limitation, performing internet services as well as holding certain related licenses; (ii) Anhui NIO AT to focus on assisted and intelligent driving services, including, without limitation, performing certain services as well as holding certain related licenses; and (iii) Anhui NIO DT to focus on insurance brokerage services, including, without limitation, performing insurance brokerage services as well as holding certain related licenses through its subsidiary.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91"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Other than the guarantees provided to Battery Asset Company in relation to the BaaS model as described in Note 2(r) to our consolidated financial statements included elsewhere in this annual report, 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21" w:lineRule="exact"/>
        <w:rPr>
          <w:sz w:val="20"/>
          <w:szCs w:val="20"/>
          <w:color w:val="auto"/>
        </w:rPr>
      </w:pPr>
    </w:p>
    <w:p>
      <w:pPr>
        <w:ind w:left="600" w:hanging="600"/>
        <w:spacing w:after="0"/>
        <w:tabs>
          <w:tab w:leader="none" w:pos="60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 Patents and Licenses, etc.</w:t>
      </w:r>
    </w:p>
    <w:p>
      <w:pPr>
        <w:spacing w:after="0" w:line="178"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“Item 4. Information on the Company—B. Business Overview—Intellectual Property.”</w:t>
      </w:r>
    </w:p>
    <w:p>
      <w:pPr>
        <w:spacing w:after="0" w:line="183" w:lineRule="exact"/>
        <w:rPr>
          <w:rFonts w:ascii="Times New Roman" w:cs="Times New Roman" w:eastAsia="Times New Roman" w:hAnsi="Times New Roman"/>
          <w:sz w:val="16"/>
          <w:szCs w:val="16"/>
          <w:b w:val="1"/>
          <w:bCs w:val="1"/>
          <w:color w:val="auto"/>
        </w:rPr>
      </w:pPr>
    </w:p>
    <w:p>
      <w:pPr>
        <w:ind w:left="600" w:hanging="600"/>
        <w:spacing w:after="0"/>
        <w:tabs>
          <w:tab w:leader="none" w:pos="60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Trend Information</w:t>
      </w:r>
    </w:p>
    <w:p>
      <w:pPr>
        <w:spacing w:after="0" w:line="17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Other than as disclosed elsewhere in this annual report, we are not aware of any trends, uncertainties, demands, commitments or events for the current fiscal year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spacing w:after="0" w:line="112" w:lineRule="exact"/>
        <w:rPr>
          <w:sz w:val="20"/>
          <w:szCs w:val="20"/>
          <w:color w:val="auto"/>
        </w:rPr>
      </w:pPr>
    </w:p>
    <w:p>
      <w:pPr>
        <w:ind w:left="600" w:hanging="600"/>
        <w:spacing w:after="0"/>
        <w:tabs>
          <w:tab w:leader="none" w:pos="60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Critical Accounting Estimates</w:t>
      </w:r>
    </w:p>
    <w:p>
      <w:pPr>
        <w:spacing w:after="0" w:line="191"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right="20" w:firstLine="594"/>
        <w:spacing w:after="0" w:line="266" w:lineRule="auto"/>
        <w:rPr>
          <w:sz w:val="20"/>
          <w:szCs w:val="20"/>
          <w:color w:val="auto"/>
        </w:rPr>
      </w:pPr>
      <w:r>
        <w:rPr>
          <w:rFonts w:ascii="Times New Roman" w:cs="Times New Roman" w:eastAsia="Times New Roman" w:hAnsi="Times New Roman"/>
          <w:sz w:val="16"/>
          <w:szCs w:val="16"/>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to our consolidated financial statements included elsewhere in this annual report.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Warranty liabilities</w:t>
      </w:r>
    </w:p>
    <w:p>
      <w:pPr>
        <w:spacing w:after="0" w:line="179" w:lineRule="exact"/>
        <w:rPr>
          <w:sz w:val="20"/>
          <w:szCs w:val="20"/>
          <w:color w:val="auto"/>
        </w:rPr>
      </w:pPr>
    </w:p>
    <w:p>
      <w:pPr>
        <w:jc w:val="both"/>
        <w:ind w:right="20" w:firstLine="594"/>
        <w:spacing w:after="0" w:line="271" w:lineRule="auto"/>
        <w:rPr>
          <w:sz w:val="20"/>
          <w:szCs w:val="20"/>
          <w:color w:val="auto"/>
        </w:rPr>
      </w:pPr>
      <w:r>
        <w:rPr>
          <w:rFonts w:ascii="Times New Roman" w:cs="Times New Roman" w:eastAsia="Times New Roman" w:hAnsi="Times New Roman"/>
          <w:sz w:val="16"/>
          <w:szCs w:val="16"/>
          <w:color w:val="auto"/>
        </w:rPr>
        <w:t>We accrue a warranty reserve for all new vehicles that we sell, which includes our best estimate of the projected costs to repair or replace items under warranties. These estimates are based on actual claims incurred to date and an estimate of the nature, frequency and costs of future claims. These estimates are inherently uncertain given our relatively short history of sales, and changes to the historical or projected warranty experience may cause material changes to the warranty reserve when we accumulate more actual data and experience in the future.</w:t>
      </w:r>
    </w:p>
    <w:p>
      <w:pPr>
        <w:spacing w:after="0" w:line="134" w:lineRule="exact"/>
        <w:rPr>
          <w:sz w:val="20"/>
          <w:szCs w:val="20"/>
          <w:color w:val="auto"/>
        </w:rPr>
      </w:pPr>
    </w:p>
    <w:p>
      <w:pPr>
        <w:jc w:val="both"/>
        <w:ind w:right="20" w:firstLine="594"/>
        <w:spacing w:after="0" w:line="278" w:lineRule="auto"/>
        <w:rPr>
          <w:sz w:val="20"/>
          <w:szCs w:val="20"/>
          <w:color w:val="auto"/>
        </w:rPr>
      </w:pPr>
      <w:r>
        <w:rPr>
          <w:rFonts w:ascii="Times New Roman" w:cs="Times New Roman" w:eastAsia="Times New Roman" w:hAnsi="Times New Roman"/>
          <w:sz w:val="16"/>
          <w:szCs w:val="16"/>
          <w:color w:val="auto"/>
        </w:rPr>
        <w:t>The portion of the warranty reserve expected to be incurred within the next 12 months is included within accruals and other liabilities, while the remaining balance is included within other non-current liabilities on the consolidated balance sheets. Warranty expense is recorded as a component of cost of revenues in the consolidated statements of comprehensive loss.</w:t>
      </w:r>
    </w:p>
    <w:p>
      <w:pPr>
        <w:spacing w:after="0" w:line="116" w:lineRule="exact"/>
        <w:rPr>
          <w:sz w:val="20"/>
          <w:szCs w:val="20"/>
          <w:color w:val="auto"/>
        </w:rPr>
      </w:pPr>
    </w:p>
    <w:p>
      <w:pPr>
        <w:jc w:val="both"/>
        <w:ind w:right="20" w:firstLine="594"/>
        <w:spacing w:after="0" w:line="278" w:lineRule="auto"/>
        <w:rPr>
          <w:sz w:val="20"/>
          <w:szCs w:val="20"/>
          <w:color w:val="auto"/>
        </w:rPr>
      </w:pPr>
      <w:r>
        <w:rPr>
          <w:rFonts w:ascii="Times New Roman" w:cs="Times New Roman" w:eastAsia="Times New Roman" w:hAnsi="Times New Roman"/>
          <w:sz w:val="16"/>
          <w:szCs w:val="16"/>
          <w:color w:val="auto"/>
        </w:rPr>
        <w:t>We do not consider standard warranty as being a separate performance obligation as it is intended to provide assurance that a product complies with agreed-upon specifications and is not viewed as a distinct obligation. Accordingly, standard warranty is accounted for in accordance with ASC 460, Guarantees.</w:t>
      </w:r>
    </w:p>
    <w:p>
      <w:pPr>
        <w:spacing w:after="0" w:line="14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DIRECTORS, SENIOR MANAGEMENT AND EMPLOYEES</w:t>
      </w:r>
    </w:p>
    <w:p>
      <w:pPr>
        <w:spacing w:after="0" w:line="212" w:lineRule="exact"/>
        <w:rPr>
          <w:sz w:val="20"/>
          <w:szCs w:val="20"/>
          <w:color w:val="auto"/>
        </w:rPr>
      </w:pPr>
    </w:p>
    <w:p>
      <w:pPr>
        <w:ind w:left="620" w:hanging="620"/>
        <w:spacing w:after="0"/>
        <w:tabs>
          <w:tab w:leader="none" w:pos="62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Directors and Executive Officers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executive officers and directors as of the date of this annual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Age</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04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19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Bin Li</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ind w:right="98"/>
              <w:spacing w:after="0"/>
              <w:rPr>
                <w:sz w:val="20"/>
                <w:szCs w:val="20"/>
                <w:color w:val="auto"/>
              </w:rPr>
            </w:pPr>
            <w:r>
              <w:rPr>
                <w:rFonts w:ascii="Times New Roman" w:cs="Times New Roman" w:eastAsia="Times New Roman" w:hAnsi="Times New Roman"/>
                <w:sz w:val="16"/>
                <w:szCs w:val="16"/>
                <w:color w:val="auto"/>
                <w:w w:val="99"/>
              </w:rPr>
              <w:t>51</w:t>
            </w:r>
          </w:p>
        </w:tc>
        <w:tc>
          <w:tcPr>
            <w:tcW w:w="200" w:type="dxa"/>
            <w:vAlign w:val="bottom"/>
            <w:tcBorders>
              <w:top w:val="single" w:sz="8" w:color="CCEEFF"/>
            </w:tcBorders>
            <w:shd w:val="clear" w:color="auto" w:fill="CCEEFF"/>
          </w:tcPr>
          <w:p>
            <w:pPr>
              <w:spacing w:after="0"/>
              <w:rPr>
                <w:sz w:val="16"/>
                <w:szCs w:val="16"/>
                <w:color w:val="auto"/>
              </w:rPr>
            </w:pPr>
          </w:p>
        </w:tc>
        <w:tc>
          <w:tcPr>
            <w:tcW w:w="3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Lihong Qin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98"/>
              <w:spacing w:after="0"/>
              <w:rPr>
                <w:sz w:val="20"/>
                <w:szCs w:val="20"/>
                <w:color w:val="auto"/>
              </w:rPr>
            </w:pPr>
            <w:r>
              <w:rPr>
                <w:rFonts w:ascii="Times New Roman" w:cs="Times New Roman" w:eastAsia="Times New Roman" w:hAnsi="Times New Roman"/>
                <w:sz w:val="16"/>
                <w:szCs w:val="16"/>
                <w:color w:val="auto"/>
                <w:w w:val="99"/>
              </w:rPr>
              <w:t>52</w:t>
            </w:r>
          </w:p>
        </w:tc>
        <w:tc>
          <w:tcPr>
            <w:tcW w:w="3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Director and President</w:t>
            </w:r>
          </w:p>
        </w:tc>
      </w:tr>
      <w:tr>
        <w:trPr>
          <w:trHeight w:val="19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Feng Shen</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6"/>
                <w:szCs w:val="16"/>
                <w:color w:val="auto"/>
                <w:w w:val="99"/>
              </w:rPr>
              <w:t>62</w:t>
            </w:r>
          </w:p>
        </w:tc>
        <w:tc>
          <w:tcPr>
            <w:tcW w:w="3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Executive Vice President</w:t>
            </w: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Xin Zhou</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98"/>
              <w:spacing w:after="0"/>
              <w:rPr>
                <w:sz w:val="20"/>
                <w:szCs w:val="20"/>
                <w:color w:val="auto"/>
              </w:rPr>
            </w:pPr>
            <w:r>
              <w:rPr>
                <w:rFonts w:ascii="Times New Roman" w:cs="Times New Roman" w:eastAsia="Times New Roman" w:hAnsi="Times New Roman"/>
                <w:sz w:val="16"/>
                <w:szCs w:val="16"/>
                <w:color w:val="auto"/>
                <w:w w:val="99"/>
              </w:rPr>
              <w:t>55</w:t>
            </w:r>
          </w:p>
        </w:tc>
        <w:tc>
          <w:tcPr>
            <w:tcW w:w="3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Executive Vice President</w:t>
            </w:r>
          </w:p>
        </w:tc>
      </w:tr>
      <w:tr>
        <w:trPr>
          <w:trHeight w:val="19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Yu Qu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6"/>
                <w:szCs w:val="16"/>
                <w:color w:val="auto"/>
                <w:w w:val="99"/>
              </w:rPr>
              <w:t>47</w:t>
            </w:r>
          </w:p>
        </w:tc>
        <w:tc>
          <w:tcPr>
            <w:tcW w:w="3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Ganesh V. Iyer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98"/>
              <w:spacing w:after="0"/>
              <w:rPr>
                <w:sz w:val="20"/>
                <w:szCs w:val="20"/>
                <w:color w:val="auto"/>
              </w:rPr>
            </w:pPr>
            <w:r>
              <w:rPr>
                <w:rFonts w:ascii="Times New Roman" w:cs="Times New Roman" w:eastAsia="Times New Roman" w:hAnsi="Times New Roman"/>
                <w:sz w:val="16"/>
                <w:szCs w:val="16"/>
                <w:color w:val="auto"/>
                <w:w w:val="99"/>
              </w:rPr>
              <w:t>58</w:t>
            </w:r>
          </w:p>
        </w:tc>
        <w:tc>
          <w:tcPr>
            <w:tcW w:w="3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Chief Executive Officer of NIO U.S.</w:t>
            </w:r>
          </w:p>
        </w:tc>
      </w:tr>
      <w:tr>
        <w:trPr>
          <w:trHeight w:val="19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Hai Wu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6"/>
                <w:szCs w:val="16"/>
                <w:color w:val="auto"/>
                <w:w w:val="99"/>
              </w:rPr>
              <w:t>57</w:t>
            </w:r>
          </w:p>
        </w:tc>
        <w:tc>
          <w:tcPr>
            <w:tcW w:w="3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Denny Ting Bun Lee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98"/>
              <w:spacing w:after="0"/>
              <w:rPr>
                <w:sz w:val="20"/>
                <w:szCs w:val="20"/>
                <w:color w:val="auto"/>
              </w:rPr>
            </w:pPr>
            <w:r>
              <w:rPr>
                <w:rFonts w:ascii="Times New Roman" w:cs="Times New Roman" w:eastAsia="Times New Roman" w:hAnsi="Times New Roman"/>
                <w:sz w:val="16"/>
                <w:szCs w:val="16"/>
                <w:color w:val="auto"/>
                <w:w w:val="99"/>
              </w:rPr>
              <w:t>58</w:t>
            </w:r>
          </w:p>
        </w:tc>
        <w:tc>
          <w:tcPr>
            <w:tcW w:w="3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Yu Long</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6"/>
                <w:szCs w:val="16"/>
                <w:color w:val="auto"/>
                <w:w w:val="99"/>
              </w:rPr>
              <w:t>53</w:t>
            </w:r>
          </w:p>
        </w:tc>
        <w:tc>
          <w:tcPr>
            <w:tcW w:w="3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Yonggang Wen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98"/>
              <w:spacing w:after="0"/>
              <w:rPr>
                <w:sz w:val="20"/>
                <w:szCs w:val="20"/>
                <w:color w:val="auto"/>
              </w:rPr>
            </w:pPr>
            <w:r>
              <w:rPr>
                <w:rFonts w:ascii="Times New Roman" w:cs="Times New Roman" w:eastAsia="Times New Roman" w:hAnsi="Times New Roman"/>
                <w:sz w:val="16"/>
                <w:szCs w:val="16"/>
                <w:color w:val="auto"/>
                <w:w w:val="99"/>
              </w:rPr>
              <w:t>48</w:t>
            </w:r>
          </w:p>
        </w:tc>
        <w:tc>
          <w:tcPr>
            <w:tcW w:w="3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Eddy Georges Skaf</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6"/>
                <w:szCs w:val="16"/>
                <w:color w:val="auto"/>
                <w:w w:val="99"/>
              </w:rPr>
              <w:t>52</w:t>
            </w:r>
          </w:p>
        </w:tc>
        <w:tc>
          <w:tcPr>
            <w:tcW w:w="3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15"/>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Nicholas Paul Collins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right="98"/>
              <w:spacing w:after="0"/>
              <w:rPr>
                <w:sz w:val="20"/>
                <w:szCs w:val="20"/>
                <w:color w:val="auto"/>
              </w:rPr>
            </w:pPr>
            <w:r>
              <w:rPr>
                <w:rFonts w:ascii="Times New Roman" w:cs="Times New Roman" w:eastAsia="Times New Roman" w:hAnsi="Times New Roman"/>
                <w:sz w:val="16"/>
                <w:szCs w:val="16"/>
                <w:color w:val="auto"/>
                <w:w w:val="99"/>
              </w:rPr>
              <w:t>51</w:t>
            </w:r>
          </w:p>
        </w:tc>
        <w:tc>
          <w:tcPr>
            <w:tcW w:w="3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Non-Executive Director</w:t>
            </w:r>
          </w:p>
        </w:tc>
      </w:tr>
    </w:tbl>
    <w:p>
      <w:pPr>
        <w:spacing w:after="0" w:line="163" w:lineRule="exact"/>
        <w:rPr>
          <w:sz w:val="20"/>
          <w:szCs w:val="20"/>
          <w:color w:val="auto"/>
        </w:rPr>
      </w:pPr>
    </w:p>
    <w:p>
      <w:pPr>
        <w:jc w:val="both"/>
        <w:ind w:right="20" w:firstLine="594"/>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Mr. Bin Li </w:t>
      </w:r>
      <w:r>
        <w:rPr>
          <w:rFonts w:ascii="Times New Roman" w:cs="Times New Roman" w:eastAsia="Times New Roman" w:hAnsi="Times New Roman"/>
          <w:sz w:val="16"/>
          <w:szCs w:val="16"/>
          <w:color w:val="auto"/>
        </w:rPr>
        <w:t>is our founder and has served as chairman of the board since our inception and our chief executive officer since March 2018.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July 2021, Mr. Li has served as a director of Uxin Limited (Nasdaq: UXIN), a leading e-commerce platform for buying and selling used cars in China. From 2015 to 2025, Mr. Li served as a director of Dida Inc. (HKEX: 2559), an online shared mobility company. In 2000, Mr. Li co-founded Beijing Bitauto E-Commerce Co., Ltd. and served as its director and president until 2006. From 2010 to 2020, Mr. Li served as chairman of the board of directors at Bitauto Holdings Limited (previously listed on NYSE with stock code BITA), a former NYSE-listed automobile service company and a leading automobile service provider in China. In 2002, Mr. Li co-founded Beijing Creative &amp; Interactive Digital Technology Co., Ltd. as the chairman of the board of directors and had served as its president and director. Mr. Li received his bachelor’s degree in sociology from Peking University.</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Mr. Lihong Qin </w:t>
      </w:r>
      <w:r>
        <w:rPr>
          <w:rFonts w:ascii="Times New Roman" w:cs="Times New Roman" w:eastAsia="Times New Roman" w:hAnsi="Times New Roman"/>
          <w:sz w:val="16"/>
          <w:szCs w:val="16"/>
          <w:color w:val="auto"/>
        </w:rPr>
        <w:t>is our co-founder and has served as our director and our president since our inception. Prior to joining us, Mr. Qin served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chief marketing officer and executive director at Longfor Properties Co., Ltd. (HKEX: 960), a leading company involved in property development and investment in China, from 2008 to 2014. He also served as deputy general manager at Anhui Chery Automobile Sales and Service Company from 2005 to 2008, as senior consultant and project manager at Roland Berger Strategy Consultants from 2003 to 2005. Mr. Qin received his bachelor’s degree and a master’s degree in law from Peking University in 1996 and 1999, respectively, and a master’s degree in public policy from Harvard University in 2001.</w:t>
      </w:r>
    </w:p>
    <w:p>
      <w:pPr>
        <w:spacing w:after="0" w:line="359"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Mr. Feng Shen </w:t>
      </w:r>
      <w:r>
        <w:rPr>
          <w:rFonts w:ascii="Times New Roman" w:cs="Times New Roman" w:eastAsia="Times New Roman" w:hAnsi="Times New Roman"/>
          <w:sz w:val="16"/>
          <w:szCs w:val="16"/>
          <w:color w:val="auto"/>
        </w:rPr>
        <w:t>joined our company in December 2017, and currently serves as our executive vice president and chairman of quality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management committee. Mr. Shen worked in several senior executive management roles, such as president of Polestar China and global chief technology officer at Polestar, president at Volvo Cars China R&amp;D Company, vice president of Volvo Cars Asia-Pacific Operation, and chairman at China-Sweden Traffic Safety Research Center from 2010 to 2017. Prior to that, Mr. Shen served in various roles, including powertrain manager and six-sigma quality management master, at Ford Motor Company (NYSE: F) from 1999 to 2010 in the United States and China. Mr. Shen received a bachelor’s degree in mathematics and mechanics and a master’s degree in applied mechanics from Fudan University in 1984 and 1987, respectively. He also received a doctoral degree in mechanical engineering from Auburn University in 1996.</w:t>
      </w:r>
    </w:p>
    <w:p>
      <w:pPr>
        <w:spacing w:after="0" w:line="162"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Mr. Xin Zhou </w:t>
      </w:r>
      <w:r>
        <w:rPr>
          <w:rFonts w:ascii="Times New Roman" w:cs="Times New Roman" w:eastAsia="Times New Roman" w:hAnsi="Times New Roman"/>
          <w:sz w:val="16"/>
          <w:szCs w:val="16"/>
          <w:color w:val="auto"/>
        </w:rPr>
        <w:t>joined our company in April 2015. He has served as the chairman of product committee since 2017, and currently serves as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vice president. Prior to joining our company, Mr. Zhou served as executive director at Qoros Automotive Co., Ltd. from September 2009 to April 2015. Prior to that, he was the engagement manager of McKinsey &amp; Co. from April 2007 to August 2009, and executive director of Lear Corp. (NYSE: LEA) from May 1998 to April 2007. From 1995 to 1998, Mr. Zhou worked at General Motors China Inc. Mr. Zhou received a bachelor’s degree in applied science from Fudan University in 1992 and a master’s degree in business administration from China Europe International Business School in 2008.</w:t>
      </w:r>
    </w:p>
    <w:p>
      <w:pPr>
        <w:spacing w:after="0" w:line="163" w:lineRule="exact"/>
        <w:rPr>
          <w:sz w:val="20"/>
          <w:szCs w:val="20"/>
          <w:color w:val="auto"/>
        </w:rPr>
      </w:pPr>
    </w:p>
    <w:p>
      <w:pPr>
        <w:jc w:val="both"/>
        <w:ind w:firstLine="594"/>
        <w:spacing w:after="0" w:line="272" w:lineRule="auto"/>
        <w:rPr>
          <w:sz w:val="20"/>
          <w:szCs w:val="20"/>
          <w:color w:val="auto"/>
        </w:rPr>
      </w:pPr>
      <w:r>
        <w:rPr>
          <w:rFonts w:ascii="Times New Roman" w:cs="Times New Roman" w:eastAsia="Times New Roman" w:hAnsi="Times New Roman"/>
          <w:sz w:val="16"/>
          <w:szCs w:val="16"/>
          <w:i w:val="1"/>
          <w:iCs w:val="1"/>
          <w:color w:val="auto"/>
        </w:rPr>
        <w:t xml:space="preserve">Mr. Yu Qu </w:t>
      </w:r>
      <w:r>
        <w:rPr>
          <w:rFonts w:ascii="Times New Roman" w:cs="Times New Roman" w:eastAsia="Times New Roman" w:hAnsi="Times New Roman"/>
          <w:sz w:val="16"/>
          <w:szCs w:val="16"/>
          <w:color w:val="auto"/>
        </w:rPr>
        <w:t>joined our Company in October 2016, and currently serves as our Chief Financial Officer. Prior to joining NIO, Mr. Qu held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various financial leadership roles at leading multinational companies including Lear Corporation and Johnson Controls, from 2013 to 2016. Before that, he worked at PricewaterhouseCoopers for ten years. Mr. Qu holds a bachelor’s degree in accounting from Peking University and a Master’s Degree in Accounting from Shanghai University of Finance and Economics.</w:t>
      </w:r>
    </w:p>
    <w:p>
      <w:pPr>
        <w:spacing w:after="0" w:line="15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Mr. Ganesh V. Iyer </w:t>
      </w:r>
      <w:r>
        <w:rPr>
          <w:rFonts w:ascii="Times New Roman" w:cs="Times New Roman" w:eastAsia="Times New Roman" w:hAnsi="Times New Roman"/>
          <w:sz w:val="16"/>
          <w:szCs w:val="16"/>
          <w:color w:val="auto"/>
        </w:rPr>
        <w:t>joined our company in April 2016. He has served as the chief executive officer of NIO U.S. since December 2018. Mr.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Iyer has over 35 years of experience delivering results in various industries including autonomous technology, hi-tech, manufacturing, and telecom. Mr. Iyer worked as vice president of Information Technology at Tesla Inc. (Nasdaq: TSLA) until 2016. Prior to Tesla, where he served as vice president of Information Technology, Mr. Iyer joined VMWare (NYSE: VMW) in 2010 and held senior information technology leadership roles at VMWare. Prior to VMWare, Mr. Iyer served as director of information technology at Juniper Networks (NYSE: JNPR) and WebEx and worked in consulting primarily at Electronic Data Systems. Mr. Iyer received a bachelor’s degree in chemical engineering from the University of Calicut in India.</w:t>
      </w:r>
    </w:p>
    <w:p>
      <w:pPr>
        <w:spacing w:after="0" w:line="361"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Mr. Hai Wu </w:t>
      </w:r>
      <w:r>
        <w:rPr>
          <w:rFonts w:ascii="Times New Roman" w:cs="Times New Roman" w:eastAsia="Times New Roman" w:hAnsi="Times New Roman"/>
          <w:sz w:val="16"/>
          <w:szCs w:val="16"/>
          <w:color w:val="auto"/>
        </w:rPr>
        <w:t>has served as our independent director since July 2016. Mr. Wu has served as a managing partner of Cenova Capital since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2019. He has extensive experience in investments and management. Prior to Cenova Capital, Mr. Wu served as an executive director of China at Temasek Holdings Advisors (Beijing) Co., Ltd. since April 2014. Prior to that, Mr. Wu was the chief executive officer at Ramaxel Technology (Shenzhen) Limited from April 2012 to February 2014 and a managing director at CITIC Private Equity Funds Management Co., Ltd. from March 2010 to May 2012. Prior to that, Mr. Wu had served at Beijing Branch office of McKinsey &amp; Company for more than ten years and was elected as global partner until February 2010. He also served as a non-executive director of COFCO Meat Holdings Limited (HKEX: 1610) from September 2015 to December 2017. He received a bachelor’s degree in physiology from Peking University, a master’s degree in business administration from the Johnson School of Management, Cornell University and a doctoral degree in biomedical science from Rutgers University.</w:t>
      </w:r>
    </w:p>
    <w:p>
      <w:pPr>
        <w:spacing w:after="0" w:line="163"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Mr. Denny Ting Bun Lee </w:t>
      </w:r>
      <w:r>
        <w:rPr>
          <w:rFonts w:ascii="Times New Roman" w:cs="Times New Roman" w:eastAsia="Times New Roman" w:hAnsi="Times New Roman"/>
          <w:sz w:val="16"/>
          <w:szCs w:val="16"/>
          <w:color w:val="auto"/>
        </w:rPr>
        <w:t>has served as our independent director since September 2018. Mr. Lee currently serves as the chairman of the audit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committees and an independent non-executive director of the boards of New Oriental Education &amp; Technology Group Inc. (NYSE: EDU; HKEX: 9901) and Jianpu Technology Inc. (OTCQB: AIJTY). From April 2002 to June 2022, Mr. Lee served as a director of NetEase, Inc., formerly known as NetEase.com, Inc., which is listed on the Nasdaq Global Select Market (Nasdaq: NTES) and the Hong Kong Stock Exchange (HKEX: 9999). He was the chief financial officer of NetEase.com, Inc. from April 2002 to June 2007 and its financial controller from November 2001 to April 2002. Prior to joining NetEase.com, Inc., Mr. Lee worked in the Hong Kong office of KPMG for more than ten years. Mr. Lee graduated from the Hong Kong Polytechnic University with a professional diploma in accounting and is a member of The Hong Kong Institute of Certified Public Accountants and The Chartered Association of Certified Accountants.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Ms. Yu Long </w:t>
      </w:r>
      <w:r>
        <w:rPr>
          <w:rFonts w:ascii="Times New Roman" w:cs="Times New Roman" w:eastAsia="Times New Roman" w:hAnsi="Times New Roman"/>
          <w:sz w:val="16"/>
          <w:szCs w:val="16"/>
          <w:color w:val="auto"/>
        </w:rPr>
        <w:t>has served as our independent director since July 2021. Ms. Long currently serves as the Founding and Managing Partner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BAI Capital. She also serves as a member of Bertelsmann Group Management Committee and the governor of China Venture Capital and Private Equity Association. Formerly, Ms. Long was the Chief Executive Officer of Bertelsmann China Corporate Center and the Managing Partner of Bertelsmann Asia Investments. Ms. Long was the first Chinese member of Stanford Graduate School of Business Advisory Council and served as a member from 2015 to 2021. She was named Young Global Leader by World Economic Forum (WEF) in 2011 and had active involvement in WEF. Ms. Long serves as an independent director on the boards of directors of Tapestry Inc. (NYSE: TPR, its portfolio includes Coach, Stuart Weitzman and Kate Spade), Estée Lauder Companies Inc. (NYSE: EL), and the Hongkong and Shanghai Banking Corporation Limited. Ms. Long received a bachelor’s degree in electrical engineering from University of Electronic Science and Technology of China and an MBA from Stanford Graduate School of Business.</w:t>
      </w:r>
    </w:p>
    <w:p>
      <w:pPr>
        <w:spacing w:after="0" w:line="361"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Mr. Yonggang Wen </w:t>
      </w:r>
      <w:r>
        <w:rPr>
          <w:rFonts w:ascii="Times New Roman" w:cs="Times New Roman" w:eastAsia="Times New Roman" w:hAnsi="Times New Roman"/>
          <w:sz w:val="16"/>
          <w:szCs w:val="16"/>
          <w:color w:val="auto"/>
        </w:rPr>
        <w:t>has served as our independent director since November 2023. Mr. Wen currently serves as a Full Professor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President’s Chair of Computer Science and Engineering at Nanyang Technological University, Singapore. He is a Fellow of the Institute of Electrical and Electronics Engineers (IEEE, the world’s largest technical professional organization), a Fellow of Singapore Academy of Engineering, and a Distinguished Member of Association for Computing Machinery. He also serves as the Director of the Centre for Computational Technologies in Finance, and has been the Vice Provost (Graduate Education) and Dean of Graduate College at Nanyang Technological University since January 2024. Mr. Wen has served as chairman and director of Red Dot Analytics Pte Ltd in Singapore since 2016. His career has been marked by pioneering work in applying learning-based techniques to system prototyping and performance optimization for large-scale networked computer systems. He has received numerous awards for his contributions, including the 2020 IEEE Industrial Technical Excellence Award, the 2019 Nanyang Research Award and the 2016 Nanyang Award in Innovation and Entrepreneurship. Professor Wen also has a strong record of leadership in academic and research roles, including serving as the Chair for IEEE ComSoc Multimedia Communication Technical Committee from 2014 to 2016 and the Editor in Chief of IEEE Transactions on Multimedia from 2023 to 2025. Professor Wen received his PhD in electrical engineering and computer science from Massachusetts Institute of Technology in 2008.</w:t>
      </w:r>
    </w:p>
    <w:p>
      <w:pPr>
        <w:spacing w:after="0" w:line="365"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Mr. Eddy Georges Skaf </w:t>
      </w:r>
      <w:r>
        <w:rPr>
          <w:rFonts w:ascii="Times New Roman" w:cs="Times New Roman" w:eastAsia="Times New Roman" w:hAnsi="Times New Roman"/>
          <w:sz w:val="16"/>
          <w:szCs w:val="16"/>
          <w:color w:val="auto"/>
        </w:rPr>
        <w:t>has served as our non-executive director since February 2024. Mr. Skaf has held the position of chief investment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 at CYVN Holdings L.L.C. since May 2023. He also acts as directors of a number of affiliates of CYVN Holdings L.L.C., including McLaren Group Holdings Limited, Forseven Limited, and CYVN Investments RSC Ltd. Previously, from August 2019 to May 2023, Mr. Skaf served as a senior advisor to Digital Infrastructure at Mubadala. Before this, he served as the chief strategy officer at Emirates Integrated Telecom Company (du) from August 2017 to May 2019. Mr. Skaf received his bachelor’s degree in computer and communication engineering from American University of Beirut in 1995, and his master’s degree of business administration in business administration and management and master’s degree of science in management information systems from Boston University in 2000.</w:t>
      </w:r>
    </w:p>
    <w:p>
      <w:pPr>
        <w:spacing w:after="0" w:line="162"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Mr. Nicholas Paul Collins </w:t>
      </w:r>
      <w:r>
        <w:rPr>
          <w:rFonts w:ascii="Times New Roman" w:cs="Times New Roman" w:eastAsia="Times New Roman" w:hAnsi="Times New Roman"/>
          <w:sz w:val="16"/>
          <w:szCs w:val="16"/>
          <w:color w:val="auto"/>
        </w:rPr>
        <w:t>has served as our non-executive director since February 2024. Mr. Collins has served as the chief executive officer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Forseven Limited since January 2024 until October 2025, when Forseven Limited was consolidated with McLaren Automotive Limited. Mr. Collins has served as the chief executive officer of McLaren Group Holdings Limited since April 2025. Prior to these roles, Mr. Collins worked at Jaguar Land Rover from March 2015 to December 2023 in various capacities, including a director of both Jaguar Land Rover Limited and Jaguar Land Rover Holdings Limited, and an executive director of vehicle programs at Jaguar Land Rover Limited. Mr. Collins began his career in the automotive industry in 1993 and has extensive experience in global product development, product and business strategy, and vehicle development and launch across Ford Motor Company and Jaguar Land Rover. Mr. Collins received his master’s degree in mechanical engineering from University of Nottingham in 1998, and an MBA from Henley Management College in 2004.</w:t>
      </w:r>
    </w:p>
    <w:p>
      <w:pPr>
        <w:spacing w:after="0" w:line="161" w:lineRule="exact"/>
        <w:rPr>
          <w:sz w:val="20"/>
          <w:szCs w:val="20"/>
          <w:color w:val="auto"/>
        </w:rPr>
      </w:pPr>
    </w:p>
    <w:p>
      <w:pPr>
        <w:ind w:left="560" w:hanging="560"/>
        <w:spacing w:after="0"/>
        <w:tabs>
          <w:tab w:leader="none" w:pos="56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Compensation</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For the year ended December 31, 2025, we paid an aggregate of approximately US$2.2 million in cash to our directors and executive officers. For share incentive grants to our directors and executive officers, see “—Stock Incentive Plans.” We have not set aside or accrued any amount to provide pension, retirement or other similar benefits to our directors and executive officers. Our PRC subsidiaries and the VIEs are required by law to make contributions equal to certain percentages of each employee’s salary for his or her pension insurance, medical insurance, unemployment insurance and other statutory benefits and a housing provident fund.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167"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executive officers. Under these agreements, each of our executive officers is employed for a specified time period. For the executive officers who joined our company prior to September 2018, we may terminate employment for cause, at any time, without advance notice or remuneration, for certain acts of such executive officer, such as conviction or plea of guilty to a felony or any crime involving moral turpitude, negligent or dishonest acts to our detriment, or misconduct or a failure to perform agreed duties. In such case of termination, we will provide severance payments to the executive officer as expressly required by applicable law of the jurisdiction where the executive officer is based.</w:t>
      </w:r>
    </w:p>
    <w:p>
      <w:pPr>
        <w:spacing w:after="0" w:line="11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Each executive officer has agreed to hold, both during and after the termination or expiry of the executive officer’s employment agreement, in strict confidence and not to use, except as required in the performance of the executive officer’s duties in connection with the executive officer’s employment or pursuant to applicable law, any of our confidential information or trade secrets, any confidential information or trade secrets of our clients or prospective clients, or the confidential or proprietary information of any third party that we received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1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In addition, each executive officer has agreed to be bound by non-competition and non-solicitation restrictions during the term of the executive officer’s employment and typically for one year following the last date of employment. Specifically, each executive officer has agreed not to (i) approach our suppliers, clients, customers or contacts or other persons or entities introduced to the executive officer in the executive officer’s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with any of our competitors, without our express consent; or (iii) seek directly or indirectly, to solicit the services of any of our employees who we employed on or after the date of the executive officer’s termination, or in the year preceding such termination, without our express consent.</w:t>
      </w:r>
    </w:p>
    <w:p>
      <w:pPr>
        <w:spacing w:after="0" w:line="11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have also entered into indemnification agreements with each of our directors and each of our executive officers who joined our company prior to September 2018.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Incentive Plans</w:t>
      </w:r>
    </w:p>
    <w:p>
      <w:pPr>
        <w:spacing w:after="0" w:line="167"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adopted share incentive plans in 2015, 2016, 2017, 2018, and 2024, which we refer to as the 2015 Plan, the 2016 Plan, the 2017 Plan, the 2018 Plan and the 2024 Plan, respectively, for the purpose of granting share-based compensation awards to employees, directors and consultants to incentivize their performance and align their interests with ours. Each of the 2015 Plan, 2016 Plan and 2017 Plan has a term of 10 years and the 2015 Plan expired in 2025. Each of the 2018 Plan and 2024 Plan has a term of 5 years and the 2018 Plan expired in 2023. The terms of the 2015 Plan, the 2016 Plan and the 2017 Plan are substantially similar, and the terms of the 2018 Plan and the 2024 Plan are substantially similar.</w:t>
      </w:r>
    </w:p>
    <w:p>
      <w:pPr>
        <w:spacing w:after="0" w:line="111"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The maximum number of Class A ordinary shares which may be issued pursuant to all awards are 46,264,378 under the 2015 Plan, 18,000,000 under the 2016 Plan and 33,000,000 under the 2017 Plan. The maximum number of shares available for issuance pursuant to all awards under the 2018 Plan was initially 23,000,000 Class A ordinary shares, and the amount automatically increased at the beginning of each new year by the number of shares representing 1.5% of the then total issued and outstanding share capital of our company as of the end of the prior year during the term of the 2018 Plan. The maximum number of shares available for issuance pursuant to all awards under the 2024 Plan was initially 19,288,470 Class A ordinary shares, and the amount automatically increases at the beginning of each new year by the number of shares representing 1.2% of the then total issued and outstanding share capital of our company as of the last day of the immediately preceding fiscal year during the term of the 2024 Plan. In addition, any awards not granted under an earlier plan when it terminates are automatically added to the 2024 Plan. As of March 31, 2026, awards to purchase an aggregate amount of 83,205,685 Class A ordinary shares under the 2015 Plan, the 2016 Plan, the 2017 Plan, the 2018 Plan and the 2024 Plan had been granted and were outstanding, excluding awards that were forfeited or cancelled after the grant dates.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On March 6, 2026, we adopted the 2026 Share Incentive Plan, which we refer to as the 2026 Plan, under which a maximum aggregate amount of 248,454,460 Class A ordinary shares may be issued, representing 10% of our total outstanding shares as of February 28, 2026. The 2026 Plan has a term of 12 years. We subsequently granted 248,454,460 restricted share units to Mr. Bin Li, our founder, chairman of the board of directors and chief executive officer. The restricted share units are divided into ten equal tranches, and the vesting of each tranche is contingent upon our achievement of specific performance targets and Mr. Li’s continued service in key positions of the Company.</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paragraphs describe the principal terms of the 2015 Plan, the 2016 Plan and the 2017 Plan.</w:t>
      </w:r>
    </w:p>
    <w:p>
      <w:pPr>
        <w:spacing w:after="0" w:line="173" w:lineRule="exact"/>
        <w:rPr>
          <w:sz w:val="20"/>
          <w:szCs w:val="20"/>
          <w:color w:val="auto"/>
        </w:rPr>
      </w:pPr>
    </w:p>
    <w:p>
      <w:pPr>
        <w:jc w:val="both"/>
        <w:ind w:firstLine="594"/>
        <w:spacing w:after="0" w:line="301" w:lineRule="auto"/>
        <w:rPr>
          <w:sz w:val="20"/>
          <w:szCs w:val="20"/>
          <w:color w:val="auto"/>
        </w:rPr>
      </w:pPr>
      <w:r>
        <w:rPr>
          <w:rFonts w:ascii="Times New Roman" w:cs="Times New Roman" w:eastAsia="Times New Roman" w:hAnsi="Times New Roman"/>
          <w:sz w:val="16"/>
          <w:szCs w:val="16"/>
          <w:i w:val="1"/>
          <w:iCs w:val="1"/>
          <w:color w:val="auto"/>
        </w:rPr>
        <w:t>Types of Awards</w:t>
      </w:r>
      <w:r>
        <w:rPr>
          <w:rFonts w:ascii="Times New Roman" w:cs="Times New Roman" w:eastAsia="Times New Roman" w:hAnsi="Times New Roman"/>
          <w:sz w:val="16"/>
          <w:szCs w:val="16"/>
          <w:color w:val="auto"/>
        </w:rPr>
        <w:t>. These three plans permit the awards of options, restricted shares, restricted share units, share appreciation rights, dividend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equivalent right or other right or benefit under each plan.</w:t>
      </w:r>
    </w:p>
    <w:p>
      <w:pPr>
        <w:spacing w:after="0" w:line="108"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Plan Administration</w:t>
      </w:r>
      <w:r>
        <w:rPr>
          <w:rFonts w:ascii="Times New Roman" w:cs="Times New Roman" w:eastAsia="Times New Roman" w:hAnsi="Times New Roman"/>
          <w:sz w:val="16"/>
          <w:szCs w:val="16"/>
          <w:color w:val="auto"/>
        </w:rPr>
        <w:t>. Our board of directors or a committee of one or more members of the board of directors or officers administer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three plans. The committee or the full board of directors, as applicable, will determine the grantees to receive awards, the type and number of awards to be granted to each grantee, and the terms and conditions of each award grant.</w:t>
      </w:r>
    </w:p>
    <w:p>
      <w:pPr>
        <w:spacing w:after="0" w:line="113"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Award Agreement</w:t>
      </w:r>
      <w:r>
        <w:rPr>
          <w:rFonts w:ascii="Times New Roman" w:cs="Times New Roman" w:eastAsia="Times New Roman" w:hAnsi="Times New Roman"/>
          <w:sz w:val="16"/>
          <w:szCs w:val="16"/>
          <w:color w:val="auto"/>
        </w:rPr>
        <w:t>. Awards granted under these three plans are evidenced by an award agreement that sets forth terms, conditions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limitations for each award, which may include the term of the award, the provisions applicable in the event that the grantee’s employment or service terminates, and our authority to unilaterally or bilaterally amend the award.</w:t>
      </w:r>
    </w:p>
    <w:p>
      <w:pPr>
        <w:spacing w:after="0" w:line="1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We may grant awards to our employees, consultants and directors.</w:t>
      </w:r>
    </w:p>
    <w:p>
      <w:pPr>
        <w:spacing w:after="0" w:line="187"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i w:val="1"/>
          <w:iCs w:val="1"/>
          <w:color w:val="auto"/>
        </w:rPr>
        <w:t>Vesting Schedule</w:t>
      </w:r>
      <w:r>
        <w:rPr>
          <w:rFonts w:ascii="Times New Roman" w:cs="Times New Roman" w:eastAsia="Times New Roman" w:hAnsi="Times New Roman"/>
          <w:sz w:val="16"/>
          <w:szCs w:val="16"/>
          <w:color w:val="auto"/>
        </w:rPr>
        <w:t>. Except as approved by the plan administrator, options to be issued to the grantees under these three plans shall be subject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 minimum four (4) year vesting schedule calling for vesting no earlier than the following, counting from the applicable grant date or vesting commencement date (as determined by the plan administrator) with respect to the total issued options: the option representing 25% of the Class A ordinary shares under the option shall vest at the end of the first twelve (12) months commencing from the vesting commencement date, with remaining portions vesting in equal monthly installments over the next thirty-six (36) months.</w:t>
      </w:r>
    </w:p>
    <w:p>
      <w:pPr>
        <w:spacing w:after="0" w:line="120"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i w:val="1"/>
          <w:iCs w:val="1"/>
          <w:color w:val="auto"/>
        </w:rPr>
        <w:t>Exercise of Options</w:t>
      </w:r>
      <w:r>
        <w:rPr>
          <w:rFonts w:ascii="Times New Roman" w:cs="Times New Roman" w:eastAsia="Times New Roman" w:hAnsi="Times New Roman"/>
          <w:sz w:val="16"/>
          <w:szCs w:val="16"/>
          <w:color w:val="auto"/>
        </w:rPr>
        <w:t>. The plan administrator determines the exercise price for each award, which is stated in the relevant award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Options that are vested and exercisable will terminate if they are not exercised prior to the time as the plan administrator determines at the time of grant. However, in the case of an option granted to an employee who, at the time the option is granted, owns (or, pursuant to Section 424(d) of the U.S. Code, is deemed to own) stock representing more than 10% of the total combined voting power of all classes of shares of us or our subsidiary or affiliate, the term of the option will not be longer than ten years from the date of grant under the 2017 Plan, or five years from the date of grant under the 2015 Plan and the 2016 Plan.</w:t>
      </w:r>
    </w:p>
    <w:p>
      <w:pPr>
        <w:spacing w:after="0" w:line="126" w:lineRule="exact"/>
        <w:rPr>
          <w:sz w:val="20"/>
          <w:szCs w:val="20"/>
          <w:color w:val="auto"/>
        </w:rPr>
      </w:pPr>
    </w:p>
    <w:p>
      <w:pPr>
        <w:jc w:val="both"/>
        <w:ind w:firstLine="594"/>
        <w:spacing w:after="0" w:line="272" w:lineRule="auto"/>
        <w:rPr>
          <w:sz w:val="20"/>
          <w:szCs w:val="20"/>
          <w:color w:val="auto"/>
        </w:rPr>
      </w:pPr>
      <w:r>
        <w:rPr>
          <w:rFonts w:ascii="Times New Roman" w:cs="Times New Roman" w:eastAsia="Times New Roman" w:hAnsi="Times New Roman"/>
          <w:sz w:val="16"/>
          <w:szCs w:val="16"/>
          <w:i w:val="1"/>
          <w:iCs w:val="1"/>
          <w:color w:val="auto"/>
        </w:rPr>
        <w:t xml:space="preserve">Transfer Restrictions. </w:t>
      </w:r>
      <w:r>
        <w:rPr>
          <w:rFonts w:ascii="Times New Roman" w:cs="Times New Roman" w:eastAsia="Times New Roman" w:hAnsi="Times New Roman"/>
          <w:sz w:val="16"/>
          <w:szCs w:val="16"/>
          <w:color w:val="auto"/>
        </w:rPr>
        <w:t>Awards shall be transferable, subject to applicable laws, (i) by will and by the laws of descent and distribution and (ii)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during the lifetime of the grantee, to the extent and in the manner authorized by the plan administrator. Notwithstanding the foregoing, the grantee may designate one or more beneficiaries of the grantee’s award in the event of the grantee’s death on a beneficiary designation form provided by the plan administrator.</w:t>
      </w:r>
    </w:p>
    <w:p>
      <w:pPr>
        <w:spacing w:after="0" w:line="131"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Termination and Amendment of the Plan. </w:t>
      </w:r>
      <w:r>
        <w:rPr>
          <w:rFonts w:ascii="Times New Roman" w:cs="Times New Roman" w:eastAsia="Times New Roman" w:hAnsi="Times New Roman"/>
          <w:sz w:val="16"/>
          <w:szCs w:val="16"/>
          <w:color w:val="auto"/>
        </w:rPr>
        <w:t>Unless terminated earlier or extended before expiration, each of these three plans has a term of ten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years. The board of directors has the authority to terminate, amend or modify any or all of these three plans;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amendment shall be made without the approval of our shareholders to the extent such approval is required by applicable laws or provisions of the stock incentive plans. However, without the prior written consent of the grantee, no such action may adversely affect any outstanding award previously granted pursuant to the plan.</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paragraphs describe the principal terms of the 2018 Plan and the 2024 Plan.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Types of Awards</w:t>
      </w:r>
      <w:r>
        <w:rPr>
          <w:rFonts w:ascii="Times New Roman" w:cs="Times New Roman" w:eastAsia="Times New Roman" w:hAnsi="Times New Roman"/>
          <w:sz w:val="16"/>
          <w:szCs w:val="16"/>
          <w:color w:val="auto"/>
        </w:rPr>
        <w:t>. These two plans permit the awards of options, restricted shares or any other type of awards that the committee grants.</w:t>
      </w:r>
    </w:p>
    <w:p>
      <w:pPr>
        <w:spacing w:after="0" w:line="187"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Plan Administration</w:t>
      </w:r>
      <w:r>
        <w:rPr>
          <w:rFonts w:ascii="Times New Roman" w:cs="Times New Roman" w:eastAsia="Times New Roman" w:hAnsi="Times New Roman"/>
          <w:sz w:val="16"/>
          <w:szCs w:val="16"/>
          <w:color w:val="auto"/>
        </w:rPr>
        <w:t>. Our board of directors or a committee of one or more members of our board of directors shall administer these two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plans. The committee or the full board of directors, as applicable, will determine the participants to receive awards, the type and number of awards to be granted to each participant, and the terms and conditions of each award grant.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Award Agreement</w:t>
      </w:r>
      <w:r>
        <w:rPr>
          <w:rFonts w:ascii="Times New Roman" w:cs="Times New Roman" w:eastAsia="Times New Roman" w:hAnsi="Times New Roman"/>
          <w:sz w:val="16"/>
          <w:szCs w:val="16"/>
          <w:color w:val="auto"/>
        </w:rPr>
        <w:t>. Awards granted under these two plans are evidenced by an award agreement that sets forth terms, conditions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13" w:lineRule="exact"/>
        <w:rPr>
          <w:sz w:val="20"/>
          <w:szCs w:val="20"/>
          <w:color w:val="auto"/>
        </w:rPr>
      </w:pPr>
    </w:p>
    <w:p>
      <w:pPr>
        <w:jc w:val="both"/>
        <w:ind w:firstLine="594"/>
        <w:spacing w:after="0" w:line="301" w:lineRule="auto"/>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We may grant awards to the employees, directors and consultants of our company. However, we may grant incentive share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options only to our employees, parent and subsidiaries.</w:t>
      </w:r>
    </w:p>
    <w:p>
      <w:pPr>
        <w:spacing w:after="0" w:line="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Vesting Schedule</w:t>
      </w:r>
      <w:r>
        <w:rPr>
          <w:rFonts w:ascii="Times New Roman" w:cs="Times New Roman" w:eastAsia="Times New Roman" w:hAnsi="Times New Roman"/>
          <w:sz w:val="16"/>
          <w:szCs w:val="16"/>
          <w:color w:val="auto"/>
        </w:rPr>
        <w:t>. In general, the plan administrator determines the vesting schedule, which is specified in the relevant award agreement.</w:t>
      </w:r>
    </w:p>
    <w:p>
      <w:pPr>
        <w:spacing w:after="0" w:line="187"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Exercise of Options</w:t>
      </w:r>
      <w:r>
        <w:rPr>
          <w:rFonts w:ascii="Times New Roman" w:cs="Times New Roman" w:eastAsia="Times New Roman" w:hAnsi="Times New Roman"/>
          <w:sz w:val="16"/>
          <w:szCs w:val="16"/>
          <w:color w:val="auto"/>
        </w:rPr>
        <w:t>. The plan administrator determines the exercise price for each award, which is stated in the award agreement. The vested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portion of an option will expire if not exercised prior to the time as the plan administrator determines at the time of its grant. However, the maximum exercisable term is five years from the date of a grant under the 2018 Plan and ten years from the date of a grant under the 2024 Plan.</w:t>
      </w:r>
    </w:p>
    <w:p>
      <w:pPr>
        <w:spacing w:after="0" w:line="113" w:lineRule="exact"/>
        <w:rPr>
          <w:sz w:val="20"/>
          <w:szCs w:val="20"/>
          <w:color w:val="auto"/>
        </w:rPr>
      </w:pPr>
    </w:p>
    <w:p>
      <w:pPr>
        <w:jc w:val="both"/>
        <w:ind w:firstLine="594"/>
        <w:spacing w:after="0" w:line="301" w:lineRule="auto"/>
        <w:rPr>
          <w:sz w:val="20"/>
          <w:szCs w:val="20"/>
          <w:color w:val="auto"/>
        </w:rPr>
      </w:pPr>
      <w:r>
        <w:rPr>
          <w:rFonts w:ascii="Times New Roman" w:cs="Times New Roman" w:eastAsia="Times New Roman" w:hAnsi="Times New Roman"/>
          <w:sz w:val="16"/>
          <w:szCs w:val="16"/>
          <w:i w:val="1"/>
          <w:iCs w:val="1"/>
          <w:color w:val="auto"/>
        </w:rPr>
        <w:t>Transfer Restrictions</w:t>
      </w:r>
      <w:r>
        <w:rPr>
          <w:rFonts w:ascii="Times New Roman" w:cs="Times New Roman" w:eastAsia="Times New Roman" w:hAnsi="Times New Roman"/>
          <w:sz w:val="16"/>
          <w:szCs w:val="16"/>
          <w:color w:val="auto"/>
        </w:rPr>
        <w:t>. Awards may not be transferred in any manner by the grantee other than by will or the laws of descent and distribution,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except as otherwise determined by the plan administrator.</w:t>
      </w:r>
    </w:p>
    <w:p>
      <w:pPr>
        <w:spacing w:after="0" w:line="95"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Termination and amendment. </w:t>
      </w:r>
      <w:r>
        <w:rPr>
          <w:rFonts w:ascii="Times New Roman" w:cs="Times New Roman" w:eastAsia="Times New Roman" w:hAnsi="Times New Roman"/>
          <w:sz w:val="16"/>
          <w:szCs w:val="16"/>
          <w:color w:val="auto"/>
        </w:rPr>
        <w:t>Unless terminated earlier, each of these two plans has a term of five years. Our board of directors has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authority to amend or terminate the plans. However, no such action may adversely affect in any material way any awards previously granted unless agreed by the grantee.</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paragraphs describe the principal terms of the 2026 Plan.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Types of Awards</w:t>
      </w:r>
      <w:r>
        <w:rPr>
          <w:rFonts w:ascii="Times New Roman" w:cs="Times New Roman" w:eastAsia="Times New Roman" w:hAnsi="Times New Roman"/>
          <w:sz w:val="16"/>
          <w:szCs w:val="16"/>
          <w:color w:val="auto"/>
        </w:rPr>
        <w:t>. The 2026 Plan permits the awards of options, restricted share units or any other type of awards that the plan administrator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grants.</w:t>
      </w:r>
    </w:p>
    <w:p>
      <w:pPr>
        <w:spacing w:after="0" w:line="156"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Plan Administration</w:t>
      </w:r>
      <w:r>
        <w:rPr>
          <w:rFonts w:ascii="Times New Roman" w:cs="Times New Roman" w:eastAsia="Times New Roman" w:hAnsi="Times New Roman"/>
          <w:sz w:val="16"/>
          <w:szCs w:val="16"/>
          <w:color w:val="auto"/>
        </w:rPr>
        <w:t>. Our board of directors or a committee of one or more members of our board of directors shall administer the 2026 Plan.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committee or the full board of directors, as applicable, shall determine the participants to receive awards, the type and number of awards to be granted to each participant, and the terms and conditions of each award grant.</w:t>
      </w:r>
    </w:p>
    <w:p>
      <w:pPr>
        <w:spacing w:after="0" w:line="126"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Award Agreement</w:t>
      </w:r>
      <w:r>
        <w:rPr>
          <w:rFonts w:ascii="Times New Roman" w:cs="Times New Roman" w:eastAsia="Times New Roman" w:hAnsi="Times New Roman"/>
          <w:sz w:val="16"/>
          <w:szCs w:val="16"/>
          <w:color w:val="auto"/>
        </w:rPr>
        <w:t>. Awards granted under the 2026 Plan are evidenced by an award agreement that sets forth terms, conditions and limitations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13" w:lineRule="exact"/>
        <w:rPr>
          <w:sz w:val="20"/>
          <w:szCs w:val="20"/>
          <w:color w:val="auto"/>
        </w:rPr>
      </w:pPr>
    </w:p>
    <w:p>
      <w:pPr>
        <w:jc w:val="both"/>
        <w:ind w:firstLine="594"/>
        <w:spacing w:after="0" w:line="301" w:lineRule="auto"/>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We may grant awards to the employees, directors and consultants of our company. However, we may grant incentive share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options only to our employees.</w:t>
      </w:r>
    </w:p>
    <w:p>
      <w:pPr>
        <w:spacing w:after="0" w:line="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Vesting Schedule</w:t>
      </w:r>
      <w:r>
        <w:rPr>
          <w:rFonts w:ascii="Times New Roman" w:cs="Times New Roman" w:eastAsia="Times New Roman" w:hAnsi="Times New Roman"/>
          <w:sz w:val="16"/>
          <w:szCs w:val="16"/>
          <w:color w:val="auto"/>
        </w:rPr>
        <w:t>. In general, the plan administrator determines the vesting schedule, which is specified in the relevant award agreement.</w:t>
      </w:r>
    </w:p>
    <w:p>
      <w:pPr>
        <w:spacing w:after="0" w:line="187"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Exercise of Options</w:t>
      </w:r>
      <w:r>
        <w:rPr>
          <w:rFonts w:ascii="Times New Roman" w:cs="Times New Roman" w:eastAsia="Times New Roman" w:hAnsi="Times New Roman"/>
          <w:sz w:val="16"/>
          <w:szCs w:val="16"/>
          <w:color w:val="auto"/>
        </w:rPr>
        <w:t>. The plan administrator determines the exercise price for each award, which is stated in the award agreement. The vested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portion of an option will expire if not exercised prior to the time as the plan administrator determines at the time of its grant. However, the maximum exercisable term is twelve years from the date of a grant.</w:t>
      </w:r>
    </w:p>
    <w:p>
      <w:pPr>
        <w:spacing w:after="0" w:line="113"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Transfer Restrictions</w:t>
      </w:r>
      <w:r>
        <w:rPr>
          <w:rFonts w:ascii="Times New Roman" w:cs="Times New Roman" w:eastAsia="Times New Roman" w:hAnsi="Times New Roman"/>
          <w:sz w:val="16"/>
          <w:szCs w:val="16"/>
          <w:color w:val="auto"/>
        </w:rPr>
        <w:t>. Awards may not be transferred in any manner by the grantee other than (i) by inheritance or distribution by will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pursuant to an effective civil judgment or ruling or (ii) by trusts or companies established in connection with any employee benefit plan of the Company for the benefit of employees, except as otherwise determined by the plan administrator.</w:t>
      </w:r>
    </w:p>
    <w:p>
      <w:pPr>
        <w:spacing w:after="0" w:line="113" w:lineRule="exact"/>
        <w:rPr>
          <w:sz w:val="20"/>
          <w:szCs w:val="20"/>
          <w:color w:val="auto"/>
        </w:rPr>
      </w:pPr>
    </w:p>
    <w:p>
      <w:pPr>
        <w:jc w:val="both"/>
        <w:ind w:firstLine="594"/>
        <w:spacing w:after="0" w:line="279" w:lineRule="auto"/>
        <w:rPr>
          <w:sz w:val="20"/>
          <w:szCs w:val="20"/>
          <w:color w:val="auto"/>
        </w:rPr>
      </w:pPr>
      <w:r>
        <w:rPr>
          <w:rFonts w:ascii="Times New Roman" w:cs="Times New Roman" w:eastAsia="Times New Roman" w:hAnsi="Times New Roman"/>
          <w:sz w:val="16"/>
          <w:szCs w:val="16"/>
          <w:i w:val="1"/>
          <w:iCs w:val="1"/>
          <w:color w:val="auto"/>
        </w:rPr>
        <w:t>Termination and amendment</w:t>
      </w:r>
      <w:r>
        <w:rPr>
          <w:rFonts w:ascii="Times New Roman" w:cs="Times New Roman" w:eastAsia="Times New Roman" w:hAnsi="Times New Roman"/>
          <w:sz w:val="16"/>
          <w:szCs w:val="16"/>
          <w:color w:val="auto"/>
        </w:rPr>
        <w:t>. Unless terminated earlier, the 2026 Plan has a term of twelve years from March 6, 2026. Our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has the authority to amend or terminate the plans. However, no such action may adversely affect in any material way any awards previously granted unless agreed by the grantee.</w:t>
      </w:r>
    </w:p>
    <w:p>
      <w:pPr>
        <w:spacing w:after="0" w:line="128"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November 2025, as approved by our board of directors and compensation committee, we entered into exchange agreements with certain directors and executive officers pursuant to which they agreed to terminate certain of their options under prior plans in exchange for new options under the 2024 Plan. The new options represent the rights to purchase the same number of shares with the same exercise price as the terminated options, but expire on the fifth anniversary of their grant date, resulting in an extension of the terminated options in effect.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right="20" w:firstLine="594"/>
        <w:spacing w:after="0" w:line="298" w:lineRule="auto"/>
        <w:rPr>
          <w:sz w:val="20"/>
          <w:szCs w:val="20"/>
          <w:color w:val="auto"/>
        </w:rPr>
      </w:pPr>
      <w:r>
        <w:rPr>
          <w:rFonts w:ascii="Times New Roman" w:cs="Times New Roman" w:eastAsia="Times New Roman" w:hAnsi="Times New Roman"/>
          <w:sz w:val="16"/>
          <w:szCs w:val="16"/>
          <w:color w:val="auto"/>
        </w:rPr>
        <w:t>The following table summarizes, as of March 31, 2026, the awards granted under the 2015 Plan, the 2016 Plan, the 2017 Plan, the 2018 Plan, the 2024 Plan and the 2026 Plan to several of our executive officers, excluding awards that were forfeited or cancelled after the relevant grant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center"/>
              <w:ind w:right="25"/>
              <w:spacing w:after="0"/>
              <w:rPr>
                <w:sz w:val="20"/>
                <w:szCs w:val="20"/>
                <w:color w:val="auto"/>
              </w:rPr>
            </w:pPr>
            <w:r>
              <w:rPr>
                <w:rFonts w:ascii="Times New Roman" w:cs="Times New Roman" w:eastAsia="Times New Roman" w:hAnsi="Times New Roman"/>
                <w:sz w:val="12"/>
                <w:szCs w:val="12"/>
                <w:b w:val="1"/>
                <w:bCs w:val="1"/>
                <w:color w:val="auto"/>
                <w:w w:val="94"/>
              </w:rPr>
              <w:t>Class A Ordinary</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jc w:val="center"/>
              <w:ind w:right="5"/>
              <w:spacing w:after="0" w:line="124" w:lineRule="exact"/>
              <w:rPr>
                <w:sz w:val="20"/>
                <w:szCs w:val="20"/>
                <w:color w:val="auto"/>
              </w:rPr>
            </w:pPr>
            <w:r>
              <w:rPr>
                <w:rFonts w:ascii="Times New Roman" w:cs="Times New Roman" w:eastAsia="Times New Roman" w:hAnsi="Times New Roman"/>
                <w:sz w:val="12"/>
                <w:szCs w:val="12"/>
                <w:b w:val="1"/>
                <w:bCs w:val="1"/>
                <w:color w:val="auto"/>
                <w:w w:val="96"/>
              </w:rPr>
              <w:t>Shares Underlying</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jc w:val="center"/>
              <w:ind w:right="5"/>
              <w:spacing w:after="0" w:line="124" w:lineRule="exact"/>
              <w:rPr>
                <w:sz w:val="20"/>
                <w:szCs w:val="20"/>
                <w:color w:val="auto"/>
              </w:rPr>
            </w:pPr>
            <w:r>
              <w:rPr>
                <w:rFonts w:ascii="Times New Roman" w:cs="Times New Roman" w:eastAsia="Times New Roman" w:hAnsi="Times New Roman"/>
                <w:sz w:val="12"/>
                <w:szCs w:val="12"/>
                <w:b w:val="1"/>
                <w:bCs w:val="1"/>
                <w:color w:val="auto"/>
                <w:w w:val="95"/>
              </w:rPr>
              <w:t>Options and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jc w:val="center"/>
              <w:ind w:right="25"/>
              <w:spacing w:after="0" w:line="124" w:lineRule="exact"/>
              <w:rPr>
                <w:sz w:val="20"/>
                <w:szCs w:val="20"/>
                <w:color w:val="auto"/>
              </w:rPr>
            </w:pPr>
            <w:r>
              <w:rPr>
                <w:rFonts w:ascii="Times New Roman" w:cs="Times New Roman" w:eastAsia="Times New Roman" w:hAnsi="Times New Roman"/>
                <w:sz w:val="12"/>
                <w:szCs w:val="12"/>
                <w:b w:val="1"/>
                <w:bCs w:val="1"/>
                <w:color w:val="auto"/>
                <w:w w:val="95"/>
              </w:rPr>
              <w:t>Restricted Share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jc w:val="right"/>
              <w:ind w:right="183"/>
              <w:spacing w:after="0" w:line="124" w:lineRule="exact"/>
              <w:rPr>
                <w:sz w:val="20"/>
                <w:szCs w:val="20"/>
                <w:color w:val="auto"/>
              </w:rPr>
            </w:pPr>
            <w:r>
              <w:rPr>
                <w:rFonts w:ascii="Times New Roman" w:cs="Times New Roman" w:eastAsia="Times New Roman" w:hAnsi="Times New Roman"/>
                <w:sz w:val="12"/>
                <w:szCs w:val="12"/>
                <w:b w:val="1"/>
                <w:bCs w:val="1"/>
                <w:color w:val="auto"/>
              </w:rPr>
              <w:t>Exercise 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Pr>
          <w:p>
            <w:pPr>
              <w:jc w:val="center"/>
              <w:ind w:right="25"/>
              <w:spacing w:after="0"/>
              <w:rPr>
                <w:sz w:val="20"/>
                <w:szCs w:val="20"/>
                <w:color w:val="auto"/>
              </w:rPr>
            </w:pPr>
            <w:r>
              <w:rPr>
                <w:rFonts w:ascii="Times New Roman" w:cs="Times New Roman" w:eastAsia="Times New Roman" w:hAnsi="Times New Roman"/>
                <w:sz w:val="12"/>
                <w:szCs w:val="12"/>
                <w:b w:val="1"/>
                <w:bCs w:val="1"/>
                <w:color w:val="auto"/>
                <w:w w:val="94"/>
              </w:rPr>
              <w:t>Units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Pr>
          <w:p>
            <w:pPr>
              <w:jc w:val="right"/>
              <w:ind w:right="223"/>
              <w:spacing w:after="0"/>
              <w:rPr>
                <w:sz w:val="20"/>
                <w:szCs w:val="20"/>
                <w:color w:val="auto"/>
              </w:rPr>
            </w:pPr>
            <w:r>
              <w:rPr>
                <w:rFonts w:ascii="Times New Roman" w:cs="Times New Roman" w:eastAsia="Times New Roman" w:hAnsi="Times New Roman"/>
                <w:sz w:val="12"/>
                <w:szCs w:val="12"/>
                <w:b w:val="1"/>
                <w:bCs w:val="1"/>
                <w:color w:val="auto"/>
              </w:rPr>
              <w:t>(US$/Share)</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20" w:type="dxa"/>
            <w:vAlign w:val="bottom"/>
          </w:tcPr>
          <w:p>
            <w:pPr>
              <w:jc w:val="right"/>
              <w:ind w:right="363"/>
              <w:spacing w:after="0"/>
              <w:rPr>
                <w:sz w:val="20"/>
                <w:szCs w:val="20"/>
                <w:color w:val="auto"/>
              </w:rPr>
            </w:pPr>
            <w:r>
              <w:rPr>
                <w:rFonts w:ascii="Times New Roman" w:cs="Times New Roman" w:eastAsia="Times New Roman" w:hAnsi="Times New Roman"/>
                <w:sz w:val="12"/>
                <w:szCs w:val="12"/>
                <w:b w:val="1"/>
                <w:bCs w:val="1"/>
                <w:color w:val="auto"/>
              </w:rPr>
              <w:t>Date of Grant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Date of Expiration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20" w:type="dxa"/>
            <w:vAlign w:val="bottom"/>
            <w:tcBorders>
              <w:top w:val="single" w:sz="8" w:color="auto"/>
            </w:tcBorders>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Bin Li</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1100" w:type="dxa"/>
            <w:vAlign w:val="bottom"/>
            <w:tcBorders>
              <w:top w:val="single" w:sz="8" w:color="auto"/>
            </w:tcBorders>
            <w:shd w:val="clear" w:color="auto" w:fill="CCEEFF"/>
          </w:tcPr>
          <w:p>
            <w:pPr>
              <w:jc w:val="right"/>
              <w:spacing w:after="0" w:line="92" w:lineRule="exact"/>
              <w:rPr>
                <w:sz w:val="20"/>
                <w:szCs w:val="20"/>
                <w:color w:val="auto"/>
              </w:rPr>
            </w:pPr>
            <w:r>
              <w:rPr>
                <w:rFonts w:ascii="Times New Roman" w:cs="Times New Roman" w:eastAsia="Times New Roman" w:hAnsi="Times New Roman"/>
                <w:sz w:val="7"/>
                <w:szCs w:val="7"/>
                <w:color w:val="auto"/>
              </w:rPr>
              <w:t xml:space="preserve">261,962,269 </w:t>
            </w:r>
            <w:r>
              <w:rPr>
                <w:rFonts w:ascii="Times New Roman" w:cs="Times New Roman" w:eastAsia="Times New Roman" w:hAnsi="Times New Roman"/>
                <w:sz w:val="10"/>
                <w:szCs w:val="10"/>
                <w:color w:val="auto"/>
                <w:vertAlign w:val="superscript"/>
              </w:rPr>
              <w:t>(1)</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1100" w:type="dxa"/>
            <w:vAlign w:val="bottom"/>
            <w:tcBorders>
              <w:top w:val="single" w:sz="8" w:color="auto"/>
            </w:tcBorders>
            <w:shd w:val="clear" w:color="auto" w:fill="CCEEFF"/>
          </w:tcPr>
          <w:p>
            <w:pPr>
              <w:jc w:val="right"/>
              <w:ind w:right="3"/>
              <w:spacing w:after="0" w:line="92" w:lineRule="exact"/>
              <w:rPr>
                <w:sz w:val="20"/>
                <w:szCs w:val="20"/>
                <w:color w:val="auto"/>
              </w:rPr>
            </w:pPr>
            <w:r>
              <w:rPr>
                <w:rFonts w:ascii="Times New Roman" w:cs="Times New Roman" w:eastAsia="Times New Roman" w:hAnsi="Times New Roman"/>
                <w:sz w:val="10"/>
                <w:szCs w:val="10"/>
                <w:color w:val="auto"/>
              </w:rPr>
              <w:t>2.55; N/A</w:t>
            </w: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1420" w:type="dxa"/>
            <w:vAlign w:val="bottom"/>
            <w:tcBorders>
              <w:top w:val="single" w:sz="8" w:color="auto"/>
            </w:tcBorders>
            <w:shd w:val="clear" w:color="auto" w:fill="CCEEFF"/>
          </w:tcPr>
          <w:p>
            <w:pPr>
              <w:jc w:val="right"/>
              <w:spacing w:after="0" w:line="92" w:lineRule="exact"/>
              <w:rPr>
                <w:sz w:val="20"/>
                <w:szCs w:val="20"/>
                <w:color w:val="auto"/>
              </w:rPr>
            </w:pPr>
            <w:r>
              <w:rPr>
                <w:rFonts w:ascii="Times New Roman" w:cs="Times New Roman" w:eastAsia="Times New Roman" w:hAnsi="Times New Roman"/>
                <w:sz w:val="10"/>
                <w:szCs w:val="10"/>
                <w:color w:val="auto"/>
              </w:rPr>
              <w:t>From March 1, 2018 to</w:t>
            </w: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440" w:type="dxa"/>
            <w:vAlign w:val="bottom"/>
            <w:tcBorders>
              <w:top w:val="single" w:sz="8" w:color="auto"/>
            </w:tcBorders>
            <w:shd w:val="clear" w:color="auto" w:fill="CCEEFF"/>
          </w:tcPr>
          <w:p>
            <w:pPr>
              <w:jc w:val="right"/>
              <w:ind w:right="4"/>
              <w:spacing w:after="0" w:line="92" w:lineRule="exact"/>
              <w:rPr>
                <w:sz w:val="20"/>
                <w:szCs w:val="20"/>
                <w:color w:val="auto"/>
              </w:rPr>
            </w:pPr>
            <w:r>
              <w:rPr>
                <w:rFonts w:ascii="Times New Roman" w:cs="Times New Roman" w:eastAsia="Times New Roman" w:hAnsi="Times New Roman"/>
                <w:sz w:val="10"/>
                <w:szCs w:val="10"/>
                <w:color w:val="auto"/>
              </w:rPr>
              <w:t>From February 29, 2028 to</w:t>
            </w: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March 11, 2026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2"/>
                <w:szCs w:val="12"/>
                <w:color w:val="auto"/>
              </w:rPr>
              <w:t xml:space="preserve">March 11, 2038 </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Lihong Qin</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ind w:right="3"/>
              <w:spacing w:after="0" w:line="99" w:lineRule="exact"/>
              <w:rPr>
                <w:sz w:val="20"/>
                <w:szCs w:val="20"/>
                <w:color w:val="auto"/>
              </w:rPr>
            </w:pPr>
            <w:r>
              <w:rPr>
                <w:rFonts w:ascii="Times New Roman" w:cs="Times New Roman" w:eastAsia="Times New Roman" w:hAnsi="Times New Roman"/>
                <w:sz w:val="10"/>
                <w:szCs w:val="10"/>
                <w:color w:val="auto"/>
              </w:rPr>
              <w:t>2.55; 2.39; N/A</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From February 1, 2018 to</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From January 31, 2028 to</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December 31, 2025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xml:space="preserve">April 1, 2030 </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40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Xin Zhou</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100" w:type="dxa"/>
            <w:vAlign w:val="bottom"/>
            <w:shd w:val="clear" w:color="auto" w:fill="CCEEFF"/>
          </w:tcPr>
          <w:p>
            <w:pPr>
              <w:jc w:val="right"/>
              <w:ind w:right="3"/>
              <w:spacing w:after="0" w:line="99" w:lineRule="exact"/>
              <w:rPr>
                <w:sz w:val="20"/>
                <w:szCs w:val="20"/>
                <w:color w:val="auto"/>
              </w:rPr>
            </w:pPr>
            <w:r>
              <w:rPr>
                <w:rFonts w:ascii="Times New Roman" w:cs="Times New Roman" w:eastAsia="Times New Roman" w:hAnsi="Times New Roman"/>
                <w:sz w:val="10"/>
                <w:szCs w:val="10"/>
                <w:color w:val="auto"/>
              </w:rPr>
              <w:t>2.55; 2.05; 2.39; N/A</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From February 26, 2015 to</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From January 31, 2028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December 31, 2025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2"/>
                <w:szCs w:val="12"/>
                <w:color w:val="auto"/>
              </w:rPr>
              <w:t xml:space="preserve">December 31, 2030 </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248"/>
        </w:trPr>
        <w:tc>
          <w:tcPr>
            <w:tcW w:w="20" w:type="dxa"/>
            <w:vAlign w:val="bottom"/>
            <w:vMerge w:val="restart"/>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02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Denny Ting Bun Lee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ind w:right="3"/>
              <w:spacing w:after="0" w:line="108" w:lineRule="exact"/>
              <w:rPr>
                <w:sz w:val="20"/>
                <w:szCs w:val="20"/>
                <w:color w:val="auto"/>
              </w:rPr>
            </w:pPr>
            <w:r>
              <w:rPr>
                <w:rFonts w:ascii="Times New Roman" w:cs="Times New Roman" w:eastAsia="Times New Roman" w:hAnsi="Times New Roman"/>
                <w:sz w:val="12"/>
                <w:szCs w:val="12"/>
                <w:color w:val="auto"/>
              </w:rPr>
              <w:t>N/A</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w w:val="98"/>
              </w:rPr>
              <w:t>From September 12, 2018 to</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March 4, 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Hai Wu</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shd w:val="clear" w:color="auto" w:fill="CCEEFF"/>
          </w:tcPr>
          <w:p>
            <w:pPr>
              <w:jc w:val="right"/>
              <w:ind w:right="3"/>
              <w:spacing w:after="0" w:line="108" w:lineRule="exact"/>
              <w:rPr>
                <w:sz w:val="20"/>
                <w:szCs w:val="20"/>
                <w:color w:val="auto"/>
              </w:rPr>
            </w:pPr>
            <w:r>
              <w:rPr>
                <w:rFonts w:ascii="Times New Roman" w:cs="Times New Roman" w:eastAsia="Times New Roman" w:hAnsi="Times New Roman"/>
                <w:sz w:val="12"/>
                <w:szCs w:val="12"/>
                <w:color w:val="auto"/>
              </w:rPr>
              <w:t>3.61; N/A</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From May 29, 2019 to</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9"/>
                <w:szCs w:val="9"/>
                <w:color w:val="auto"/>
              </w:rPr>
              <w:t xml:space="preserve">December 31, 2030 </w:t>
            </w:r>
            <w:r>
              <w:rPr>
                <w:rFonts w:ascii="Times New Roman" w:cs="Times New Roman" w:eastAsia="Times New Roman" w:hAnsi="Times New Roman"/>
                <w:sz w:val="12"/>
                <w:szCs w:val="12"/>
                <w:color w:val="auto"/>
                <w:vertAlign w:val="superscript"/>
              </w:rPr>
              <w:t>(2)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November 6, 2025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June 10, 2021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November 3, 2023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ind w:right="3"/>
              <w:spacing w:after="0" w:line="108" w:lineRule="exact"/>
              <w:rPr>
                <w:sz w:val="20"/>
                <w:szCs w:val="20"/>
                <w:color w:val="auto"/>
              </w:rPr>
            </w:pPr>
            <w:r>
              <w:rPr>
                <w:rFonts w:ascii="Times New Roman" w:cs="Times New Roman" w:eastAsia="Times New Roman" w:hAnsi="Times New Roman"/>
                <w:sz w:val="12"/>
                <w:szCs w:val="12"/>
                <w:color w:val="auto"/>
              </w:rPr>
              <w:t>1.8; 2.55; 2.05; 2.39;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040" w:type="dxa"/>
            <w:vAlign w:val="bottom"/>
            <w:gridSpan w:val="3"/>
            <w:vMerge w:val="restart"/>
          </w:tcPr>
          <w:p>
            <w:pPr>
              <w:spacing w:after="0" w:line="115" w:lineRule="exact"/>
              <w:rPr>
                <w:sz w:val="20"/>
                <w:szCs w:val="20"/>
                <w:color w:val="auto"/>
              </w:rPr>
            </w:pPr>
            <w:r>
              <w:rPr>
                <w:rFonts w:ascii="Times New Roman" w:cs="Times New Roman" w:eastAsia="Times New Roman" w:hAnsi="Times New Roman"/>
                <w:sz w:val="12"/>
                <w:szCs w:val="12"/>
                <w:color w:val="auto"/>
              </w:rPr>
              <w:t>Feng Shen</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vMerge w:val="restart"/>
          </w:tcPr>
          <w:p>
            <w:pPr>
              <w:jc w:val="right"/>
              <w:ind w:right="3"/>
              <w:spacing w:after="0" w:line="115" w:lineRule="exact"/>
              <w:rPr>
                <w:sz w:val="20"/>
                <w:szCs w:val="20"/>
                <w:color w:val="auto"/>
              </w:rPr>
            </w:pPr>
            <w:r>
              <w:rPr>
                <w:rFonts w:ascii="Times New Roman" w:cs="Times New Roman" w:eastAsia="Times New Roman" w:hAnsi="Times New Roman"/>
                <w:sz w:val="12"/>
                <w:szCs w:val="12"/>
                <w:color w:val="auto"/>
              </w:rPr>
              <w:t>N/A</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vMerge w:val="restart"/>
          </w:tcPr>
          <w:p>
            <w:pPr>
              <w:jc w:val="right"/>
              <w:spacing w:after="0" w:line="115" w:lineRule="exact"/>
              <w:rPr>
                <w:sz w:val="20"/>
                <w:szCs w:val="20"/>
                <w:color w:val="auto"/>
              </w:rPr>
            </w:pPr>
            <w:r>
              <w:rPr>
                <w:rFonts w:ascii="Times New Roman" w:cs="Times New Roman" w:eastAsia="Times New Roman" w:hAnsi="Times New Roman"/>
                <w:sz w:val="12"/>
                <w:szCs w:val="12"/>
                <w:color w:val="auto"/>
              </w:rPr>
              <w:t>From December 31, 2017 to</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gridSpan w:val="2"/>
            <w:vMerge w:val="restart"/>
          </w:tcPr>
          <w:p>
            <w:pPr>
              <w:jc w:val="right"/>
              <w:ind w:right="120"/>
              <w:spacing w:after="0" w:line="115" w:lineRule="exact"/>
              <w:rPr>
                <w:sz w:val="20"/>
                <w:szCs w:val="20"/>
                <w:color w:val="auto"/>
              </w:rPr>
            </w:pPr>
            <w:r>
              <w:rPr>
                <w:rFonts w:ascii="Times New Roman" w:cs="Times New Roman" w:eastAsia="Times New Roman" w:hAnsi="Times New Roman"/>
                <w:sz w:val="12"/>
                <w:szCs w:val="12"/>
                <w:color w:val="auto"/>
              </w:rPr>
              <w:t>From December 30, 2027 to</w:t>
            </w:r>
          </w:p>
        </w:tc>
        <w:tc>
          <w:tcPr>
            <w:tcW w:w="0" w:type="dxa"/>
            <w:vAlign w:val="bottom"/>
          </w:tcPr>
          <w:p>
            <w:pPr>
              <w:spacing w:after="0"/>
              <w:rPr>
                <w:sz w:val="1"/>
                <w:szCs w:val="1"/>
                <w:color w:val="auto"/>
              </w:rPr>
            </w:pPr>
          </w:p>
        </w:tc>
      </w:tr>
      <w:tr>
        <w:trPr>
          <w:trHeight w:val="28"/>
        </w:trPr>
        <w:tc>
          <w:tcPr>
            <w:tcW w:w="40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February 5, 2026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xml:space="preserve">April 1, 2030 </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shd w:val="clear" w:color="auto" w:fill="CCEEFF"/>
          </w:tcPr>
          <w:p>
            <w:pPr>
              <w:jc w:val="right"/>
              <w:ind w:right="3"/>
              <w:spacing w:after="0" w:line="108" w:lineRule="exact"/>
              <w:rPr>
                <w:sz w:val="20"/>
                <w:szCs w:val="20"/>
                <w:color w:val="auto"/>
              </w:rPr>
            </w:pPr>
            <w:r>
              <w:rPr>
                <w:rFonts w:ascii="Times New Roman" w:cs="Times New Roman" w:eastAsia="Times New Roman" w:hAnsi="Times New Roman"/>
                <w:sz w:val="12"/>
                <w:szCs w:val="12"/>
                <w:color w:val="auto"/>
                <w:w w:val="95"/>
              </w:rPr>
              <w:t>0.61; 2.55; 3.61; 2.05;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020" w:type="dxa"/>
            <w:vAlign w:val="bottom"/>
            <w:gridSpan w:val="2"/>
            <w:vMerge w:val="restart"/>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Yu Qu</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00" w:type="dxa"/>
            <w:vAlign w:val="bottom"/>
            <w:vMerge w:val="restart"/>
            <w:shd w:val="clear" w:color="auto" w:fill="CCEEFF"/>
          </w:tcPr>
          <w:p>
            <w:pPr>
              <w:jc w:val="right"/>
              <w:ind w:right="3"/>
              <w:spacing w:after="0" w:line="115" w:lineRule="exact"/>
              <w:rPr>
                <w:sz w:val="20"/>
                <w:szCs w:val="20"/>
                <w:color w:val="auto"/>
              </w:rPr>
            </w:pPr>
            <w:r>
              <w:rPr>
                <w:rFonts w:ascii="Times New Roman" w:cs="Times New Roman" w:eastAsia="Times New Roman" w:hAnsi="Times New Roman"/>
                <w:sz w:val="12"/>
                <w:szCs w:val="12"/>
                <w:color w:val="auto"/>
              </w:rPr>
              <w:t>1.94; 2.39; N/A</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vMerge w:val="restart"/>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From December 1, 2016 to</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00" w:type="dxa"/>
            <w:vAlign w:val="bottom"/>
            <w:gridSpan w:val="2"/>
            <w:vMerge w:val="restart"/>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2"/>
                <w:szCs w:val="12"/>
                <w:color w:val="auto"/>
                <w:w w:val="99"/>
              </w:rPr>
              <w:t>From November 30, 2026 to</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020" w:type="dxa"/>
            <w:vAlign w:val="bottom"/>
            <w:gridSpan w:val="2"/>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00" w:type="dxa"/>
            <w:vAlign w:val="bottom"/>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20" w:type="dxa"/>
            <w:vAlign w:val="bottom"/>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December 31, 2025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2"/>
                <w:szCs w:val="12"/>
                <w:color w:val="auto"/>
              </w:rPr>
              <w:t xml:space="preserve">December 31, 2030 </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619"/>
        </w:trPr>
        <w:tc>
          <w:tcPr>
            <w:tcW w:w="20" w:type="dxa"/>
            <w:vAlign w:val="bottom"/>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ind w:right="3"/>
              <w:spacing w:after="0" w:line="108" w:lineRule="exact"/>
              <w:rPr>
                <w:sz w:val="20"/>
                <w:szCs w:val="20"/>
                <w:color w:val="auto"/>
              </w:rPr>
            </w:pPr>
            <w:r>
              <w:rPr>
                <w:rFonts w:ascii="Times New Roman" w:cs="Times New Roman" w:eastAsia="Times New Roman" w:hAnsi="Times New Roman"/>
                <w:sz w:val="12"/>
                <w:szCs w:val="12"/>
                <w:color w:val="auto"/>
                <w:w w:val="95"/>
              </w:rPr>
              <w:t>0.27; 2.55; 2.05; 2.39;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040" w:type="dxa"/>
            <w:vAlign w:val="bottom"/>
            <w:gridSpan w:val="3"/>
            <w:vMerge w:val="restart"/>
          </w:tcPr>
          <w:p>
            <w:pPr>
              <w:spacing w:after="0" w:line="115" w:lineRule="exact"/>
              <w:rPr>
                <w:sz w:val="20"/>
                <w:szCs w:val="20"/>
                <w:color w:val="auto"/>
              </w:rPr>
            </w:pPr>
            <w:r>
              <w:rPr>
                <w:rFonts w:ascii="Times New Roman" w:cs="Times New Roman" w:eastAsia="Times New Roman" w:hAnsi="Times New Roman"/>
                <w:sz w:val="12"/>
                <w:szCs w:val="12"/>
                <w:color w:val="auto"/>
              </w:rPr>
              <w:t>Ganesh V Iyer</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vMerge w:val="restart"/>
          </w:tcPr>
          <w:p>
            <w:pPr>
              <w:jc w:val="right"/>
              <w:ind w:right="3"/>
              <w:spacing w:after="0" w:line="115" w:lineRule="exact"/>
              <w:rPr>
                <w:sz w:val="20"/>
                <w:szCs w:val="20"/>
                <w:color w:val="auto"/>
              </w:rPr>
            </w:pPr>
            <w:r>
              <w:rPr>
                <w:rFonts w:ascii="Times New Roman" w:cs="Times New Roman" w:eastAsia="Times New Roman" w:hAnsi="Times New Roman"/>
                <w:sz w:val="12"/>
                <w:szCs w:val="12"/>
                <w:color w:val="auto"/>
              </w:rPr>
              <w:t>N/A</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vMerge w:val="restart"/>
          </w:tcPr>
          <w:p>
            <w:pPr>
              <w:jc w:val="right"/>
              <w:spacing w:after="0" w:line="115" w:lineRule="exact"/>
              <w:rPr>
                <w:sz w:val="20"/>
                <w:szCs w:val="20"/>
                <w:color w:val="auto"/>
              </w:rPr>
            </w:pPr>
            <w:r>
              <w:rPr>
                <w:rFonts w:ascii="Times New Roman" w:cs="Times New Roman" w:eastAsia="Times New Roman" w:hAnsi="Times New Roman"/>
                <w:sz w:val="12"/>
                <w:szCs w:val="12"/>
                <w:color w:val="auto"/>
              </w:rPr>
              <w:t>From May 3, 2016 to</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gridSpan w:val="2"/>
            <w:vMerge w:val="restart"/>
          </w:tcPr>
          <w:p>
            <w:pPr>
              <w:jc w:val="right"/>
              <w:ind w:right="120"/>
              <w:spacing w:after="0" w:line="115" w:lineRule="exact"/>
              <w:rPr>
                <w:sz w:val="20"/>
                <w:szCs w:val="20"/>
                <w:color w:val="auto"/>
              </w:rPr>
            </w:pPr>
            <w:r>
              <w:rPr>
                <w:rFonts w:ascii="Times New Roman" w:cs="Times New Roman" w:eastAsia="Times New Roman" w:hAnsi="Times New Roman"/>
                <w:sz w:val="12"/>
                <w:szCs w:val="12"/>
                <w:color w:val="auto"/>
              </w:rPr>
              <w:t>From February 29, 2028 to</w:t>
            </w:r>
          </w:p>
        </w:tc>
        <w:tc>
          <w:tcPr>
            <w:tcW w:w="0" w:type="dxa"/>
            <w:vAlign w:val="bottom"/>
          </w:tcPr>
          <w:p>
            <w:pPr>
              <w:spacing w:after="0"/>
              <w:rPr>
                <w:sz w:val="1"/>
                <w:szCs w:val="1"/>
                <w:color w:val="auto"/>
              </w:rPr>
            </w:pPr>
          </w:p>
        </w:tc>
      </w:tr>
      <w:tr>
        <w:trPr>
          <w:trHeight w:val="28"/>
        </w:trPr>
        <w:tc>
          <w:tcPr>
            <w:tcW w:w="40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February 5, 2026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xml:space="preserve">December 31, 2030 </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2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02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Yu Long</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shd w:val="clear" w:color="auto" w:fill="CCEEFF"/>
          </w:tcPr>
          <w:p>
            <w:pPr>
              <w:jc w:val="right"/>
              <w:ind w:right="3"/>
              <w:spacing w:after="0" w:line="108" w:lineRule="exact"/>
              <w:rPr>
                <w:sz w:val="20"/>
                <w:szCs w:val="20"/>
                <w:color w:val="auto"/>
              </w:rPr>
            </w:pPr>
            <w:r>
              <w:rPr>
                <w:rFonts w:ascii="Times New Roman" w:cs="Times New Roman" w:eastAsia="Times New Roman" w:hAnsi="Times New Roman"/>
                <w:sz w:val="12"/>
                <w:szCs w:val="12"/>
                <w:color w:val="auto"/>
              </w:rPr>
              <w:t>N/A</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From July 12, 2021 to</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November 6, 2025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Yonggang Wen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ind w:right="3"/>
              <w:spacing w:after="0" w:line="108" w:lineRule="exact"/>
              <w:rPr>
                <w:sz w:val="20"/>
                <w:szCs w:val="20"/>
                <w:color w:val="auto"/>
              </w:rPr>
            </w:pPr>
            <w:r>
              <w:rPr>
                <w:rFonts w:ascii="Times New Roman" w:cs="Times New Roman" w:eastAsia="Times New Roman" w:hAnsi="Times New Roman"/>
                <w:sz w:val="12"/>
                <w:szCs w:val="12"/>
                <w:color w:val="auto"/>
              </w:rPr>
              <w:t>N/A</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From November 3, 2023 to</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November 6, 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Eddy Georges Skaf</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shd w:val="clear" w:color="auto" w:fill="CCEEFF"/>
          </w:tcPr>
          <w:p>
            <w:pPr>
              <w:jc w:val="right"/>
              <w:ind w:right="3"/>
              <w:spacing w:after="0" w:line="108" w:lineRule="exact"/>
              <w:rPr>
                <w:sz w:val="20"/>
                <w:szCs w:val="20"/>
                <w:color w:val="auto"/>
              </w:rPr>
            </w:pPr>
            <w:r>
              <w:rPr>
                <w:rFonts w:ascii="Times New Roman" w:cs="Times New Roman" w:eastAsia="Times New Roman" w:hAnsi="Times New Roman"/>
                <w:sz w:val="12"/>
                <w:szCs w:val="12"/>
                <w:color w:val="auto"/>
              </w:rPr>
              <w:t>N/A</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From February 7, 2024 to</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February 5, 2026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Nicholas Paul Collins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ind w:right="3"/>
              <w:spacing w:after="0" w:line="108" w:lineRule="exact"/>
              <w:rPr>
                <w:sz w:val="20"/>
                <w:szCs w:val="20"/>
                <w:color w:val="auto"/>
              </w:rPr>
            </w:pPr>
            <w:r>
              <w:rPr>
                <w:rFonts w:ascii="Times New Roman" w:cs="Times New Roman" w:eastAsia="Times New Roman" w:hAnsi="Times New Roman"/>
                <w:sz w:val="12"/>
                <w:szCs w:val="12"/>
                <w:color w:val="auto"/>
              </w:rPr>
              <w:t>N/A</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From February 7, 2024 to</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February 5, 2026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0"/>
                <w:szCs w:val="10"/>
                <w:color w:val="auto"/>
              </w:rPr>
              <w:t xml:space="preserve">281,056,504 </w:t>
            </w:r>
            <w:r>
              <w:rPr>
                <w:rFonts w:ascii="Times New Roman" w:cs="Times New Roman" w:eastAsia="Times New Roman" w:hAnsi="Times New Roman"/>
                <w:sz w:val="14"/>
                <w:szCs w:val="14"/>
                <w:color w:val="auto"/>
                <w:vertAlign w:val="superscript"/>
              </w:rPr>
              <w:t>(1)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w:t>
      </w:r>
    </w:p>
    <w:p>
      <w:pPr>
        <w:spacing w:after="0" w:line="73" w:lineRule="exact"/>
        <w:rPr>
          <w:sz w:val="20"/>
          <w:szCs w:val="20"/>
          <w:color w:val="auto"/>
        </w:rPr>
      </w:pPr>
    </w:p>
    <w:p>
      <w:pPr>
        <w:ind w:left="300" w:hanging="300"/>
        <w:spacing w:after="0"/>
        <w:tabs>
          <w:tab w:leader="none" w:pos="3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one percent of our total outstanding shares.</w:t>
      </w:r>
    </w:p>
    <w:p>
      <w:pPr>
        <w:spacing w:after="0" w:line="61" w:lineRule="exact"/>
        <w:rPr>
          <w:sz w:val="20"/>
          <w:szCs w:val="20"/>
          <w:color w:val="auto"/>
        </w:rPr>
      </w:pPr>
    </w:p>
    <w:p>
      <w:pPr>
        <w:ind w:left="300" w:right="20" w:hanging="300"/>
        <w:spacing w:after="0" w:line="253" w:lineRule="auto"/>
        <w:tabs>
          <w:tab w:leader="none" w:pos="3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248,454,460 restricted share units granted pursuant to the 2026 Share Incentive Plan, which consist of ten tranches. The vesting of each tranche is subject to the satisfaction of certain performance conditions.</w:t>
      </w:r>
    </w:p>
    <w:p>
      <w:pPr>
        <w:spacing w:after="0" w:line="93"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certain restricted share units that do not have expiration dates.</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As of March 31, 2026, non-executive officers and other grantees as a group held awards to purchase 54,790,046 Class A ordinary shares of our company. The exercise prices of the options outstanding as of March 31, 2026 ranged from US$0.1 to US$48.45 per share.</w:t>
      </w:r>
    </w:p>
    <w:p>
      <w:pPr>
        <w:spacing w:after="0" w:line="96" w:lineRule="exact"/>
        <w:rPr>
          <w:sz w:val="20"/>
          <w:szCs w:val="20"/>
          <w:color w:val="auto"/>
        </w:rPr>
      </w:pPr>
    </w:p>
    <w:p>
      <w:pPr>
        <w:ind w:left="580" w:hanging="580"/>
        <w:spacing w:after="0"/>
        <w:tabs>
          <w:tab w:leader="none" w:pos="58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Board Practices</w:t>
      </w:r>
    </w:p>
    <w:p>
      <w:pPr>
        <w:spacing w:after="0" w:line="174"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Board of Directors</w:t>
      </w:r>
    </w:p>
    <w:p>
      <w:pPr>
        <w:spacing w:after="0" w:line="191" w:lineRule="exact"/>
        <w:rPr>
          <w:sz w:val="20"/>
          <w:szCs w:val="20"/>
          <w:color w:val="auto"/>
        </w:rPr>
      </w:pPr>
    </w:p>
    <w:p>
      <w:pPr>
        <w:ind w:firstLine="594"/>
        <w:spacing w:after="0" w:line="269" w:lineRule="auto"/>
        <w:rPr>
          <w:sz w:val="20"/>
          <w:szCs w:val="20"/>
          <w:color w:val="auto"/>
        </w:rPr>
      </w:pPr>
      <w:r>
        <w:rPr>
          <w:rFonts w:ascii="Times New Roman" w:cs="Times New Roman" w:eastAsia="Times New Roman" w:hAnsi="Times New Roman"/>
          <w:sz w:val="16"/>
          <w:szCs w:val="16"/>
          <w:color w:val="auto"/>
        </w:rPr>
        <w:t>The board of directors of our company, or the board, consists of eight directors. A director is not required to hold any shares in our company by way of qualification. A director may vote with respect to any contract, proposed contract or arrangement in which he is interested provided</w:t>
      </w:r>
    </w:p>
    <w:p>
      <w:pPr>
        <w:spacing w:after="0" w:line="1" w:lineRule="exact"/>
        <w:rPr>
          <w:sz w:val="20"/>
          <w:szCs w:val="20"/>
          <w:color w:val="auto"/>
        </w:rPr>
      </w:pPr>
    </w:p>
    <w:p>
      <w:pPr>
        <w:jc w:val="both"/>
        <w:spacing w:after="0" w:line="262" w:lineRule="auto"/>
        <w:tabs>
          <w:tab w:leader="none" w:pos="22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director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our company to borrow money, mortgage our company’s undertaking,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17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have established three committees under the board: an audit committee, a compensation committee and a nominating and ESG committee. We have adopted a charter (as amended from time to time) for each of the three committees. Each committee’s members and functions are described below.</w:t>
      </w:r>
    </w:p>
    <w:p>
      <w:pPr>
        <w:spacing w:after="0" w:line="126"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i w:val="1"/>
          <w:iCs w:val="1"/>
          <w:color w:val="auto"/>
        </w:rPr>
        <w:t>Audit Committee</w:t>
      </w:r>
      <w:r>
        <w:rPr>
          <w:rFonts w:ascii="Times New Roman" w:cs="Times New Roman" w:eastAsia="Times New Roman" w:hAnsi="Times New Roman"/>
          <w:sz w:val="16"/>
          <w:szCs w:val="16"/>
          <w:color w:val="auto"/>
        </w:rPr>
        <w:t>. Our audit committee consists of Denny Ting Bun Lee, Hai Wu and Yu Long. Denny Ting Bun Lee is the chairman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audit committee. We have determined that Denny Ting Bun Lee, Hai Wu and Yu Long satisfy the “independence” requirements of Section 303A of the Corporate Governance Rules of the New York Stock Exchange and Rule 10A-3 under the Exchange Act. We have determined that Denny Ting Bun Lee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22" w:lineRule="exact"/>
        <w:rPr>
          <w:sz w:val="20"/>
          <w:szCs w:val="20"/>
          <w:color w:val="auto"/>
        </w:rPr>
      </w:pPr>
    </w:p>
    <w:p>
      <w:pPr>
        <w:ind w:left="920" w:hanging="301"/>
        <w:spacing w:after="0" w:line="298" w:lineRule="auto"/>
        <w:tabs>
          <w:tab w:leader="none" w:pos="9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the independent auditors and pre-approving all auditing and non-auditing services permitted to be performed by the independent auditors;</w:t>
      </w:r>
    </w:p>
    <w:p>
      <w:pPr>
        <w:spacing w:after="0" w:line="100"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auditors any audit problems or difficulties and management’s response;</w:t>
      </w:r>
    </w:p>
    <w:p>
      <w:pPr>
        <w:spacing w:after="0" w:line="18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annual audited financial statements with management and the independent auditors;</w:t>
      </w:r>
    </w:p>
    <w:p>
      <w:pPr>
        <w:spacing w:after="0" w:line="174"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our accounting and internal control policies and procedures and any steps taken to monitor and control major financial risk exposures;</w:t>
      </w:r>
    </w:p>
    <w:p>
      <w:pPr>
        <w:spacing w:after="0" w:line="100"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all proposed related party transactions;</w:t>
      </w:r>
    </w:p>
    <w:p>
      <w:pPr>
        <w:spacing w:after="0" w:line="18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separately and periodically with management and the independent auditors; and</w:t>
      </w:r>
    </w:p>
    <w:p>
      <w:pPr>
        <w:spacing w:after="0" w:line="174"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compliance with our code of business conduct and ethics, including reviewing the adequacy and effectiveness of our procedures to ensure proper compliance.</w:t>
      </w:r>
    </w:p>
    <w:p>
      <w:pPr>
        <w:spacing w:after="0" w:line="98"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i w:val="1"/>
          <w:iCs w:val="1"/>
          <w:color w:val="auto"/>
        </w:rPr>
        <w:t>Compensation Committee</w:t>
      </w:r>
      <w:r>
        <w:rPr>
          <w:rFonts w:ascii="Times New Roman" w:cs="Times New Roman" w:eastAsia="Times New Roman" w:hAnsi="Times New Roman"/>
          <w:sz w:val="16"/>
          <w:szCs w:val="16"/>
          <w:color w:val="auto"/>
        </w:rPr>
        <w:t>. Our compensation committee consists of Hai Wu, Denny Ting Bun Lee and Bin Li. Hai Wu is the chairman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compensation committee. We have determined that Hai Wu and Denny Ting Bun Lee satisfy the “independence” requirements of Section 303A of the Corporate Governance Rules of the New York Stock Exchange.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34" w:lineRule="exact"/>
        <w:rPr>
          <w:sz w:val="20"/>
          <w:szCs w:val="20"/>
          <w:color w:val="auto"/>
        </w:rPr>
      </w:pPr>
    </w:p>
    <w:p>
      <w:pPr>
        <w:ind w:left="920" w:hanging="301"/>
        <w:spacing w:after="0" w:line="314" w:lineRule="auto"/>
        <w:tabs>
          <w:tab w:leader="none" w:pos="9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recommending to the board for its approval, the compensation for our chief executive officer and other executive officers;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920" w:hanging="301"/>
        <w:spacing w:after="0"/>
        <w:tabs>
          <w:tab w:leader="none" w:pos="9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for determination with respect to the compensation of our non-employee directors;</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periodically and approving any incentive compensation or equity plans, programs or similar arrangements; and</w:t>
      </w:r>
    </w:p>
    <w:p>
      <w:pPr>
        <w:spacing w:after="0" w:line="224" w:lineRule="exact"/>
        <w:rPr>
          <w:rFonts w:ascii="Times New Roman" w:cs="Times New Roman" w:eastAsia="Times New Roman" w:hAnsi="Times New Roman"/>
          <w:sz w:val="16"/>
          <w:szCs w:val="16"/>
          <w:color w:val="auto"/>
        </w:rPr>
      </w:pPr>
    </w:p>
    <w:p>
      <w:pPr>
        <w:ind w:left="920" w:right="340" w:hanging="301"/>
        <w:spacing w:after="0" w:line="314" w:lineRule="auto"/>
        <w:tabs>
          <w:tab w:leader="none" w:pos="9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any compensation consultant, legal counsel or other adviser only after taking into consideration all factors to that person’s independence from management.</w:t>
      </w:r>
    </w:p>
    <w:p>
      <w:pPr>
        <w:spacing w:after="0" w:line="135"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i w:val="1"/>
          <w:iCs w:val="1"/>
          <w:color w:val="auto"/>
        </w:rPr>
        <w:t>Nominating and ESG Committee</w:t>
      </w:r>
      <w:r>
        <w:rPr>
          <w:rFonts w:ascii="Times New Roman" w:cs="Times New Roman" w:eastAsia="Times New Roman" w:hAnsi="Times New Roman"/>
          <w:sz w:val="16"/>
          <w:szCs w:val="16"/>
          <w:color w:val="auto"/>
        </w:rPr>
        <w:t>. Our nominating and ESG committee consists of Yu Long, Hai Wu and Denny Ting Bun Lee. Yu Long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chairperson of our nominating and ESG committee. Hai Wu, Denny Ting Bun Lee and Yu Long satisfy the “independence” requirements of Section 303A of the Corporate Governance Rules of the New York Stock Exchange. The nominating and ESG committee assists the board in selecting individuals qualified to become our directors and in determining the composition of the board and its committees. The nominating and ESG committee is responsible for, among other things:</w:t>
      </w:r>
    </w:p>
    <w:p>
      <w:pPr>
        <w:spacing w:after="0" w:line="159" w:lineRule="exact"/>
        <w:rPr>
          <w:sz w:val="20"/>
          <w:szCs w:val="20"/>
          <w:color w:val="auto"/>
        </w:rPr>
      </w:pPr>
    </w:p>
    <w:p>
      <w:pPr>
        <w:ind w:left="920" w:hanging="301"/>
        <w:spacing w:after="0"/>
        <w:tabs>
          <w:tab w:leader="none" w:pos="9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and recommending to the board nominees for election by the shareholders or appointment by the board;</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annually with the board the current composition of the board with regards to characteristics such as independence, knowledge, skills, experience and diversity;</w:t>
      </w:r>
    </w:p>
    <w:p>
      <w:pPr>
        <w:spacing w:after="0" w:line="137" w:lineRule="exact"/>
        <w:rPr>
          <w:rFonts w:ascii="Times New Roman" w:cs="Times New Roman" w:eastAsia="Times New Roman" w:hAnsi="Times New Roman"/>
          <w:sz w:val="16"/>
          <w:szCs w:val="16"/>
          <w:color w:val="auto"/>
        </w:rPr>
      </w:pPr>
    </w:p>
    <w:p>
      <w:pPr>
        <w:ind w:left="920" w:hanging="301"/>
        <w:spacing w:after="0" w:line="269" w:lineRule="auto"/>
        <w:tabs>
          <w:tab w:leader="none" w:pos="9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recommendations on the frequency and structure of board meetings and monitoring the functioning of the committees of the board;</w:t>
      </w:r>
    </w:p>
    <w:p>
      <w:pPr>
        <w:spacing w:after="0" w:line="387"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5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advice on ESG matters to management, and discussing with management and approving, or recommending to the board for approval, our company’s initiatives, objectives, strategies and targets for ESG matters; and</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monitoring our company’s progress toward achieving approved ESG objectives and targets.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Duties of Directors</w:t>
      </w:r>
    </w:p>
    <w:p>
      <w:pPr>
        <w:spacing w:after="0" w:line="21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Under Cayman Islands law, our directors owe fiduciary duties to our company, including a duty to act honestly, and a duty to act in good faith. The directors must act bona fide in what they consider to be in our best interests. Our directors must also exercise their powers only for a proper purpose. Our directors also have a duty to act with skills they actually possess and exercise the care and diligence that would be displayed by a reasonable director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thirteenth amended and restated memorandum and articles of association, as amended and restated from time to time, and the class rights vested thereunder in the holders of the shares. Our directors owe their fiduciary duties to our company and not to our company’s individual shareholders, and it is our company which has the right to seek damages if a duty owed by our directors is breached. In certain limited exceptional circumstances, a shareholder may have the right to seek damages in our name if a duty owed by our directors is breached.</w:t>
      </w:r>
    </w:p>
    <w:p>
      <w:pPr>
        <w:spacing w:after="0" w:line="368"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Our board of directors has all the powers necessary for managing, and for directing and supervising, our business affairs. The functions and powers of our board of directors include, among others:</w:t>
      </w:r>
    </w:p>
    <w:p>
      <w:pPr>
        <w:spacing w:after="0" w:line="137" w:lineRule="exact"/>
        <w:rPr>
          <w:sz w:val="20"/>
          <w:szCs w:val="20"/>
          <w:color w:val="auto"/>
        </w:rPr>
      </w:pPr>
    </w:p>
    <w:p>
      <w:pPr>
        <w:ind w:left="920" w:hanging="301"/>
        <w:spacing w:after="0"/>
        <w:tabs>
          <w:tab w:leader="none" w:pos="9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convening shareholders’ annual and extraordinary general meetings and reporting its work to shareholders at such meetings;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declaring dividends and other distributions;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920" w:hanging="301"/>
        <w:spacing w:after="0"/>
        <w:tabs>
          <w:tab w:leader="none" w:pos="9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officers and determining the term of office of the officers;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the borrowing powers of our company and mortgaging the property of our company;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transfer of shares in our company, including the registration of such shares in our share register.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Terms of Directors and Officers</w:t>
      </w:r>
    </w:p>
    <w:p>
      <w:pPr>
        <w:spacing w:after="0" w:line="216" w:lineRule="exact"/>
        <w:rPr>
          <w:sz w:val="20"/>
          <w:szCs w:val="20"/>
          <w:color w:val="auto"/>
        </w:rPr>
      </w:pPr>
    </w:p>
    <w:p>
      <w:pPr>
        <w:jc w:val="both"/>
        <w:ind w:right="20" w:firstLine="594"/>
        <w:spacing w:after="0" w:line="266" w:lineRule="auto"/>
        <w:rPr>
          <w:sz w:val="20"/>
          <w:szCs w:val="20"/>
          <w:color w:val="auto"/>
        </w:rPr>
      </w:pPr>
      <w:r>
        <w:rPr>
          <w:rFonts w:ascii="Times New Roman" w:cs="Times New Roman" w:eastAsia="Times New Roman" w:hAnsi="Times New Roman"/>
          <w:sz w:val="16"/>
          <w:szCs w:val="16"/>
          <w:color w:val="auto"/>
        </w:rPr>
        <w:t>Our directors are not subject to a term of office (unless there is any written agreement between our company and such director) and hold office until such time as they are removed from office by ordinary resolution of the shareholders or by the board pursuant to our thirteenth amended and restated memorandum and articles of association. The office of a director shall be vacated if, among other things, the director (i) becomes bankrupt or makes any arrangement or composition with his creditors; (ii) resigns his office by notice in writing to our company; or (iii) dies or is found to be or becomes of unsound mind. In addition, for so long as our Class A ordinary shares are listed on the Hong Kong Stock Exchange, our independent directors are subject to retirement by rotation at least once every three years and eligible for re-election at our annual general meeting.</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officers are appointed by and serve at the discretion of the board of directors, and may be removed by our board of directors.</w:t>
      </w:r>
    </w:p>
    <w:p>
      <w:pPr>
        <w:spacing w:after="0" w:line="208" w:lineRule="exact"/>
        <w:rPr>
          <w:sz w:val="20"/>
          <w:szCs w:val="20"/>
          <w:color w:val="auto"/>
        </w:rPr>
      </w:pPr>
    </w:p>
    <w:p>
      <w:pPr>
        <w:ind w:left="580" w:hanging="580"/>
        <w:spacing w:after="0"/>
        <w:tabs>
          <w:tab w:leader="none" w:pos="58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Employees</w:t>
      </w:r>
    </w:p>
    <w:p>
      <w:pPr>
        <w:spacing w:after="0" w:line="216" w:lineRule="exact"/>
        <w:rPr>
          <w:sz w:val="20"/>
          <w:szCs w:val="20"/>
          <w:color w:val="auto"/>
        </w:rPr>
      </w:pPr>
    </w:p>
    <w:p>
      <w:pPr>
        <w:jc w:val="both"/>
        <w:ind w:right="20" w:firstLine="594"/>
        <w:spacing w:after="0" w:line="298" w:lineRule="auto"/>
        <w:rPr>
          <w:sz w:val="20"/>
          <w:szCs w:val="20"/>
          <w:color w:val="auto"/>
        </w:rPr>
      </w:pPr>
      <w:r>
        <w:rPr>
          <w:rFonts w:ascii="Times New Roman" w:cs="Times New Roman" w:eastAsia="Times New Roman" w:hAnsi="Times New Roman"/>
          <w:sz w:val="16"/>
          <w:szCs w:val="16"/>
          <w:color w:val="auto"/>
        </w:rPr>
        <w:t>As of December 31, 2023, 2024 and 2025, we had 32,820, 45,635 and 35,032 full-time employees. The following table sets forth the numbers of our employees categorized by function as of December 31,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60" w:type="dxa"/>
            <w:vAlign w:val="bottom"/>
            <w:tcBorders>
              <w:bottom w:val="single" w:sz="8" w:color="CCEEFF"/>
            </w:tcBorders>
          </w:tcPr>
          <w:p>
            <w:pPr>
              <w:ind w:left="7880"/>
              <w:spacing w:after="0"/>
              <w:rPr>
                <w:sz w:val="20"/>
                <w:szCs w:val="20"/>
                <w:color w:val="auto"/>
              </w:rPr>
            </w:pPr>
            <w:r>
              <w:rPr>
                <w:rFonts w:ascii="Times New Roman" w:cs="Times New Roman" w:eastAsia="Times New Roman" w:hAnsi="Times New Roman"/>
                <w:sz w:val="13"/>
                <w:szCs w:val="13"/>
                <w:b w:val="1"/>
                <w:bCs w:val="1"/>
                <w:color w:val="auto"/>
              </w:rPr>
              <w:t>​​​</w:t>
            </w:r>
          </w:p>
        </w:tc>
        <w:tc>
          <w:tcPr>
            <w:tcW w:w="18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r>
      <w:tr>
        <w:trPr>
          <w:trHeight w:val="19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User experience (sales and marketing and service)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16,885</w:t>
            </w:r>
          </w:p>
        </w:tc>
      </w:tr>
      <w:tr>
        <w:trPr>
          <w:trHeight w:val="198"/>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Product and software development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r>
      <w:tr>
        <w:trPr>
          <w:trHeight w:val="19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9,653</w:t>
            </w:r>
          </w:p>
        </w:tc>
      </w:tr>
      <w:tr>
        <w:trPr>
          <w:trHeight w:val="198"/>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General administration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r>
      <w:tr>
        <w:trPr>
          <w:trHeight w:val="19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number of employees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35,032</w:t>
            </w:r>
          </w:p>
        </w:tc>
      </w:tr>
    </w:tbl>
    <w:p>
      <w:pPr>
        <w:spacing w:after="0" w:line="182" w:lineRule="exact"/>
        <w:rPr>
          <w:sz w:val="20"/>
          <w:szCs w:val="20"/>
          <w:color w:val="auto"/>
        </w:rPr>
      </w:pPr>
    </w:p>
    <w:p>
      <w:pPr>
        <w:jc w:val="both"/>
        <w:ind w:right="20" w:firstLine="594"/>
        <w:spacing w:after="0" w:line="298" w:lineRule="auto"/>
        <w:rPr>
          <w:sz w:val="20"/>
          <w:szCs w:val="20"/>
          <w:color w:val="auto"/>
        </w:rPr>
      </w:pPr>
      <w:r>
        <w:rPr>
          <w:rFonts w:ascii="Times New Roman" w:cs="Times New Roman" w:eastAsia="Times New Roman" w:hAnsi="Times New Roman"/>
          <w:sz w:val="16"/>
          <w:szCs w:val="16"/>
          <w:color w:val="auto"/>
        </w:rPr>
        <w:t>Our employees have set up labor unions in China according to the related Chinese labor law. To date, we have not experienced any labor strike, and we consider our relationship with our employees to be good.</w:t>
      </w:r>
    </w:p>
    <w:p>
      <w:pPr>
        <w:spacing w:after="0" w:line="137" w:lineRule="exact"/>
        <w:rPr>
          <w:sz w:val="20"/>
          <w:szCs w:val="20"/>
          <w:color w:val="auto"/>
        </w:rPr>
      </w:pPr>
    </w:p>
    <w:p>
      <w:pPr>
        <w:jc w:val="both"/>
        <w:ind w:right="20" w:firstLine="594"/>
        <w:spacing w:after="0" w:line="278" w:lineRule="auto"/>
        <w:rPr>
          <w:sz w:val="20"/>
          <w:szCs w:val="20"/>
          <w:color w:val="auto"/>
        </w:rPr>
      </w:pPr>
      <w:r>
        <w:rPr>
          <w:rFonts w:ascii="Times New Roman" w:cs="Times New Roman" w:eastAsia="Times New Roman" w:hAnsi="Times New Roman"/>
          <w:sz w:val="16"/>
          <w:szCs w:val="16"/>
          <w:color w:val="auto"/>
        </w:rPr>
        <w:t>We provide competitive level of salary and other employee benefits to our employees. Every employee beneficially owns shares in our company. We provide employees with a wide range of benefits, including but not limited to employees’ commercial insurance, physical examinations, vocational training and holiday benefits. We aim to create a warm, safe and secure working environment for everyone.</w:t>
      </w:r>
    </w:p>
    <w:p>
      <w:pPr>
        <w:spacing w:after="0" w:line="149" w:lineRule="exact"/>
        <w:rPr>
          <w:sz w:val="20"/>
          <w:szCs w:val="20"/>
          <w:color w:val="auto"/>
        </w:rPr>
      </w:pPr>
    </w:p>
    <w:p>
      <w:pPr>
        <w:ind w:left="560" w:hanging="560"/>
        <w:spacing w:after="0"/>
        <w:tabs>
          <w:tab w:leader="none" w:pos="56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Ownership</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Except as specifically noted, the following table sets forth information with respect to the beneficial ownership of our ordinary shares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2026 with respect to:</w:t>
      </w:r>
    </w:p>
    <w:p>
      <w:pPr>
        <w:spacing w:after="0" w:line="195" w:lineRule="exact"/>
        <w:rPr>
          <w:sz w:val="20"/>
          <w:szCs w:val="20"/>
          <w:color w:val="auto"/>
        </w:rPr>
      </w:pPr>
    </w:p>
    <w:p>
      <w:pPr>
        <w:ind w:left="920" w:hanging="301"/>
        <w:spacing w:after="0"/>
        <w:tabs>
          <w:tab w:leader="none" w:pos="9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to us to own beneficially more than 5% of our ordinary shares.</w:t>
      </w:r>
    </w:p>
    <w:p>
      <w:pPr>
        <w:spacing w:after="0" w:line="212" w:lineRule="exact"/>
        <w:rPr>
          <w:sz w:val="20"/>
          <w:szCs w:val="20"/>
          <w:color w:val="auto"/>
        </w:rPr>
      </w:pPr>
    </w:p>
    <w:p>
      <w:pPr>
        <w:jc w:val="both"/>
        <w:ind w:right="20" w:firstLine="594"/>
        <w:spacing w:after="0" w:line="278" w:lineRule="auto"/>
        <w:rPr>
          <w:sz w:val="20"/>
          <w:szCs w:val="20"/>
          <w:color w:val="auto"/>
        </w:rPr>
      </w:pPr>
      <w:r>
        <w:rPr>
          <w:rFonts w:ascii="Times New Roman" w:cs="Times New Roman" w:eastAsia="Times New Roman" w:hAnsi="Times New Roman"/>
          <w:sz w:val="16"/>
          <w:szCs w:val="16"/>
          <w:color w:val="auto"/>
        </w:rPr>
        <w:t>The calculations in the table below are based on 2,505,667,022 ordinary shares outstanding as of March 31, 2026, comprising of 2,357,167,022 Class A ordinary shares (excluding 23,025,119 Class A ordinary shares issued and reserved for future issuance upon the exercising or vesting of awards granted under our stock incentive plans) and 148,500,000 Class C ordinary shares.</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right="20" w:firstLine="594"/>
        <w:spacing w:after="0" w:line="271"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620" w:type="dxa"/>
            <w:vAlign w:val="bottom"/>
            <w:gridSpan w:val="2"/>
          </w:tcPr>
          <w:p>
            <w:pPr>
              <w:ind w:left="24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80" w:type="dxa"/>
            <w:vAlign w:val="bottom"/>
            <w:gridSpan w:val="2"/>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81"/>
              <w:spacing w:after="0" w:line="136"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41"/>
              <w:spacing w:after="0" w:line="136"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41"/>
              <w:spacing w:after="0" w:line="136"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14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61"/>
              <w:spacing w:after="0" w:line="13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1"/>
              <w:spacing w:after="0" w:line="13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1"/>
              <w:spacing w:after="0" w:line="13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61"/>
              <w:spacing w:after="0" w:line="134"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61"/>
              <w:spacing w:after="0" w:line="134"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1"/>
              <w:spacing w:after="0" w:line="134"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4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beneficial</w:t>
            </w:r>
          </w:p>
        </w:tc>
        <w:tc>
          <w:tcPr>
            <w:tcW w:w="14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voting</w:t>
            </w:r>
          </w:p>
        </w:tc>
        <w:tc>
          <w:tcPr>
            <w:tcW w:w="0" w:type="dxa"/>
            <w:vAlign w:val="bottom"/>
          </w:tcPr>
          <w:p>
            <w:pPr>
              <w:spacing w:after="0"/>
              <w:rPr>
                <w:sz w:val="1"/>
                <w:szCs w:val="1"/>
                <w:color w:val="auto"/>
              </w:rPr>
            </w:pPr>
          </w:p>
        </w:tc>
      </w:tr>
      <w:tr>
        <w:trPr>
          <w:trHeight w:val="161"/>
        </w:trPr>
        <w:tc>
          <w:tcPr>
            <w:tcW w:w="2480" w:type="dxa"/>
            <w:vAlign w:val="bottom"/>
            <w:tcBorders>
              <w:bottom w:val="single" w:sz="8" w:color="CCEEFF"/>
            </w:tcBorders>
          </w:tcPr>
          <w:p>
            <w:pPr>
              <w:spacing w:after="0"/>
              <w:rPr>
                <w:sz w:val="13"/>
                <w:szCs w:val="13"/>
                <w:color w:val="auto"/>
              </w:rPr>
            </w:pPr>
          </w:p>
        </w:tc>
        <w:tc>
          <w:tcPr>
            <w:tcW w:w="2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owned</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owned</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owned</w:t>
            </w:r>
          </w:p>
        </w:tc>
        <w:tc>
          <w:tcPr>
            <w:tcW w:w="1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51"/>
              <w:spacing w:after="0" w:line="161" w:lineRule="exact"/>
              <w:rPr>
                <w:sz w:val="20"/>
                <w:szCs w:val="20"/>
                <w:color w:val="auto"/>
              </w:rPr>
            </w:pPr>
            <w:r>
              <w:rPr>
                <w:rFonts w:ascii="Times New Roman" w:cs="Times New Roman" w:eastAsia="Times New Roman" w:hAnsi="Times New Roman"/>
                <w:sz w:val="13"/>
                <w:szCs w:val="13"/>
                <w:b w:val="1"/>
                <w:bCs w:val="1"/>
                <w:color w:val="auto"/>
              </w:rPr>
              <w:t>power</w:t>
            </w:r>
            <w:r>
              <w:rPr>
                <w:rFonts w:ascii="Times New Roman" w:cs="Times New Roman" w:eastAsia="Times New Roman" w:hAnsi="Times New Roman"/>
                <w:sz w:val="18"/>
                <w:szCs w:val="18"/>
                <w:b w:val="1"/>
                <w:bCs w:val="1"/>
                <w:color w:val="auto"/>
                <w:vertAlign w:val="superscript"/>
              </w:rPr>
              <w:t>†</w:t>
            </w:r>
          </w:p>
        </w:tc>
        <w:tc>
          <w:tcPr>
            <w:tcW w:w="0" w:type="dxa"/>
            <w:vAlign w:val="bottom"/>
          </w:tcPr>
          <w:p>
            <w:pPr>
              <w:spacing w:after="0"/>
              <w:rPr>
                <w:sz w:val="1"/>
                <w:szCs w:val="1"/>
                <w:color w:val="auto"/>
              </w:rPr>
            </w:pPr>
          </w:p>
        </w:tc>
      </w:tr>
      <w:tr>
        <w:trPr>
          <w:trHeight w:val="190"/>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5100" w:type="dxa"/>
            <w:vAlign w:val="bottom"/>
            <w:gridSpan w:val="3"/>
          </w:tcPr>
          <w:p>
            <w:pPr>
              <w:spacing w:after="0" w:line="198" w:lineRule="exact"/>
              <w:rPr>
                <w:sz w:val="20"/>
                <w:szCs w:val="20"/>
                <w:color w:val="auto"/>
              </w:rPr>
            </w:pPr>
            <w:r>
              <w:rPr>
                <w:rFonts w:ascii="Times New Roman" w:cs="Times New Roman" w:eastAsia="Times New Roman" w:hAnsi="Times New Roman"/>
                <w:sz w:val="15"/>
                <w:szCs w:val="15"/>
                <w:color w:val="auto"/>
              </w:rPr>
              <w:t>Bin Li</w:t>
            </w:r>
            <w:r>
              <w:rPr>
                <w:rFonts w:ascii="Times New Roman" w:cs="Times New Roman" w:eastAsia="Times New Roman" w:hAnsi="Times New Roman"/>
                <w:sz w:val="22"/>
                <w:szCs w:val="22"/>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30,475,479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148,500,000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178,975,479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198"/>
        </w:trPr>
        <w:tc>
          <w:tcPr>
            <w:tcW w:w="51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Lihong Qin</w:t>
            </w:r>
            <w:r>
              <w:rPr>
                <w:rFonts w:ascii="Times New Roman" w:cs="Times New Roman" w:eastAsia="Times New Roman" w:hAnsi="Times New Roman"/>
                <w:sz w:val="22"/>
                <w:szCs w:val="22"/>
                <w:color w:val="auto"/>
                <w:vertAlign w:val="superscript"/>
              </w:rPr>
              <w:t>(2)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13,968,262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13,968,262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98"/>
        </w:trPr>
        <w:tc>
          <w:tcPr>
            <w:tcW w:w="5100" w:type="dxa"/>
            <w:vAlign w:val="bottom"/>
            <w:gridSpan w:val="3"/>
          </w:tcPr>
          <w:p>
            <w:pPr>
              <w:spacing w:after="0" w:line="198" w:lineRule="exact"/>
              <w:rPr>
                <w:sz w:val="20"/>
                <w:szCs w:val="20"/>
                <w:color w:val="auto"/>
              </w:rPr>
            </w:pPr>
            <w:r>
              <w:rPr>
                <w:rFonts w:ascii="Times New Roman" w:cs="Times New Roman" w:eastAsia="Times New Roman" w:hAnsi="Times New Roman"/>
                <w:sz w:val="15"/>
                <w:szCs w:val="15"/>
                <w:color w:val="auto"/>
              </w:rPr>
              <w:t>Feng Shen</w:t>
            </w:r>
            <w:r>
              <w:rPr>
                <w:rFonts w:ascii="Times New Roman" w:cs="Times New Roman" w:eastAsia="Times New Roman" w:hAnsi="Times New Roman"/>
                <w:sz w:val="22"/>
                <w:szCs w:val="22"/>
                <w:color w:val="auto"/>
                <w:vertAlign w:val="superscript"/>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1,562,947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1,562,947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8"/>
        </w:trPr>
        <w:tc>
          <w:tcPr>
            <w:tcW w:w="51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Xin Zhou</w:t>
            </w:r>
            <w:r>
              <w:rPr>
                <w:rFonts w:ascii="Times New Roman" w:cs="Times New Roman" w:eastAsia="Times New Roman" w:hAnsi="Times New Roman"/>
                <w:sz w:val="22"/>
                <w:szCs w:val="22"/>
                <w:color w:val="auto"/>
                <w:vertAlign w:val="superscript"/>
              </w:rPr>
              <w:t>(4)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1,693,167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1,693,167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8"/>
        </w:trPr>
        <w:tc>
          <w:tcPr>
            <w:tcW w:w="5100" w:type="dxa"/>
            <w:vAlign w:val="bottom"/>
            <w:gridSpan w:val="3"/>
          </w:tcPr>
          <w:p>
            <w:pPr>
              <w:spacing w:after="0" w:line="198" w:lineRule="exact"/>
              <w:rPr>
                <w:sz w:val="20"/>
                <w:szCs w:val="20"/>
                <w:color w:val="auto"/>
              </w:rPr>
            </w:pPr>
            <w:r>
              <w:rPr>
                <w:rFonts w:ascii="Times New Roman" w:cs="Times New Roman" w:eastAsia="Times New Roman" w:hAnsi="Times New Roman"/>
                <w:sz w:val="15"/>
                <w:szCs w:val="15"/>
                <w:color w:val="auto"/>
              </w:rPr>
              <w:t>Yu Qu</w:t>
            </w:r>
            <w:r>
              <w:rPr>
                <w:rFonts w:ascii="Times New Roman" w:cs="Times New Roman" w:eastAsia="Times New Roman" w:hAnsi="Times New Roman"/>
                <w:sz w:val="22"/>
                <w:szCs w:val="22"/>
                <w:color w:val="auto"/>
                <w:vertAlign w:val="superscript"/>
              </w:rPr>
              <w:t>(5)</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1,151,673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1,151,673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8"/>
        </w:trPr>
        <w:tc>
          <w:tcPr>
            <w:tcW w:w="51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Ganesh V. Iyer</w:t>
            </w:r>
            <w:r>
              <w:rPr>
                <w:rFonts w:ascii="Times New Roman" w:cs="Times New Roman" w:eastAsia="Times New Roman" w:hAnsi="Times New Roman"/>
                <w:sz w:val="22"/>
                <w:szCs w:val="22"/>
                <w:color w:val="auto"/>
                <w:vertAlign w:val="superscript"/>
              </w:rPr>
              <w:t>(6)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1,215,762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1,215,762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8"/>
        </w:trPr>
        <w:tc>
          <w:tcPr>
            <w:tcW w:w="5100" w:type="dxa"/>
            <w:vAlign w:val="bottom"/>
            <w:gridSpan w:val="3"/>
          </w:tcPr>
          <w:p>
            <w:pPr>
              <w:spacing w:after="0" w:line="198" w:lineRule="exact"/>
              <w:rPr>
                <w:sz w:val="20"/>
                <w:szCs w:val="20"/>
                <w:color w:val="auto"/>
              </w:rPr>
            </w:pPr>
            <w:r>
              <w:rPr>
                <w:rFonts w:ascii="Times New Roman" w:cs="Times New Roman" w:eastAsia="Times New Roman" w:hAnsi="Times New Roman"/>
                <w:sz w:val="15"/>
                <w:szCs w:val="15"/>
                <w:color w:val="auto"/>
              </w:rPr>
              <w:t>Hai Wu</w:t>
            </w:r>
            <w:r>
              <w:rPr>
                <w:rFonts w:ascii="Times New Roman" w:cs="Times New Roman" w:eastAsia="Times New Roman" w:hAnsi="Times New Roman"/>
                <w:sz w:val="22"/>
                <w:szCs w:val="22"/>
                <w:color w:val="auto"/>
                <w:vertAlign w:val="superscript"/>
              </w:rPr>
              <w:t>(7)</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8"/>
        </w:trPr>
        <w:tc>
          <w:tcPr>
            <w:tcW w:w="51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Denny Ting Bun Lee</w:t>
            </w:r>
            <w:r>
              <w:rPr>
                <w:rFonts w:ascii="Times New Roman" w:cs="Times New Roman" w:eastAsia="Times New Roman" w:hAnsi="Times New Roman"/>
                <w:sz w:val="22"/>
                <w:szCs w:val="22"/>
                <w:color w:val="auto"/>
                <w:vertAlign w:val="superscript"/>
              </w:rPr>
              <w:t>(8)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360,765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8"/>
        </w:trPr>
        <w:tc>
          <w:tcPr>
            <w:tcW w:w="5100" w:type="dxa"/>
            <w:vAlign w:val="bottom"/>
            <w:gridSpan w:val="3"/>
          </w:tcPr>
          <w:p>
            <w:pPr>
              <w:spacing w:after="0" w:line="198" w:lineRule="exact"/>
              <w:rPr>
                <w:sz w:val="20"/>
                <w:szCs w:val="20"/>
                <w:color w:val="auto"/>
              </w:rPr>
            </w:pPr>
            <w:r>
              <w:rPr>
                <w:rFonts w:ascii="Times New Roman" w:cs="Times New Roman" w:eastAsia="Times New Roman" w:hAnsi="Times New Roman"/>
                <w:sz w:val="15"/>
                <w:szCs w:val="15"/>
                <w:color w:val="auto"/>
              </w:rPr>
              <w:t>Yu Long</w:t>
            </w:r>
            <w:r>
              <w:rPr>
                <w:rFonts w:ascii="Times New Roman" w:cs="Times New Roman" w:eastAsia="Times New Roman" w:hAnsi="Times New Roman"/>
                <w:sz w:val="22"/>
                <w:szCs w:val="22"/>
                <w:color w:val="auto"/>
                <w:vertAlign w:val="superscript"/>
              </w:rPr>
              <w:t>(9)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8"/>
        </w:trPr>
        <w:tc>
          <w:tcPr>
            <w:tcW w:w="51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Yonggang Wen</w:t>
            </w:r>
            <w:r>
              <w:rPr>
                <w:rFonts w:ascii="Times New Roman" w:cs="Times New Roman" w:eastAsia="Times New Roman" w:hAnsi="Times New Roman"/>
                <w:sz w:val="22"/>
                <w:szCs w:val="22"/>
                <w:color w:val="auto"/>
                <w:vertAlign w:val="superscript"/>
              </w:rPr>
              <w:t>(10)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8"/>
        </w:trPr>
        <w:tc>
          <w:tcPr>
            <w:tcW w:w="5100" w:type="dxa"/>
            <w:vAlign w:val="bottom"/>
            <w:gridSpan w:val="3"/>
          </w:tcPr>
          <w:p>
            <w:pPr>
              <w:spacing w:after="0" w:line="198" w:lineRule="exact"/>
              <w:rPr>
                <w:sz w:val="20"/>
                <w:szCs w:val="20"/>
                <w:color w:val="auto"/>
              </w:rPr>
            </w:pPr>
            <w:r>
              <w:rPr>
                <w:rFonts w:ascii="Times New Roman" w:cs="Times New Roman" w:eastAsia="Times New Roman" w:hAnsi="Times New Roman"/>
                <w:sz w:val="15"/>
                <w:szCs w:val="15"/>
                <w:color w:val="auto"/>
              </w:rPr>
              <w:t>Eddy Georges Skaf</w:t>
            </w:r>
            <w:r>
              <w:rPr>
                <w:rFonts w:ascii="Times New Roman" w:cs="Times New Roman" w:eastAsia="Times New Roman" w:hAnsi="Times New Roman"/>
                <w:sz w:val="22"/>
                <w:szCs w:val="22"/>
                <w:color w:val="auto"/>
                <w:vertAlign w:val="superscript"/>
              </w:rPr>
              <w:t>(11)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8"/>
        </w:trPr>
        <w:tc>
          <w:tcPr>
            <w:tcW w:w="51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Nicholas Paul Collins</w:t>
            </w:r>
            <w:r>
              <w:rPr>
                <w:rFonts w:ascii="Times New Roman" w:cs="Times New Roman" w:eastAsia="Times New Roman" w:hAnsi="Times New Roman"/>
                <w:sz w:val="22"/>
                <w:szCs w:val="22"/>
                <w:color w:val="auto"/>
                <w:vertAlign w:val="superscript"/>
              </w:rPr>
              <w:t>(12)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8"/>
        </w:trPr>
        <w:tc>
          <w:tcPr>
            <w:tcW w:w="5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51,338,055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148,500,000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199,838,055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198"/>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00" w:type="dxa"/>
            <w:vAlign w:val="bottom"/>
            <w:gridSpan w:val="3"/>
          </w:tcPr>
          <w:p>
            <w:pPr>
              <w:spacing w:after="0" w:line="198" w:lineRule="exact"/>
              <w:rPr>
                <w:sz w:val="20"/>
                <w:szCs w:val="20"/>
                <w:color w:val="auto"/>
              </w:rPr>
            </w:pPr>
            <w:r>
              <w:rPr>
                <w:rFonts w:ascii="Times New Roman" w:cs="Times New Roman" w:eastAsia="Times New Roman" w:hAnsi="Times New Roman"/>
                <w:sz w:val="15"/>
                <w:szCs w:val="15"/>
                <w:color w:val="auto"/>
              </w:rPr>
              <w:t>Founder vehicles</w:t>
            </w:r>
            <w:r>
              <w:rPr>
                <w:rFonts w:ascii="Times New Roman" w:cs="Times New Roman" w:eastAsia="Times New Roman" w:hAnsi="Times New Roman"/>
                <w:sz w:val="22"/>
                <w:szCs w:val="22"/>
                <w:color w:val="auto"/>
                <w:vertAlign w:val="superscript"/>
              </w:rPr>
              <w:t>(13)</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16,967,776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148,500,000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165,467,776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198"/>
        </w:trPr>
        <w:tc>
          <w:tcPr>
            <w:tcW w:w="51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CYVN Investments RSC Ltd</w:t>
            </w:r>
            <w:r>
              <w:rPr>
                <w:rFonts w:ascii="Times New Roman" w:cs="Times New Roman" w:eastAsia="Times New Roman" w:hAnsi="Times New Roman"/>
                <w:sz w:val="22"/>
                <w:szCs w:val="22"/>
                <w:color w:val="auto"/>
                <w:vertAlign w:val="superscript"/>
              </w:rPr>
              <w:t>(14)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418,833,157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418,833,157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99"/>
        </w:trPr>
        <w:tc>
          <w:tcPr>
            <w:tcW w:w="248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20"/>
        <w:spacing w:after="0" w:line="253" w:lineRule="auto"/>
        <w:tabs>
          <w:tab w:leader="none" w:pos="271"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where otherwise disclosed in the footnotes below, the business address of all the directors and executive officers is Building 19, No. 1355, Caobao Road, Minhang District, Shanghai, People’s Republic of China.</w:t>
      </w:r>
    </w:p>
    <w:p>
      <w:pPr>
        <w:spacing w:after="0" w:line="155" w:lineRule="exact"/>
        <w:rPr>
          <w:rFonts w:ascii="Times New Roman" w:cs="Times New Roman" w:eastAsia="Times New Roman" w:hAnsi="Times New Roman"/>
          <w:sz w:val="13"/>
          <w:szCs w:val="13"/>
          <w:color w:val="auto"/>
        </w:rPr>
      </w:pPr>
    </w:p>
    <w:p>
      <w:pPr>
        <w:jc w:val="both"/>
        <w:ind w:left="260" w:right="20" w:hanging="250"/>
        <w:spacing w:after="0" w:line="232" w:lineRule="auto"/>
        <w:tabs>
          <w:tab w:leader="none" w:pos="265"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person and group included in this column, percentage of voting power is calculated by dividing the voting power beneficially owned by such person or group by the voting power of all of our Class A and Class C ordinary shares as a single class. Each holder of our Class A ordinary shares is entitled to one vote per share and each holder of our Class C ordinary shares is entitled to eight votes per share on all matters submitted to them for a vote. Our Class A ordinary shares and Class C ordinary shares vote together as a single class on all matters submitted to a vote of our shareholders, except as may otherwise be required by law.</w:t>
      </w:r>
    </w:p>
    <w:p>
      <w:pPr>
        <w:spacing w:after="0" w:line="165" w:lineRule="exact"/>
        <w:rPr>
          <w:sz w:val="20"/>
          <w:szCs w:val="20"/>
          <w:color w:val="auto"/>
        </w:rPr>
      </w:pPr>
    </w:p>
    <w:p>
      <w:pPr>
        <w:jc w:val="both"/>
        <w:ind w:left="300" w:right="20" w:hanging="300"/>
        <w:spacing w:after="0" w:line="228" w:lineRule="auto"/>
        <w:tabs>
          <w:tab w:leader="none" w:pos="3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7,703 Class A ordinary shares in the form of ADSs, (ii) 13,500,000 Class A ordinary shares issuable to Mr. Bin Li upon exercise of options within 60 days of March 31, 2026, (iii) 89,013,451 Class C ordinary shares held by Originalwish Limited, a British Virgin Islands company wholly owned by Mr. Bin Li, (iv) 26,454,325 Class C ordinary shares held by mobike Global Ltd., a British Virgin Islands company wholly owned by Mr. Bin Li, and (v) 16,967,776 Class A ordinary shares and 33,032,224 Class C ordinary shares held by NIO Users Limited, a holding company controlled by NIO Users Trust, which is under the control of Mr. Bin Li, among which 16,967,776 Class A ordinary shares were held on record by NIO Users Limited and 33,032,224 Class C ordinary shares were held on record by NIO Users Community Limited, a British Virgin Islands company wholly owned by NIO Users Limited.</w:t>
      </w:r>
    </w:p>
    <w:p>
      <w:pPr>
        <w:spacing w:after="0" w:line="88" w:lineRule="exact"/>
        <w:rPr>
          <w:rFonts w:ascii="Times New Roman" w:cs="Times New Roman" w:eastAsia="Times New Roman" w:hAnsi="Times New Roman"/>
          <w:sz w:val="13"/>
          <w:szCs w:val="13"/>
          <w:color w:val="auto"/>
        </w:rPr>
      </w:pPr>
    </w:p>
    <w:p>
      <w:pPr>
        <w:jc w:val="both"/>
        <w:ind w:left="300" w:right="20" w:hanging="300"/>
        <w:spacing w:after="0" w:line="237" w:lineRule="auto"/>
        <w:tabs>
          <w:tab w:leader="none" w:pos="3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169,662 Class A ordinary shares in the form of ADSs, (ii) 3,298,700 Class A ordinary shares issuable to Mr. Lihong Qin upon exercise of options within 60 days of March 31, 2026, (iii) 10,499,899 Class A ordinary shares held by DX Mix Limited, a British Virgin Islands company wholly owned by Mr. Lihong Qin, and (iv) one Class A ordinary share held by Prime Hubs Limited, a British Virgin Islands company of which Mr. Lihong Qin is one of the shareholders.</w:t>
      </w:r>
    </w:p>
    <w:p>
      <w:pPr>
        <w:spacing w:after="0" w:line="101" w:lineRule="exact"/>
        <w:rPr>
          <w:rFonts w:ascii="Times New Roman" w:cs="Times New Roman" w:eastAsia="Times New Roman" w:hAnsi="Times New Roman"/>
          <w:sz w:val="13"/>
          <w:szCs w:val="13"/>
          <w:color w:val="auto"/>
        </w:rPr>
      </w:pPr>
    </w:p>
    <w:p>
      <w:pPr>
        <w:ind w:left="300" w:right="20" w:hanging="300"/>
        <w:spacing w:after="0" w:line="246" w:lineRule="auto"/>
        <w:tabs>
          <w:tab w:leader="none" w:pos="3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22,947 Class A ordinary shares in the form of ADSs and 1,540,000 Class A ordinary shares issuable to Mr. Shen upon exercise of options within 60 days of March 31, 2026.</w:t>
      </w:r>
    </w:p>
    <w:p>
      <w:pPr>
        <w:spacing w:after="0" w:line="255" w:lineRule="exact"/>
        <w:rPr>
          <w:rFonts w:ascii="Times New Roman" w:cs="Times New Roman" w:eastAsia="Times New Roman" w:hAnsi="Times New Roman"/>
          <w:sz w:val="13"/>
          <w:szCs w:val="13"/>
          <w:color w:val="auto"/>
        </w:rPr>
      </w:pPr>
    </w:p>
    <w:p>
      <w:pPr>
        <w:ind w:left="300" w:right="20" w:hanging="300"/>
        <w:spacing w:after="0" w:line="253" w:lineRule="auto"/>
        <w:tabs>
          <w:tab w:leader="none" w:pos="3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216,167 Class A ordinary shares in the form of ADSs, (ii) 477,000 Class A ordinary shares issuable to Mr. Xin Zhou upon exercise of options within 60 days of March 31, 2026, (iii) 1,000,000 Class A ordinary shares held by Prime Hubs Limited, a British Virgin Islands company of which Mr. Xin Zhou is one of the shareholders.</w:t>
      </w:r>
    </w:p>
    <w:p>
      <w:pPr>
        <w:spacing w:after="0" w:line="80"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215,088 Class A ordinary shares in the form of ADSs and 936,585 Class A ordinary shares issuable to Mr. Yu upon exercise of options within 60 days of March 31, 2026.</w:t>
      </w:r>
    </w:p>
    <w:p>
      <w:pPr>
        <w:spacing w:after="0" w:line="122" w:lineRule="exact"/>
        <w:rPr>
          <w:rFonts w:ascii="Times New Roman" w:cs="Times New Roman" w:eastAsia="Times New Roman" w:hAnsi="Times New Roman"/>
          <w:sz w:val="13"/>
          <w:szCs w:val="13"/>
          <w:color w:val="auto"/>
        </w:rPr>
      </w:pPr>
    </w:p>
    <w:p>
      <w:pPr>
        <w:ind w:left="300" w:right="20" w:hanging="300"/>
        <w:spacing w:after="0" w:line="253" w:lineRule="auto"/>
        <w:tabs>
          <w:tab w:leader="none" w:pos="3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480,762 Class A ordinary shares in the form of ADSs, including 275,000 Class A ordinary shares that are also recorded on the register of members, and 735,000 Class A ordinary shares issuable to Mr. Iyer upon exercise of options within 60 days of March 31, 2026. The business address of Mr. Iyer is 3151 Zanker Road, San Jose, CA 95134.</w:t>
      </w:r>
    </w:p>
    <w:p>
      <w:pPr>
        <w:spacing w:after="0" w:line="93" w:lineRule="exact"/>
        <w:rPr>
          <w:rFonts w:ascii="Times New Roman" w:cs="Times New Roman" w:eastAsia="Times New Roman" w:hAnsi="Times New Roman"/>
          <w:sz w:val="13"/>
          <w:szCs w:val="13"/>
          <w:color w:val="auto"/>
        </w:rPr>
      </w:pPr>
    </w:p>
    <w:p>
      <w:pPr>
        <w:ind w:left="300" w:right="20" w:hanging="300"/>
        <w:spacing w:after="0" w:line="253" w:lineRule="auto"/>
        <w:tabs>
          <w:tab w:leader="none" w:pos="3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150,000 Class A ordinary shares in the form of ADSs and 250,000 Class A ordinary shares issuable to Mr. Wu upon exercise of options 60 days of March 31, 2026. The business address of Mr. Wu is No. 53, Gaoyou Road, Xuhui District, Shanghai, People’s Republic of China.</w:t>
      </w:r>
    </w:p>
    <w:p>
      <w:pPr>
        <w:spacing w:after="0" w:line="80"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360,765 Class A ordinary shares in the form of ADSs. The business address of Mr. Lee is No. 4 Dianthus Road, Yau Yat Chuen, Kowloon, Hong Kong.</w:t>
      </w: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300" w:hanging="300"/>
        <w:spacing w:after="0" w:line="253" w:lineRule="auto"/>
        <w:tabs>
          <w:tab w:leader="none" w:pos="3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150,000 Class A ordinary shares in the form of ADSs. The business address of Ms. Long is Unit 1610, 16th Floor, West Tower, Genesis Beijing, 8 Xinyuan South Road, Chaoyang District, Beijing 100027, People’s Republic of China.</w:t>
      </w:r>
    </w:p>
    <w:p>
      <w:pPr>
        <w:spacing w:after="0" w:line="80"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120,000 Class A ordinary shares in the form of ADSs. The business address of Mr. Wen is 103D Nanyang View, #11-08, Singapore 639671.</w:t>
      </w:r>
    </w:p>
    <w:p>
      <w:pPr>
        <w:spacing w:after="0" w:line="122" w:lineRule="exact"/>
        <w:rPr>
          <w:rFonts w:ascii="Times New Roman" w:cs="Times New Roman" w:eastAsia="Times New Roman" w:hAnsi="Times New Roman"/>
          <w:sz w:val="13"/>
          <w:szCs w:val="13"/>
          <w:color w:val="auto"/>
        </w:rPr>
      </w:pPr>
    </w:p>
    <w:p>
      <w:pPr>
        <w:ind w:left="300" w:hanging="300"/>
        <w:spacing w:after="0" w:line="246" w:lineRule="auto"/>
        <w:tabs>
          <w:tab w:leader="none" w:pos="3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120,000 Class A ordinary shares in the form of ADSs. The business address of Mr. Skaf is Maryah Tower, 18th Floor, Al Maryah Island, Abu Dhabi, United Arab Emirates</w:t>
      </w:r>
    </w:p>
    <w:p>
      <w:pPr>
        <w:spacing w:after="0" w:line="255" w:lineRule="exact"/>
        <w:rPr>
          <w:rFonts w:ascii="Times New Roman" w:cs="Times New Roman" w:eastAsia="Times New Roman" w:hAnsi="Times New Roman"/>
          <w:sz w:val="13"/>
          <w:szCs w:val="13"/>
          <w:color w:val="auto"/>
        </w:rPr>
      </w:pPr>
    </w:p>
    <w:p>
      <w:pPr>
        <w:ind w:left="300" w:hanging="300"/>
        <w:spacing w:after="0" w:line="253" w:lineRule="auto"/>
        <w:tabs>
          <w:tab w:leader="none" w:pos="3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120,000 Class A ordinary shares in the form of ADSs. The business address of Mr. Collins is McLaren Technology Centre, Chertsey Road, Woking, Surrey, GU21 4YH, United Kingdom.</w:t>
      </w:r>
    </w:p>
    <w:p>
      <w:pPr>
        <w:spacing w:after="0" w:line="80" w:lineRule="exact"/>
        <w:rPr>
          <w:rFonts w:ascii="Times New Roman" w:cs="Times New Roman" w:eastAsia="Times New Roman" w:hAnsi="Times New Roman"/>
          <w:sz w:val="13"/>
          <w:szCs w:val="13"/>
          <w:color w:val="auto"/>
        </w:rPr>
      </w:pPr>
    </w:p>
    <w:p>
      <w:pPr>
        <w:jc w:val="both"/>
        <w:ind w:left="300" w:hanging="300"/>
        <w:spacing w:after="0"/>
        <w:tabs>
          <w:tab w:leader="none" w:pos="3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89,013,451 Class C ordinary shares held by Originalwish Limited, a British Virgin Islands company wholly owned by Mr. Bin Li, (ii) 26,454,325 Class C ordinary shares held by mobike Global Ltd., a British Virgin Islands company wholly owned by Mr. Bin Li, and (iii) 16,967,776 Class A ordinary shares and 33,032,224 Class C ordinary shares held by NIO Users Limited, a holding company controlled by NIO Users Trust, which is under the control of Mr. Bin Li, among which 16,967,776 Class A ordinary shares were held on record by NIO Users Limited and 33,032,224 Class C ordinary shares were held on record by NIO Users Community Limited, a British Virgin Islands company wholly owned by NIO Users Limited. The registered address of Originalwish Limited and mobike Global Ltd. is Sertus Chambers, P.O. Box 905, Quastisky Building, Road Town, Tortola, British Virgin Islands. The registered address of NIO Users Limited is Maples Corporate Services (BVI) Limited, Kingston Chambers, PO Box 173, Road Town, Tortola, British Virgin Islands.</w:t>
      </w:r>
    </w:p>
    <w:p>
      <w:pPr>
        <w:spacing w:after="0" w:line="192" w:lineRule="exact"/>
        <w:rPr>
          <w:rFonts w:ascii="Times New Roman" w:cs="Times New Roman" w:eastAsia="Times New Roman" w:hAnsi="Times New Roman"/>
          <w:sz w:val="13"/>
          <w:szCs w:val="13"/>
          <w:color w:val="auto"/>
        </w:rPr>
      </w:pPr>
    </w:p>
    <w:p>
      <w:pPr>
        <w:jc w:val="both"/>
        <w:ind w:left="300" w:hanging="300"/>
        <w:spacing w:after="0" w:line="229" w:lineRule="auto"/>
        <w:tabs>
          <w:tab w:leader="none" w:pos="3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418,833,157 Class A ordinary shares held by CYVN Investments RSC Ltd, according to the statement on Schedule 13D/A filed on January 13, 2026 by CYVN Investments RSC Ltd. CYVN Investments RSC Ltd is a restricted scope company incorporated in the Abu Dhabi Global Market, Abu Dhabi, United Arab Emirates, and is wholly-owned by L’imad Holding Company - P.J.S.C, a public joint stock company incorporated in Abu Dhabi, United Arab Emirates (L’imad Holding). L’imad Holding is wholly owned by the Government of Abu Dhabi represented by the Abu Dhabi Department of Finance. The principal business address of each of CYVN Investments RSC Ltd and L’imad Holdings is part of Floor 18, AI Maryah Tower, Abu Dhabi Global Market Square, Al Maryah Island, Abu Dhabi, United Arab Emirates.</w:t>
      </w:r>
    </w:p>
    <w:p>
      <w:pPr>
        <w:spacing w:after="0" w:line="107"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As of March 31, 2026, to our knowledge, 779,686,656 of our Class A ordinary shares were held by one record holder in the United States, which was Deutsche Bank Trust Company Americas, the depositary of our ADR program. The number of beneficial owners of our ADSs in the United States is likely to be much larger than the number of record holders of our ordinary shares in the United States. We are not aware of any arrangement that may, at a subsequent date, result in a change of control of our company.</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Currently, our ordinary shares consist of Class A ordinary shares and Class C ordinary shares. Holders of Class A ordinary shares are entitled to one vote per share, and holders of Class C ordinary shares are entitled to eight votes per share. We issued Class A ordinary shares represented by our ADSs in our initial public offering in September 2018. Holders of our Class C ordinary shares may choose to convert their respective Class C ordinary shares into the same number of Class A ordinary shares at any time. Class A ordinary shares are not convertible into Class C ordinary shares under any circumstance. See “Item 10. Additional Information—B. Memorandum and Articles of Association” for a more detailed description of our ordinary shares.</w:t>
      </w:r>
    </w:p>
    <w:p>
      <w:pPr>
        <w:spacing w:after="0" w:line="159" w:lineRule="exact"/>
        <w:rPr>
          <w:sz w:val="20"/>
          <w:szCs w:val="20"/>
          <w:color w:val="auto"/>
        </w:rPr>
      </w:pPr>
    </w:p>
    <w:p>
      <w:pPr>
        <w:ind w:left="600" w:right="3620" w:hanging="600"/>
        <w:spacing w:after="0" w:line="516" w:lineRule="auto"/>
        <w:tabs>
          <w:tab w:leader="none" w:pos="545"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Disclosure of Registrant’s Action to Recover Erroneously Awarded Compensation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MAJOR SHAREHOLDERS AND RELATED PARTY TRANSACTIONS</w:t>
      </w:r>
    </w:p>
    <w:p>
      <w:pPr>
        <w:spacing w:after="0" w:line="212" w:lineRule="exact"/>
        <w:rPr>
          <w:sz w:val="20"/>
          <w:szCs w:val="20"/>
          <w:color w:val="auto"/>
        </w:rPr>
      </w:pPr>
    </w:p>
    <w:p>
      <w:pPr>
        <w:ind w:left="580" w:hanging="580"/>
        <w:spacing w:after="0"/>
        <w:tabs>
          <w:tab w:leader="none" w:pos="580"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Major Shareholders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See “Item 6. Directors, Senior Management and Employees—E. Share Ownership.”</w:t>
      </w:r>
    </w:p>
    <w:p>
      <w:pPr>
        <w:spacing w:after="0" w:line="208" w:lineRule="exact"/>
        <w:rPr>
          <w:sz w:val="20"/>
          <w:szCs w:val="20"/>
          <w:color w:val="auto"/>
        </w:rPr>
      </w:pPr>
    </w:p>
    <w:p>
      <w:pPr>
        <w:ind w:left="560" w:hanging="560"/>
        <w:spacing w:after="0"/>
        <w:tabs>
          <w:tab w:leader="none" w:pos="56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Arrangements with The VIEs and Their Shareholders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See “Item 4. Information on the Company—C. Organizational Structure.”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Shareholders Agreement and Registration Rights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entered into a shareholders agreement and a right of first refusal and co-sale agreement on November 10, 2017 with our shareholders.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The shareholders agreement and right of first refusal and co-sale agreement (i) provided for certain special rights, including right of first refusal, co-sale rights and preemptive rights and (ii) contained provisions governing board of directors and other corporate governance matters. These special rights and corporate governance provisions automatically terminated upon the closing of the initial public offering of our ADSs on September 12, 2018.</w:t>
      </w:r>
    </w:p>
    <w:p>
      <w:pPr>
        <w:spacing w:after="0" w:line="358"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Pursuant to our shareholders agreement dated November 10, 2017, we have granted certain registration rights to those shareholders who are parties to that agreement. Set forth below is a description of the registration rights granted under the agreement.</w:t>
      </w:r>
    </w:p>
    <w:p>
      <w:pPr>
        <w:spacing w:after="0" w:line="135"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i w:val="1"/>
          <w:iCs w:val="1"/>
          <w:color w:val="auto"/>
        </w:rPr>
        <w:t>Demand Registration Rights</w:t>
      </w:r>
      <w:r>
        <w:rPr>
          <w:rFonts w:ascii="Times New Roman" w:cs="Times New Roman" w:eastAsia="Times New Roman" w:hAnsi="Times New Roman"/>
          <w:sz w:val="16"/>
          <w:szCs w:val="16"/>
          <w:color w:val="auto"/>
        </w:rPr>
        <w:t>. Holders holding 10% or more of the voting power of the then outstanding registrable securities held by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holders are entitled to request in writing that we effect a registration statement for any or all of the registrable securities of the initiating holders. We have the right to defer filing of a registration statement for a period of not more than 90 days if our board of directors determines in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 We are not obligated to effect more than two demand registrations. Further, if the registrable securities are offered by means of an underwritten offering, and the managing underwriter advises us that marketing factors require a limitation of the number of securities to be underwritten, the underwriters may decide to exclude up to 75% of the registrable securities requested to be registered but only after first excluding all other equity securities from the registration and underwritten offering,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162"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i w:val="1"/>
          <w:iCs w:val="1"/>
          <w:color w:val="auto"/>
        </w:rPr>
        <w:t>Registration on Form F-3 or Form S-3</w:t>
      </w:r>
      <w:r>
        <w:rPr>
          <w:rFonts w:ascii="Times New Roman" w:cs="Times New Roman" w:eastAsia="Times New Roman" w:hAnsi="Times New Roman"/>
          <w:sz w:val="16"/>
          <w:szCs w:val="16"/>
          <w:color w:val="auto"/>
        </w:rPr>
        <w:t>. Any holder is entitled to request us to file a registration statement on Form F-3 or Form S-3 if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qualify for registration on Form F-3 or Form S-3. The holders are entitled to an unlimited number of registrations on Form F-3 or Form S-3 so long as such registration offerings are in excess of US$5.0 million. We have the right to defer filing of a registration statement for a period of not more than 60 days if our board of directors determines in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w:t>
      </w:r>
    </w:p>
    <w:p>
      <w:pPr>
        <w:spacing w:after="0" w:line="16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i w:val="1"/>
          <w:iCs w:val="1"/>
          <w:color w:val="auto"/>
        </w:rPr>
        <w:t>Piggyback Registration Rights</w:t>
      </w:r>
      <w:r>
        <w:rPr>
          <w:rFonts w:ascii="Times New Roman" w:cs="Times New Roman" w:eastAsia="Times New Roman" w:hAnsi="Times New Roman"/>
          <w:sz w:val="16"/>
          <w:szCs w:val="16"/>
          <w:color w:val="auto"/>
        </w:rPr>
        <w:t>. If we propose to register for our own account any of our equity securities, or for the account of any holder,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than current shareholders, of such equity securities, in connection with the public offering, we shall offer holders of our registrable securities an opportunity to be included in such registration. If the underwriters advise in writing that market factors require a limitation of the number of registrable securities to be underwritten, the underwriters may exclude up to 75% of the registrable securities requested to be registered but only after first excluding all other equity securities (except for securities sold for the account of our company) from the registration and underwriting,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162" w:lineRule="exact"/>
        <w:rPr>
          <w:sz w:val="20"/>
          <w:szCs w:val="20"/>
          <w:color w:val="auto"/>
        </w:rPr>
      </w:pPr>
    </w:p>
    <w:p>
      <w:pPr>
        <w:jc w:val="both"/>
        <w:ind w:firstLine="594"/>
        <w:spacing w:after="0" w:line="301" w:lineRule="auto"/>
        <w:rPr>
          <w:sz w:val="20"/>
          <w:szCs w:val="20"/>
          <w:color w:val="auto"/>
        </w:rPr>
      </w:pPr>
      <w:r>
        <w:rPr>
          <w:rFonts w:ascii="Times New Roman" w:cs="Times New Roman" w:eastAsia="Times New Roman" w:hAnsi="Times New Roman"/>
          <w:sz w:val="16"/>
          <w:szCs w:val="16"/>
          <w:i w:val="1"/>
          <w:iCs w:val="1"/>
          <w:color w:val="auto"/>
        </w:rPr>
        <w:t>Expenses of Registration</w:t>
      </w:r>
      <w:r>
        <w:rPr>
          <w:rFonts w:ascii="Times New Roman" w:cs="Times New Roman" w:eastAsia="Times New Roman" w:hAnsi="Times New Roman"/>
          <w:sz w:val="16"/>
          <w:szCs w:val="16"/>
          <w:color w:val="auto"/>
        </w:rPr>
        <w:t>. We will bear all registration expenses, other than the underwriting discounts and selling commissions applicable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sale of registrable securities, incurred in connection with registrations, filings or qualification pursuant to the shareholders agreement.</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Termination of Obligations</w:t>
      </w:r>
      <w:r>
        <w:rPr>
          <w:rFonts w:ascii="Times New Roman" w:cs="Times New Roman" w:eastAsia="Times New Roman" w:hAnsi="Times New Roman"/>
          <w:sz w:val="16"/>
          <w:szCs w:val="16"/>
          <w:color w:val="auto"/>
        </w:rPr>
        <w:t>. We have no obligation to effect any demand, piggyback, Form F-3 or Form S-3 registration upon the earlier of</w:t>
      </w:r>
    </w:p>
    <w:p>
      <w:pPr>
        <w:spacing w:after="0" w:line="33" w:lineRule="exact"/>
        <w:rPr>
          <w:sz w:val="20"/>
          <w:szCs w:val="20"/>
          <w:color w:val="auto"/>
        </w:rPr>
      </w:pPr>
    </w:p>
    <w:p>
      <w:pPr>
        <w:spacing w:after="0" w:line="276" w:lineRule="auto"/>
        <w:tabs>
          <w:tab w:leader="none" w:pos="19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September 14, 2028 and (ii) with respect to any holder, the date on which such holder may sell without registration, all of such holder’s registrable securities under Rule 144 of the Securities Act in any 90-day period.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In addition, on June 20, 2023, we entered into a registration rights agreement with CYVN Holdings L.L.C. On July 11, 2023, CYVN Holdings L.L.C. assigned all of its rights, interests and obligations under the registration rights agreement to its affiliate, CYVN Investments, which executed a counterpart to the registration rights agreement and agreed to be treated as an investor under the registration rights agreement. Pursuant to the registration rights agreement, subject to certain exceptions, we are obligated to prepare and file with the SEC (i) no later than the 30th day immediately following the six-month anniversary of the closing of the share subscription agreement entered into by us and CYVN Holdings L.L.C., i.e., January 19, 2024, and (ii) at any time thereafter, no later than the 30th day immediately following a written demand by CYVN Investments (in case we do not already have an effective registration statement on Form F-3 on file with the SEC) a registration statement for an offering to be made on a continuous basis pursuant to Rule 415 of the Securities Act, registering the resale from time to time by CYVN Investments of all of the registrable securities, which include all Class A ordinary shares purchased pursuant to the share subscription agreement, and the stock purchase agreement entered into by and among CYVN Holdings L.L.C. and Image Frame Investment (HK) Limited dated June 20, 2023, and any shares purchased by CYVN Investments following the closing of the share subscription agreement, then held by CYVN Investments that are not covered by an effective registration statement. If our board of directors determines in good faith that it would be materially detrimental to our company or our members to effect such a registration, we have the right to defer such registration, not more than once in any 12-month period, for a period of up to 60 days. Additionally, pursuant to the registration rights agreement, in the event that we propose to register any of our equity securities under the Securities Act for our own account or for the account of any holder of our equity securities, CYVN Investments is entitled to certain piggyback registration rights. These registration rights terminate on the date that CYVN Investments owns less than 3% of our Class A ordinary shares outstanding.</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216" w:lineRule="exact"/>
        <w:rPr>
          <w:sz w:val="20"/>
          <w:szCs w:val="20"/>
          <w:color w:val="auto"/>
        </w:rPr>
      </w:pPr>
    </w:p>
    <w:p>
      <w:pPr>
        <w:jc w:val="both"/>
        <w:ind w:firstLine="594"/>
        <w:spacing w:after="0" w:line="269" w:lineRule="auto"/>
        <w:rPr>
          <w:sz w:val="20"/>
          <w:szCs w:val="20"/>
          <w:color w:val="auto"/>
        </w:rPr>
      </w:pPr>
      <w:r>
        <w:rPr>
          <w:rFonts w:ascii="Times New Roman" w:cs="Times New Roman" w:eastAsia="Times New Roman" w:hAnsi="Times New Roman"/>
          <w:sz w:val="16"/>
          <w:szCs w:val="16"/>
          <w:color w:val="auto"/>
        </w:rPr>
        <w:t>See “Item 6. Directors, Senior Management and Employees—B. Compensation—Employment Agreements and Indemnification Agreements.”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Option Grants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See “Item 6. Directors, Senior Management and Employees—B. Compensation—Stock Incentive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Transactions with Related Parties</w:t>
      </w:r>
    </w:p>
    <w:p>
      <w:pPr>
        <w:spacing w:after="0" w:line="216"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In 2023, 2024 and 2025, we sold goods to our affiliates, including Wuhan Weineng Battery Assets Co., Ltd. and its subsidiaries, Blue Horizon Limited and its subsidiaries, Shanghai Weishang Business Consulting Co., Ltd. and Hefei Chuang Wei Information Consultation Co., Ltd., and recognized a total revenue from sales of goods of RMB1,457.9 million, RMB9,918.3 million and RMB16,117.1 million (US$2,304.7 million), respectively.</w:t>
      </w:r>
    </w:p>
    <w:p>
      <w:pPr>
        <w:spacing w:after="0" w:line="358"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2023, 2024 and 2025, we provided property management, administrative support, design and research and development services to our affiliates, including McLaren Group Holdings Limited and its subsidiaries, Wuhan Weineng Battery Assets Co., Ltd. and its subsidiaries, Blue Horizon Limited and its subsidiaries, VTA Technology Inc. and its subsidiaries, and Nanjing Weibang Transmission Technology Co., Ltd., and recognized a total service revenue of RMB167.2 million, RMB306.5 million and RMB999.3 million (US$142.9 million), respectively.</w:t>
      </w:r>
    </w:p>
    <w:p>
      <w:pPr>
        <w:spacing w:after="0" w:line="15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In 2023, 2024 and 2025, we received marketing and advertising, research and development, and maintenance services from our affiliates, including Kunshan Siwopu Intelligent Equipment Co., Ltd., Wuhan Weineng Battery Assets Co., Ltd. and its subsidiaries, Tianjin Tengyi Information Technology Co., Ltd. (formerly known as Tianjin Boyou Information Technology Co., Ltd.), Jianglai Advanced Manufacturing Technology (Anhui) Co., Ltd., Xunjie Energy (Wuhan) Co., Ltd., and Beijing Welion New Energy Technology Co., Ltd, and incurred total service expenses of RMB250.0 million, RMB153.8 million and RMB47.7 million (US$6.8 million), respectively.</w:t>
      </w:r>
    </w:p>
    <w:p>
      <w:pPr>
        <w:spacing w:after="0" w:line="161"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2023, 2024 and 2025, we purchased long-lived assets and raw materials from our affiliates, including Xunjie Energy (Wuhan) Co., Ltd., VTA Technology Inc. and its subsidiaries, Nanjing Weibang Transmission Technology Co., Ltd., Kunshan Siwopu Intelligent Equipment Co., Ltd., Beijing Welion New Energy Technology Co., Ltd., and Jianglai Advanced Manufacturing Technology (Anhui) Co., Ltd. and incurred a total purchase expense of RMB1,247.5 million, RMB293.8 million and RMB21.5 million (US$3.1 million), respectively.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2023, 2024 and 2025, we sold long-lived assets and raw materials to our affiliates, including Chongqing Chuangyuan Zhihang Technology Co., Ltd., Kunshan Siwopu Intelligent Equipment Co., Ltd., VTA Technology Inc. and its subsidiaries, Blue Horizon Limited and its subsidiaries, and Wuhan Weineng Battery Assets Co., Ltd. and its subsidiaries, and recognized a total revenue from sales of long-lived assets and raw materials of RMB5.6 million, RMB51.5 million and RMB156.3 million (US$22.3 million), respectively.</w:t>
      </w:r>
    </w:p>
    <w:p>
      <w:pPr>
        <w:spacing w:after="0" w:line="155" w:lineRule="exact"/>
        <w:rPr>
          <w:sz w:val="20"/>
          <w:szCs w:val="20"/>
          <w:color w:val="auto"/>
        </w:rPr>
      </w:pPr>
    </w:p>
    <w:p>
      <w:pPr>
        <w:ind w:left="600" w:right="7040" w:hanging="600"/>
        <w:spacing w:after="0" w:line="516" w:lineRule="auto"/>
        <w:tabs>
          <w:tab w:leader="none" w:pos="579"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Interests of Experts and Counsel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INFORMATION</w:t>
      </w:r>
    </w:p>
    <w:p>
      <w:pPr>
        <w:spacing w:after="0" w:line="212" w:lineRule="exact"/>
        <w:rPr>
          <w:sz w:val="20"/>
          <w:szCs w:val="20"/>
          <w:color w:val="auto"/>
        </w:rPr>
      </w:pPr>
    </w:p>
    <w:p>
      <w:pPr>
        <w:ind w:left="580" w:hanging="580"/>
        <w:spacing w:after="0"/>
        <w:tabs>
          <w:tab w:leader="none" w:pos="580"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and Other Financial Information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have appended consolidated financial statements filed as part of this annual report.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 xml:space="preserve">From time to time, we may be involved in legal proceedings in the ordinary course of our business. Between March and July 2019, several securities class action lawsuits were filed against us, certain of our directors and officers, our underwriters in the IPO and our process agent. Some of these actions have been withdrawn, transferred, consolidated or dismissed. One action commenced during the aforementioned time period remains pending, under the caption </w:t>
      </w:r>
      <w:r>
        <w:rPr>
          <w:rFonts w:ascii="Times New Roman" w:cs="Times New Roman" w:eastAsia="Times New Roman" w:hAnsi="Times New Roman"/>
          <w:sz w:val="16"/>
          <w:szCs w:val="16"/>
          <w:i w:val="1"/>
          <w:iCs w:val="1"/>
          <w:color w:val="auto"/>
        </w:rPr>
        <w:t>In re NIO, Inc. Securities Litigation</w:t>
      </w:r>
      <w:r>
        <w:rPr>
          <w:rFonts w:ascii="Times New Roman" w:cs="Times New Roman" w:eastAsia="Times New Roman" w:hAnsi="Times New Roman"/>
          <w:sz w:val="16"/>
          <w:szCs w:val="16"/>
          <w:color w:val="auto"/>
        </w:rPr>
        <w:t>, 1:19-cv-01424, in the U.S. District Court for the Eastern District of New York (E.D.N.Y.). The plaintiffs in this case allege, in sum and substance, that our statements in the registration statement and/or other public statements were false or misleading and in violation of the U.S. federal securities laws. The Court denied our motion to dismiss in August 2021, and granted plaintiffs’ motion for class certification in August 2023. Discovery is substantially complete. The summary judgment briefing is ongoing.</w:t>
      </w:r>
    </w:p>
    <w:p>
      <w:pPr>
        <w:spacing w:after="0" w:line="162"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 xml:space="preserve">Separately, between August and September 2022, two complaints were filed against us, our CEO and our then-CFO in the federal district court for the Southern District of New York (S.D.N.Y.), in the actions captioned </w:t>
      </w:r>
      <w:r>
        <w:rPr>
          <w:rFonts w:ascii="Times New Roman" w:cs="Times New Roman" w:eastAsia="Times New Roman" w:hAnsi="Times New Roman"/>
          <w:sz w:val="16"/>
          <w:szCs w:val="16"/>
          <w:i w:val="1"/>
          <w:iCs w:val="1"/>
          <w:color w:val="auto"/>
        </w:rPr>
        <w:t>Saye v. NIO Inc. et al.</w:t>
      </w:r>
      <w:r>
        <w:rPr>
          <w:rFonts w:ascii="Times New Roman" w:cs="Times New Roman" w:eastAsia="Times New Roman" w:hAnsi="Times New Roman"/>
          <w:sz w:val="16"/>
          <w:szCs w:val="16"/>
          <w:color w:val="auto"/>
        </w:rPr>
        <w:t xml:space="preserve">, Case No. 1:22-cv-07252 (S.D.N.Y.) and </w:t>
      </w:r>
      <w:r>
        <w:rPr>
          <w:rFonts w:ascii="Times New Roman" w:cs="Times New Roman" w:eastAsia="Times New Roman" w:hAnsi="Times New Roman"/>
          <w:sz w:val="16"/>
          <w:szCs w:val="16"/>
          <w:i w:val="1"/>
          <w:iCs w:val="1"/>
          <w:color w:val="auto"/>
        </w:rPr>
        <w:t>Bohonok v. NIO Inc. et al.</w:t>
      </w:r>
      <w:r>
        <w:rPr>
          <w:rFonts w:ascii="Times New Roman" w:cs="Times New Roman" w:eastAsia="Times New Roman" w:hAnsi="Times New Roman"/>
          <w:sz w:val="16"/>
          <w:szCs w:val="16"/>
          <w:color w:val="auto"/>
        </w:rPr>
        <w:t>, Case No. 1:22-cv-07666 (S.D.N.Y.). Relying on a short seller report (see “Item 3. Key Information—D. Risk Factors—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Risks Related to Our ADSs and Class A Ordinary Shares – Techniques employed by short sellers may drive down the market price of our ADSs”), these complaints allege that certain of our public disclosures between August 2020 and July 2022 contained false statements or omissions in violation of the Exchange Act. On December 14, 2022, the court consolidated the two actions and appointed a lead plaintiff. Briefing on our motion to dismiss was completed on July 31, 2023. The Court’s decision on the motion to dismiss is pending. On August 28, 2025, a complaint was filed against the Company, its CEO and its former CFO in S.D.N.Y. (Case No. 1:25-cv-07176). The new action is related to the class action that has been pending in the same court (</w:t>
      </w:r>
      <w:r>
        <w:rPr>
          <w:rFonts w:ascii="Times New Roman" w:cs="Times New Roman" w:eastAsia="Times New Roman" w:hAnsi="Times New Roman"/>
          <w:sz w:val="16"/>
          <w:szCs w:val="16"/>
          <w:i w:val="1"/>
          <w:iCs w:val="1"/>
          <w:color w:val="auto"/>
        </w:rPr>
        <w:t>Saye v. NIO et al.</w:t>
      </w:r>
      <w:r>
        <w:rPr>
          <w:rFonts w:ascii="Times New Roman" w:cs="Times New Roman" w:eastAsia="Times New Roman" w:hAnsi="Times New Roman"/>
          <w:sz w:val="16"/>
          <w:szCs w:val="16"/>
          <w:color w:val="auto"/>
        </w:rPr>
        <w:t>, 1:22-cv-07252), as discussed above. On October 3, 2025, the Court approved to stay the later-filed case until the resolution of all motions to dismiss in the Saye action.</w:t>
      </w:r>
    </w:p>
    <w:p>
      <w:pPr>
        <w:spacing w:after="0" w:line="170"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For those of the abovementioned class actions that remain pending, we are currently unable to estimate the potential loss, if any, associated with the resolution of such lawsuits. We are defending the actions vigorously. See “Item 3. Key Information—D. Risk Factors—Risks Related to our Business and Industry—We and certain of our directors and officers have been named as defendants in shareholder class action lawsuits, which could have a material adverse impact on our business, financial condition, cash flows and reputation” for further details.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are a holding company incorporated in the Cayman Islands. We may rely on dividends paid by our subsidiaries in China for our cash requirements, including any payment of dividends to our shareholders. PRC regulations may restrict the ability of our PRC subsidiaries to pay dividends to us. See “Item 3. Key Information—D. Risk Factors—Risks Related to Doing Business in China—We may rely on distributions by our PRC subsidiaries for our financing requirements, and any limitation on our PRC subsidiaries to make payments to us could have a material and adverse effect on our business.”</w:t>
      </w:r>
    </w:p>
    <w:p>
      <w:pPr>
        <w:spacing w:after="0" w:line="161"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The payment of dividends is at the discretion of our board of directors, subject to our thirteenth amended and restated memorandum and articles of association.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share premium account, and provided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62"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37"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If we pay any dividends on our ordinary shares, we will pay those dividends which are payable in respect of Class A ordinary shares underlying our ADSs to the depositary, as the registered holder of such Class A ordinary shares, and the depositary then will pay such amounts to our ADS holders in proportion to the ordinary shares underlying the ADSs held by such ADS holders, subject to the terms of the deposit agreement, including the fees and expenses payable thereunder. Cash dividends on our ordinary shares, if any, will be paid in U.S. dollars.</w:t>
      </w:r>
    </w:p>
    <w:p>
      <w:pPr>
        <w:spacing w:after="0" w:line="155" w:lineRule="exact"/>
        <w:rPr>
          <w:sz w:val="20"/>
          <w:szCs w:val="20"/>
          <w:color w:val="auto"/>
        </w:rPr>
      </w:pPr>
    </w:p>
    <w:p>
      <w:pPr>
        <w:ind w:left="560" w:hanging="560"/>
        <w:spacing w:after="0"/>
        <w:tabs>
          <w:tab w:leader="none" w:pos="56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Changes</w:t>
      </w:r>
    </w:p>
    <w:p>
      <w:pPr>
        <w:spacing w:after="0" w:line="216"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13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THE OFFER AND LISTING</w:t>
      </w:r>
    </w:p>
    <w:p>
      <w:pPr>
        <w:spacing w:after="0" w:line="212" w:lineRule="exact"/>
        <w:rPr>
          <w:sz w:val="20"/>
          <w:szCs w:val="20"/>
          <w:color w:val="auto"/>
        </w:rPr>
      </w:pPr>
    </w:p>
    <w:p>
      <w:pPr>
        <w:ind w:left="580" w:hanging="580"/>
        <w:spacing w:after="0"/>
        <w:tabs>
          <w:tab w:leader="none" w:pos="580"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Offering and Listing Details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See “C. Markets” for our principal host market, principal markets outside the principal host market, and trading symbols.</w:t>
      </w:r>
    </w:p>
    <w:p>
      <w:pPr>
        <w:spacing w:after="0" w:line="212"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Currently, our ordinary shares consist of Class A ordinary shares and Class C ordinary shares. Holders of Class A ordinary shares are entitled to one vote per share, and holders of Class C ordinary shares are entitled to eight votes per share. See “Item 3. Key Information—D. Risk Factors— Risks Related to Our ADSs and Class A Ordinary Shares—Our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spacing w:after="0" w:line="157" w:lineRule="exact"/>
        <w:rPr>
          <w:sz w:val="20"/>
          <w:szCs w:val="20"/>
          <w:color w:val="auto"/>
        </w:rPr>
      </w:pPr>
    </w:p>
    <w:p>
      <w:pPr>
        <w:ind w:left="600" w:right="7920" w:hanging="600"/>
        <w:spacing w:after="0" w:line="516" w:lineRule="auto"/>
        <w:tabs>
          <w:tab w:leader="none" w:pos="611"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Plan of Distribution </w:t>
      </w:r>
      <w:r>
        <w:rPr>
          <w:rFonts w:ascii="Times New Roman" w:cs="Times New Roman" w:eastAsia="Times New Roman" w:hAnsi="Times New Roman"/>
          <w:sz w:val="16"/>
          <w:szCs w:val="16"/>
          <w:color w:val="auto"/>
        </w:rPr>
        <w:t>Not applicable.</w:t>
      </w:r>
    </w:p>
    <w:p>
      <w:pPr>
        <w:ind w:left="620" w:hanging="620"/>
        <w:spacing w:after="0"/>
        <w:tabs>
          <w:tab w:leader="none" w:pos="620"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Markets</w:t>
      </w:r>
    </w:p>
    <w:p>
      <w:pPr>
        <w:spacing w:after="0" w:line="216"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Our ADSs, each representing one Class A ordinary share, have been listed on the NYSE since September 12, 2018 under the symbol “NIO.”</w:t>
      </w:r>
    </w:p>
    <w:p>
      <w:pPr>
        <w:spacing w:after="0" w:line="212"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Our Class A ordinary shares have been listed on the Hong Kong Stock Exchange, by way of introduction, since March 10, 2022 under the stock code “9866.”</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Class A ordinary shares have been listed on the Singapore Exchange, by way of introduction, since May 20, 2022 under the stock code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w:t>
      </w:r>
    </w:p>
    <w:p>
      <w:pPr>
        <w:spacing w:after="0" w:line="191" w:lineRule="exact"/>
        <w:rPr>
          <w:sz w:val="20"/>
          <w:szCs w:val="20"/>
          <w:color w:val="auto"/>
        </w:rPr>
      </w:pPr>
    </w:p>
    <w:p>
      <w:pPr>
        <w:ind w:left="600" w:right="7900" w:hanging="600"/>
        <w:spacing w:after="0" w:line="516" w:lineRule="auto"/>
        <w:tabs>
          <w:tab w:leader="none" w:pos="579"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Selling Shareholders </w:t>
      </w:r>
      <w:r>
        <w:rPr>
          <w:rFonts w:ascii="Times New Roman" w:cs="Times New Roman" w:eastAsia="Times New Roman" w:hAnsi="Times New Roman"/>
          <w:sz w:val="16"/>
          <w:szCs w:val="16"/>
          <w:color w:val="auto"/>
        </w:rPr>
        <w:t>Not applicable.</w:t>
      </w:r>
    </w:p>
    <w:p>
      <w:pPr>
        <w:ind w:left="560" w:hanging="560"/>
        <w:spacing w:after="0"/>
        <w:tabs>
          <w:tab w:leader="none" w:pos="56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Dilution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8" w:lineRule="exact"/>
        <w:rPr>
          <w:sz w:val="20"/>
          <w:szCs w:val="20"/>
          <w:color w:val="auto"/>
        </w:rPr>
      </w:pPr>
    </w:p>
    <w:p>
      <w:pPr>
        <w:ind w:left="600" w:right="7900" w:hanging="600"/>
        <w:spacing w:after="0" w:line="516" w:lineRule="auto"/>
        <w:tabs>
          <w:tab w:leader="none" w:pos="545"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Expenses of the Issue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ADDITIONAL INFORMATION</w:t>
      </w:r>
    </w:p>
    <w:p>
      <w:pPr>
        <w:spacing w:after="0" w:line="212" w:lineRule="exact"/>
        <w:rPr>
          <w:sz w:val="20"/>
          <w:szCs w:val="20"/>
          <w:color w:val="auto"/>
        </w:rPr>
      </w:pPr>
    </w:p>
    <w:p>
      <w:pPr>
        <w:jc w:val="both"/>
        <w:ind w:left="600" w:right="8320" w:hanging="595"/>
        <w:spacing w:after="0" w:line="516" w:lineRule="auto"/>
        <w:tabs>
          <w:tab w:leader="none" w:pos="584"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 Capital </w:t>
      </w:r>
      <w:r>
        <w:rPr>
          <w:rFonts w:ascii="Times New Roman" w:cs="Times New Roman" w:eastAsia="Times New Roman" w:hAnsi="Times New Roman"/>
          <w:sz w:val="16"/>
          <w:szCs w:val="16"/>
          <w:color w:val="auto"/>
        </w:rPr>
        <w:t>Not applicable.</w:t>
      </w:r>
    </w:p>
    <w:p>
      <w:pPr>
        <w:ind w:left="560" w:hanging="560"/>
        <w:spacing w:after="0"/>
        <w:tabs>
          <w:tab w:leader="none" w:pos="560"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Memorandum and Articles of Association</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and our affairs are governed by our current thirteenth amended and restated memorandum and articles of association, the Companies Act, and the common law of the Cayman Islands.</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The following are summaries of material provisions of our thirteenth amended and restated memorandum and articles of association which took effect in August 2022, insofar as they relate to the material terms of our ordinary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Objects of Our Company</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Under our thirteenth amended and restated memorandum and articles of association, the objects of our company are unrestricted and we have the full power and authority to carry out any object not prohibited by the law of the Cayman Islands.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Ordinary Shares</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Our authorized share capital is US$1,000,000 divided into 4,000,000,000 shares comprising of (i) 2,632,030,222 Class A ordinary shares of a par value of US$0.00025 each, (ii) 148,500,000 Class C ordinary shares of a par value of US$0.00025 each and (iii) 1,219,469,778 shares of a par value of US$0.00025 each of such class or classes (however designated) as our board of directors may determine in accordance with our thirteenth amended and restated memorandum and articles of association. All of our issued and outstanding ordinary shares are fully paid and non-assessable. Our ordinary shares are issued in registered form, and are issued when registered in our register of members. Our shareholders who are non-residents of the Cayman Islands may freely hold and vote their ordinary shares. Under our thirteenth amended and restated memorandum and articles of association, our company may not issue bearer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Class of ordinary shares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Holders of Class A ordinary shares and Class C ordinary shares shall at all times vote together as one class on all resolutions submitted to a vote by the holders of ordinary shares. Each Class A ordinary share shall entitle the holder thereof to one (1) vote on all matters subject to vote at general meetings of our company, and each Class C ordinary share shall entitle the holder thereof to eight (8) votes on all matters subject to vote at general meetings of our company. During the Relevant Period, our company shall have only one class of shares that each of such share entitles the holder thereof to more than one (1) vote on all matters subject to vote at general meetings of our company, which is Class C ordinary shares.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Conversion</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Each Class C ordinary share is convertible into one (1) Class A ordinary share at any time at the option of the holder thereof. In no event shall Class A ordinary shares be convertible into Class C ordinary shares.</w:t>
      </w:r>
    </w:p>
    <w:p>
      <w:pPr>
        <w:spacing w:after="0" w:line="137"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Upon any sale, transfer, assignment or disposition of any Class C ordinary share by a shareholder to any person who is not an existing shareholder of Class C ordinary shares and any affiliate of such shareholder or NIO Users Trust, or upon a change of ultimate beneficial ownership of any Class C ordinary share to any person who is not an existing shareholder of Class C ordinary shares and any affiliate of such shareholder or NIO Users Trust, each such Class C ordinary share shall be automatically and immediately converted into one (1) Class A ordinary share.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holders of our ordinary shares are entitled to such dividends as may be declared by our board of directors, subject to our thirteenth amended and restated memorandum articles of association. In addition, our shareholders may by ordinary resolution declare a dividend, but no dividend may exceed the amount recommended by our directors. In either case,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21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Voting at any shareholders’ meeting is by show of hands unless a poll is demanded. Each Class A ordinary share shall entitle the holder thereof to one (1) vote on all matters subject to vote at general meetings of our company, and each Class C ordinary share shall entitle the holder thereof to eight (8) votes on all matters subject to vote at general meetings of our company. A poll may be demanded by the chairman of such meeting or any one or more shareholders present in person or by proxy at the meeting. However, during the Relevant Period, each Class A ordinary share and each Class C ordinary share shall entitle its holder to one vote on a poll at a general meeting in respect of a resolution on any of the following matters:</w:t>
      </w:r>
    </w:p>
    <w:p>
      <w:pPr>
        <w:spacing w:after="0" w:line="3" w:lineRule="exact"/>
        <w:rPr>
          <w:sz w:val="20"/>
          <w:szCs w:val="20"/>
          <w:color w:val="auto"/>
        </w:rPr>
      </w:pPr>
    </w:p>
    <w:p>
      <w:pPr>
        <w:jc w:val="both"/>
        <w:spacing w:after="0" w:line="267" w:lineRule="auto"/>
        <w:tabs>
          <w:tab w:leader="none" w:pos="225"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amendment of our memorandum or articles of association, including the variation of the rights attached to any class of shares; (ii) the appointment, election or removal of any independent non-executive director; (iii) the appointment or removal of the auditors; or (iv) the voluntary liquidation or winding-up of our company.</w:t>
      </w:r>
    </w:p>
    <w:p>
      <w:pPr>
        <w:spacing w:after="0" w:line="161"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three-fourths of the votes cast attaching to the outstanding ordinary shares at a meeting. A special resolution will be required for important matters such as a change of name or making changes to our thirteenth amended and restated memorandum and articles of association.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thirteenth amended and restated memorandum and articles of association, and cancelling any unissued shares. Both ordinary resolution and special resolution may also be passed by a unanimous written resolution signed by all the shareholders of our company, as permitted by the Companies Act and our thirteenth amended and restated memorandum and articles of association.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Appointment and Removal of Directors</w:t>
      </w:r>
    </w:p>
    <w:p>
      <w:pPr>
        <w:spacing w:after="0" w:line="21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Our board of directors may, by the affirmative vote of a simple majority of the directors present and voting at a board meeting, (i) appoint any person as a director, to fill a casual vacancy on the board or, (ii) subject to the maximum size of the board of directors being nine (9) directors, appoint any person as an addition to the existing board. Directors may be removed by ordinary resolution of our shareholders. Subject to the code, rules and regulations applicable to us as a result of our listing in the United States applicable to the composition of the board and qualifications and appointment of directors, (i) NIO Users Trust shall be entitled to nominate one (1) director to the board; and (ii) in the event that Mr. Bin Li is not an incumbent director and the board is composed of no less than six (6) directors, NIO Users Trust shall be entitled to nominate one (1) extra director to the Board. Such director nomination right of NIO Users Trust was ceased to be effective at the First AGM, and shall only be restored when our company is no longer listed on the Hong Kong Stock Exchange. In addition, for so long as CYVN Investments and its affiliates beneficially own no less than 15% of our total issued and outstanding share capital, CYVN Investments is entitled to nominate two directors; if the beneficial ownership of CYVN Investments and its affiliates decreases to less than 15% but remains above 5%, CYVN Investments retains the right to nominate one director. Pursuant to an agreement by and between us and CYVN Investments dated March 7, 2026, solely for the purpose of determining whether CYVN Investments’ beneficial ownership meets the above threshold, the denominator, which represents the then-total issued and outstanding share capital, shall exclude the number of shares then issued pursuant to the 2026 Share Incentive Plan to Bin Li. The foregoing director nomination rights of CYVN Investments are subject to compliance with the Company’s articles and requirements of relevant stock exchanges.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Meetings of Shareholders</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As a Cayman Islands exempted company, we are not obliged by the Companies Act to call shareholders’ annual general meetings. However, our thirteenth amended and restated memorandum and articles of association provide that we shall in each financial year hold a general meeting as our annual general meeting in addition to any other meeting in that year and shall specify the meeting as such in the notice calling it, and the annual general meeting shall be held at such time and place as may be determined by our directors.</w:t>
      </w:r>
    </w:p>
    <w:p>
      <w:pPr>
        <w:spacing w:after="0" w:line="159" w:lineRule="exact"/>
        <w:rPr>
          <w:sz w:val="20"/>
          <w:szCs w:val="20"/>
          <w:color w:val="auto"/>
        </w:rPr>
      </w:pPr>
    </w:p>
    <w:p>
      <w:pPr>
        <w:jc w:val="both"/>
        <w:ind w:firstLine="594"/>
        <w:spacing w:after="0" w:line="270" w:lineRule="auto"/>
        <w:rPr>
          <w:sz w:val="20"/>
          <w:szCs w:val="20"/>
          <w:color w:val="auto"/>
        </w:rPr>
      </w:pPr>
      <w:r>
        <w:rPr>
          <w:rFonts w:ascii="Times New Roman" w:cs="Times New Roman" w:eastAsia="Times New Roman" w:hAnsi="Times New Roman"/>
          <w:sz w:val="16"/>
          <w:szCs w:val="16"/>
          <w:color w:val="auto"/>
        </w:rPr>
        <w:t>Shareholders’ general meetings may be convened by the chairman of the board of directors or a majority of our board of directors. Advance notice of at least twenty - one calendar days is required for the convening of our annual general shareholders’ meeting and advance notice of at least fourteen calendar days is required for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360"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thirteenth amended and restated memorandum and articles of association provide that upon the requisition of shareholders representing in aggregate not less than one-tenth of all votes (on a one vote per share basis) attaching to the outstanding shares of our company entitled to vote at general meetings, our board will convene an extraordinary general meeting and put the resolutions so requisitioned to a vote at such meeting, and such shareholders may add resolutions to the meeting agenda.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of Ordinary Shares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Subject to the restrictions in our thirteenth amended and restated memorandum and articles of association set out below, any of our shareholders may transfer all or any of his or her ordinary shares by an instrument of transfer in writing and in the usual or common form or any other form approved by our board of directors.</w:t>
      </w:r>
    </w:p>
    <w:p>
      <w:pPr>
        <w:spacing w:after="0" w:line="153"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37" w:lineRule="exact"/>
        <w:rPr>
          <w:sz w:val="20"/>
          <w:szCs w:val="20"/>
          <w:color w:val="auto"/>
        </w:rPr>
      </w:pPr>
    </w:p>
    <w:p>
      <w:pPr>
        <w:ind w:left="920" w:hanging="301"/>
        <w:spacing w:after="0" w:line="298" w:lineRule="auto"/>
        <w:tabs>
          <w:tab w:leader="none" w:pos="9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ordinary shares;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920" w:hanging="301"/>
        <w:spacing w:after="0" w:line="298" w:lineRule="auto"/>
        <w:tabs>
          <w:tab w:leader="none" w:pos="9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ordinary share is to be transferred does not exceed four; and</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New York Stock Exchange or the Hong Kong Stock Exchange may determine to be payable or such lesser sum as our directors may from time to time require is paid to us in respect thereof.</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If our directors refuse to register a transfer they shall, within three months after the date on which the instrument of transfer was lodged, send to each of the transferor and the transferee notice of such refusal.</w:t>
      </w:r>
    </w:p>
    <w:p>
      <w:pPr>
        <w:spacing w:after="0" w:line="137"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The registration of transfers may, after compliance with any notice required of the New York Stock Exchange or the Hong Kong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of directors may determine.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w:t>
      </w:r>
    </w:p>
    <w:p>
      <w:pPr>
        <w:spacing w:after="0" w:line="216" w:lineRule="exact"/>
        <w:rPr>
          <w:sz w:val="20"/>
          <w:szCs w:val="20"/>
          <w:color w:val="auto"/>
        </w:rPr>
      </w:pPr>
    </w:p>
    <w:p>
      <w:pPr>
        <w:jc w:val="both"/>
        <w:ind w:firstLine="594"/>
        <w:spacing w:after="0" w:line="267" w:lineRule="auto"/>
        <w:rPr>
          <w:sz w:val="20"/>
          <w:szCs w:val="20"/>
          <w:color w:val="auto"/>
        </w:rPr>
      </w:pPr>
      <w:r>
        <w:rPr>
          <w:rFonts w:ascii="Times New Roman" w:cs="Times New Roman" w:eastAsia="Times New Roman" w:hAnsi="Times New Roman"/>
          <w:sz w:val="16"/>
          <w:szCs w:val="16"/>
          <w:color w:val="auto"/>
        </w:rPr>
        <w:t>On the winding-up of our company, if the assets available for distribution among our shareholders shall be more than sufficient to repay the whole of the share capital at the commencement of the winding-up, the surplus shall be distributed amongst our shareholders in proportion to the par value of the shares held by them at the commencement of the winding-up,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Calls on Shares and Forfeiture of Shares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Redemption, Repurchase and Surrender of Shares</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may issue shares on terms that such shares are subject to redemption, at our option or at the option of the holders of these shares, on such terms and in such manner as may be determined by our board of directors or by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Variations of Rights of Shares</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If at any time, our share capital is divided into different classes of shares, the rights attached to any class of shares (unless otherwise provided by the terms of issue of the shares of that class), may only be varied with the consent in writing of holders of three-fourths of the issued shares of that class or with the sanction of a special resolution passed at a separate meeting of the holders of the shares of that class by holders of three-fourths of the issued shares of that class present in person or by proxy and voting at such meeting. The rights conferred upon the holders of the shares of any class issued shall not, subject to any rights or restrictions for the time being attached to the shares of that class, be deemed to be varied by, inter alia, the creation, allotment or issue of further shares ranking pari passu with such existing class of shares.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Issuance of Additional Shares</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Our thirteenth amended and restated memorandum of association authorizes our board of directors to issue additional ordinary shares from time to time as our board of directors shall determine, to the extent of available authorized but unissued shares.</w:t>
      </w:r>
    </w:p>
    <w:p>
      <w:pPr>
        <w:spacing w:after="0" w:line="137"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thirteenth amended and restated memorandum of association also authorizes our board of directors, at any time after the Relevant Period, to establish from time to time one or more series of preference shares and to determine, with respect to any series of preference shares, the terms and rights of that series, including:</w:t>
      </w:r>
    </w:p>
    <w:p>
      <w:pPr>
        <w:spacing w:after="0" w:line="153" w:lineRule="exact"/>
        <w:rPr>
          <w:sz w:val="20"/>
          <w:szCs w:val="20"/>
          <w:color w:val="auto"/>
        </w:rPr>
      </w:pPr>
    </w:p>
    <w:p>
      <w:pPr>
        <w:ind w:left="920" w:hanging="301"/>
        <w:spacing w:after="0"/>
        <w:tabs>
          <w:tab w:leader="none" w:pos="9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series;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series;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rights, dividend rates, conversion rights and voting rights;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and terms of redemption and liquidation preferences.</w:t>
      </w:r>
    </w:p>
    <w:p>
      <w:pPr>
        <w:spacing w:after="0" w:line="212"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At any time after the Relevant Period, our board of directors may issue preference shares without action by our shareholders to the extent authorized but unissued. Issuance of these shares may dilute the voting power of holders of ordinary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Inspection of Books and Records</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Holders of our ordinary shares will have no general right under Cayman Islands law to inspect or obtain copies of our list of shareholders or our corporate records (except for our thirteenth amended and restated memorandum and articles of association and our register of mortgages and charges) except as conferred by law or authorized by the directors or by ordinary resolution. Under Cayman Islands law, the names of our current directors can be obtained from a search conducted at the Registrar of Companies.</w:t>
      </w:r>
    </w:p>
    <w:p>
      <w:pPr>
        <w:spacing w:after="0" w:line="15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However, as a company that is subject to the periodic reporting and other informational requirements of the Exchange Act, we file annual reports with the SEC that include annual audited financial statements. See “Item 10. Additional Information—H. Documents on Display.”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Capital</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shareholders may from time to time by ordinary resolution:</w:t>
      </w:r>
    </w:p>
    <w:p>
      <w:pPr>
        <w:spacing w:after="0" w:line="212" w:lineRule="exact"/>
        <w:rPr>
          <w:sz w:val="20"/>
          <w:szCs w:val="20"/>
          <w:color w:val="auto"/>
        </w:rPr>
      </w:pPr>
    </w:p>
    <w:p>
      <w:pPr>
        <w:ind w:left="920" w:hanging="301"/>
        <w:spacing w:after="0"/>
        <w:tabs>
          <w:tab w:leader="none" w:pos="9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our share capital by such sum, to be divided into shares of such classes and amount, as the resolution shall prescribe;</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our share capital into shares of a larger amount than our existing shares;</w:t>
      </w:r>
    </w:p>
    <w:p>
      <w:pPr>
        <w:spacing w:after="0" w:line="212"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15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that, at the date of the passing of the resolution, have not been taken or agreed to be taken by any person and diminish the amount of our share capital by the amount of the shares so cancelled.</w:t>
      </w:r>
    </w:p>
    <w:p>
      <w:pPr>
        <w:spacing w:after="0" w:line="137"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Anti-Takeover Provisions</w:t>
      </w:r>
    </w:p>
    <w:p>
      <w:pPr>
        <w:spacing w:after="0" w:line="216"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Some provisions of our thirteenth amended and restated memorandum and articles of association may discourage, delay or prevent a change of control of our company or management that shareholders may consider favorable, including provisions that:</w:t>
      </w:r>
    </w:p>
    <w:p>
      <w:pPr>
        <w:spacing w:after="0" w:line="137" w:lineRule="exact"/>
        <w:rPr>
          <w:sz w:val="20"/>
          <w:szCs w:val="20"/>
          <w:color w:val="auto"/>
        </w:rPr>
      </w:pPr>
    </w:p>
    <w:p>
      <w:pPr>
        <w:jc w:val="both"/>
        <w:ind w:left="920" w:hanging="301"/>
        <w:spacing w:after="0" w:line="291" w:lineRule="auto"/>
        <w:tabs>
          <w:tab w:leader="none" w:pos="9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after the Relevant Period, authorize our board of directors to issue preference shares in one or more series and to designate the price, rights, preferences, privileges and restrictions of such preference shares without any further vote or action by our shareholders; and</w:t>
      </w:r>
    </w:p>
    <w:p>
      <w:pPr>
        <w:spacing w:after="0" w:line="345"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after the Relevant Period, limit the ability of shareholders to requisition and convene general meetings of shareholders.</w:t>
      </w:r>
    </w:p>
    <w:p>
      <w:pPr>
        <w:spacing w:after="0" w:line="212" w:lineRule="exact"/>
        <w:rPr>
          <w:sz w:val="20"/>
          <w:szCs w:val="20"/>
          <w:color w:val="auto"/>
        </w:rPr>
      </w:pPr>
    </w:p>
    <w:p>
      <w:pPr>
        <w:jc w:val="both"/>
        <w:ind w:firstLine="594"/>
        <w:spacing w:after="0" w:line="291" w:lineRule="auto"/>
        <w:rPr>
          <w:sz w:val="20"/>
          <w:szCs w:val="20"/>
          <w:color w:val="auto"/>
        </w:rPr>
      </w:pPr>
      <w:r>
        <w:rPr>
          <w:rFonts w:ascii="Times New Roman" w:cs="Times New Roman" w:eastAsia="Times New Roman" w:hAnsi="Times New Roman"/>
          <w:sz w:val="16"/>
          <w:szCs w:val="16"/>
          <w:color w:val="auto"/>
        </w:rPr>
        <w:t>However, under Cayman Islands law, our directors may only exercise the rights and powers granted to them under our thirteenth amended and restated memorandum and articles of association for a proper purpose and for what they believe in good faith to be in the best interests of our company.</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Exempted Company</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We are an exempted company with limited liability under the Companies Act. The Companies Act distinguishes between ordinary resident companies, ordinary non-resident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resident/non-resident company except that an exempted company:</w:t>
      </w:r>
    </w:p>
    <w:p>
      <w:pPr>
        <w:spacing w:after="0" w:line="159" w:lineRule="exact"/>
        <w:rPr>
          <w:sz w:val="20"/>
          <w:szCs w:val="20"/>
          <w:color w:val="auto"/>
        </w:rPr>
      </w:pPr>
    </w:p>
    <w:p>
      <w:pPr>
        <w:ind w:left="920" w:hanging="301"/>
        <w:spacing w:after="0"/>
        <w:tabs>
          <w:tab w:leader="none" w:pos="9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file an annual return detailing its shareholders with the Registrar of Companies of the Cayman Islands;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required to open its register of members for inspection;</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hold an annual general meeting;</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obtain an undertaking against the imposition of any future taxation (such undertakings are usually given for 30 years in the first instance);</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by way of continuation in another jurisdiction and be deregistered in the Cayman Islands;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limited duration company; and</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segregated portfolio company.</w:t>
      </w:r>
    </w:p>
    <w:p>
      <w:pPr>
        <w:spacing w:after="0" w:line="21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Differences in Corporate Law</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Companies Act (As Revised) is derived, to a large extent, from the older Companies Acts of England but does not follow recent United Kingdom statutory enactments, and accordingly there are significant differences between the Companies Act (As Revised) and the current Companies Act of England.</w:t>
      </w:r>
    </w:p>
    <w:p>
      <w:pPr>
        <w:spacing w:after="0" w:line="15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 addition, the Companies Act (As Revised) differs from laws applicable to United States corporations and their shareholders. Set forth below is a summary of certain significant differences between the provisions of the Companies Act (As Revised) applicable to us and the laws applicable to United States corporations and companies incorporated in the State of Delaware.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Mergers and Similar Arrangements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61"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6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5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The consent of each holder of a fixed or floating security interest over a constituent company is required unless this requirement is waived by a court in the Cayman Islands.</w:t>
      </w:r>
    </w:p>
    <w:p>
      <w:pPr>
        <w:spacing w:after="0" w:line="137"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61"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62" w:lineRule="exact"/>
        <w:rPr>
          <w:sz w:val="20"/>
          <w:szCs w:val="20"/>
          <w:color w:val="auto"/>
        </w:rPr>
      </w:pPr>
    </w:p>
    <w:p>
      <w:pPr>
        <w:ind w:left="920" w:hanging="301"/>
        <w:spacing w:after="0"/>
        <w:tabs>
          <w:tab w:leader="none" w:pos="9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provisions as to the required majority vote have been met;</w:t>
      </w:r>
    </w:p>
    <w:p>
      <w:pPr>
        <w:spacing w:after="0" w:line="174"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00" w:lineRule="exact"/>
        <w:rPr>
          <w:rFonts w:ascii="Times New Roman" w:cs="Times New Roman" w:eastAsia="Times New Roman" w:hAnsi="Times New Roman"/>
          <w:sz w:val="16"/>
          <w:szCs w:val="16"/>
          <w:color w:val="auto"/>
        </w:rPr>
      </w:pPr>
    </w:p>
    <w:p>
      <w:pPr>
        <w:ind w:left="920" w:hanging="301"/>
        <w:spacing w:after="0" w:line="269" w:lineRule="auto"/>
        <w:tabs>
          <w:tab w:leader="none" w:pos="9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 and</w:t>
      </w:r>
    </w:p>
    <w:p>
      <w:pPr>
        <w:spacing w:after="0" w:line="363"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not one that would more properly be sanctioned under some other provision of the Companies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6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If the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Shareholders’ Suits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161" w:lineRule="exact"/>
        <w:rPr>
          <w:sz w:val="20"/>
          <w:szCs w:val="20"/>
          <w:color w:val="auto"/>
        </w:rPr>
      </w:pPr>
    </w:p>
    <w:p>
      <w:pPr>
        <w:ind w:left="920" w:hanging="301"/>
        <w:spacing w:after="0"/>
        <w:tabs>
          <w:tab w:leader="none" w:pos="9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acts or proposes to act illegally or ultra vires;</w:t>
      </w:r>
    </w:p>
    <w:p>
      <w:pPr>
        <w:spacing w:after="0" w:line="174"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 complained of, although not ultra vires, could only be effected duly if authorized by more than a simple majority vote that has not been obtained; and</w:t>
      </w:r>
    </w:p>
    <w:p>
      <w:pPr>
        <w:spacing w:after="0" w:line="100"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 which constitutes a fraud against the minority where the wrongdoers are themselves in control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of Directors and Executive Officers and Limitation of Liability</w:t>
      </w:r>
    </w:p>
    <w:p>
      <w:pPr>
        <w:spacing w:after="0" w:line="21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thirteenth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70"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In addition, we have entered into indemnification agreements with our directors and executive officers that provide such persons with additional indemnification beyond that provided in our thirteenth amended and restated memorandum and articles of association.</w:t>
      </w:r>
    </w:p>
    <w:p>
      <w:pPr>
        <w:spacing w:after="0" w:line="137"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Directors’ Fiduciary Duties</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5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5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137" w:lineRule="exact"/>
        <w:rPr>
          <w:sz w:val="20"/>
          <w:szCs w:val="20"/>
          <w:color w:val="auto"/>
        </w:rPr>
      </w:pPr>
    </w:p>
    <w:p>
      <w:pPr>
        <w:ind w:left="920" w:hanging="301"/>
        <w:spacing w:after="0"/>
        <w:tabs>
          <w:tab w:leader="none" w:pos="9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duty to act in good faith in the best interests of the company,</w:t>
      </w:r>
    </w:p>
    <w:p>
      <w:pPr>
        <w:spacing w:after="0" w:line="17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duty not to make a personal profit based on his or her position as director (unless the company permits him or her to do so),</w:t>
      </w:r>
    </w:p>
    <w:p>
      <w:pPr>
        <w:spacing w:after="0" w:line="174"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duty not to put himself or herself in a position where the interests of the company conflict with his or her personal interest or his or her duty to a third party, and</w:t>
      </w:r>
    </w:p>
    <w:p>
      <w:pPr>
        <w:spacing w:after="0" w:line="1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duty to exercise powers for the purpose for which such powers were intended.</w:t>
      </w:r>
    </w:p>
    <w:p>
      <w:pPr>
        <w:spacing w:after="0" w:line="212"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 Action by Written Consent</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 Proposals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Companies Act (As Revised) does not provide shareholders with an express right to put forth any proposal before a general meeting of the shareholders. However, the Companies Act (As Revised) may provide shareholders with limited rights to requisition a general meeting but such rights must be stipulated in the articles of association of the company.</w:t>
      </w:r>
    </w:p>
    <w:p>
      <w:pPr>
        <w:spacing w:after="0" w:line="15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Any one or more shareholders holding not less than one-tenth of the voting rights on a one vote per share basis, in the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Cumulative Voting</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5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There are no prohibitions relating to cumulative voting under the laws of the Cayman Islands, but our thirteenth amended and restated memorandum and articles of association do not provide for cumulative voting. As a result, our shareholders are not afforded any less protections or rights on this issue than shareholders of a Delaware corporation.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Removal of Directors</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w:t>
      </w:r>
    </w:p>
    <w:p>
      <w:pPr>
        <w:spacing w:after="0" w:line="137"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Under our thirteenth amended and restated memorandum and articles of association, directors may be removed with or without cause, by an ordinary resolution of our shareholders. A director will also cease to be a director if he or she (i) becomes bankrupt or makes any arrangement or composition with his or her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thirteenth amended and restated articles of association.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Transactions with Interested Shareholders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61"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5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Restructuring</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A company may present a petition to the Grand Court of the Cayman Islands for the appointment of a restructuring officer on the grounds that the company:</w:t>
      </w:r>
    </w:p>
    <w:p>
      <w:pPr>
        <w:spacing w:after="0" w:line="137" w:lineRule="exact"/>
        <w:rPr>
          <w:sz w:val="20"/>
          <w:szCs w:val="20"/>
          <w:color w:val="auto"/>
        </w:rPr>
      </w:pPr>
    </w:p>
    <w:p>
      <w:pPr>
        <w:ind w:left="920" w:hanging="301"/>
        <w:spacing w:after="0"/>
        <w:tabs>
          <w:tab w:leader="none" w:pos="9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 is likely to become unable to pay its debts; and</w:t>
      </w:r>
    </w:p>
    <w:p>
      <w:pPr>
        <w:spacing w:after="0" w:line="174"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intends to present a compromise or arrangement to its creditors (or classes thereof) either pursuant to the Companies Act, the law of a foreign country or by way of a consensual restructuring.</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Dissolution; Winding Up</w:t>
      </w:r>
    </w:p>
    <w:p>
      <w:pPr>
        <w:spacing w:after="0" w:line="216"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5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Variation of Rights of Shares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thirteenth amended and restated memorandum and articles of association, if our share capital is divided into more than one class of shares, we may vary the rights attached to any class with the sanction of a special resolution passed by a majority of not less than three-fourths of the votes cast at a separate meeting of the holders of the shares of that class.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Amendment of Governing Documents</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Under Cayman Islands law, our thirteenth amended and restated memorandum and articles of association may only be amended with a special resolution of our shareholders.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of Non-resident or Foreign Shareholders</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There are no limitations imposed by our thirteenth amended and restated memorandum and articles of association on the rights of non-resident or foreign shareholders to hold or exercise voting rights on our shares.</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In addition, there are no provisions in our thirteenth amended and restated memorandum and articles of association governing the ownership threshold above which shareholder ownership must be disclosed.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Inspection of Books and Records</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Under the Delaware General Corporation Law, any shareholder of a corporation may for any proper purpose inspect or make copies of the corporation’s stock ledger, list of shareholders and other books and records.</w:t>
      </w:r>
    </w:p>
    <w:p>
      <w:pPr>
        <w:spacing w:after="0" w:line="137"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However, we intend to provide our shareholders with annual reports containing audited financial statements.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580" w:hanging="580"/>
        <w:spacing w:after="0"/>
        <w:tabs>
          <w:tab w:leader="none" w:pos="580"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Contracts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w:t>
      </w:r>
    </w:p>
    <w:p>
      <w:pPr>
        <w:spacing w:after="0" w:line="149" w:lineRule="exact"/>
        <w:rPr>
          <w:sz w:val="20"/>
          <w:szCs w:val="20"/>
          <w:color w:val="auto"/>
        </w:rPr>
      </w:pPr>
    </w:p>
    <w:p>
      <w:pPr>
        <w:ind w:left="580" w:hanging="580"/>
        <w:spacing w:after="0"/>
        <w:tabs>
          <w:tab w:leader="none" w:pos="58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Controls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See “Item 4. Information on the Company—B. Business Overview—Regulations—Regulations on Foreign Exchange.”</w:t>
      </w:r>
    </w:p>
    <w:p>
      <w:pPr>
        <w:spacing w:after="0" w:line="208" w:lineRule="exact"/>
        <w:rPr>
          <w:sz w:val="20"/>
          <w:szCs w:val="20"/>
          <w:color w:val="auto"/>
        </w:rPr>
      </w:pPr>
    </w:p>
    <w:p>
      <w:pPr>
        <w:ind w:left="560" w:hanging="560"/>
        <w:spacing w:after="0"/>
        <w:tabs>
          <w:tab w:leader="none" w:pos="56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following discussion of Cayman Islands, PRC and United States federal income tax consequences of an investment in our ADSs or ordinary shares is based upon laws and interpretations thereof in effect as of the date of this annual report, all of which are subject to change or differing interpretation, possibly with retroactive effect. This summary does not deal with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Cayman Islands currently has no form of income, corporate or capital gains tax and no estate duty, inheritance tax or gift tax.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spacing w:after="0" w:line="16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People’s Republic of China Taxation</w:t>
      </w:r>
    </w:p>
    <w:p>
      <w:pPr>
        <w:spacing w:after="0" w:line="216"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 xml:space="preserve">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Taxation Administration issued the Circular on Issues Relating to Identification of PRC-Controlled Overseas Registered Enterprises as Resident Enterprises in Accordance with the De Facto Standards of Organizational Management, or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Taxation Administration issued the </w:t>
      </w:r>
      <w:r>
        <w:rPr>
          <w:rFonts w:ascii="Times New Roman" w:cs="Times New Roman" w:eastAsia="Times New Roman" w:hAnsi="Times New Roman"/>
          <w:sz w:val="16"/>
          <w:szCs w:val="16"/>
          <w:i w:val="1"/>
          <w:iCs w:val="1"/>
          <w:color w:val="auto"/>
        </w:rPr>
        <w:t>Bulletin on Promulgation of the Administrative Measures for Income Tax of Chinese-Controlled Offshore-Incorporated Resident Enterprises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(Trial Implementation)</w:t>
      </w:r>
      <w:r>
        <w:rPr>
          <w:rFonts w:ascii="Times New Roman" w:cs="Times New Roman" w:eastAsia="Times New Roman" w:hAnsi="Times New Roman"/>
          <w:sz w:val="16"/>
          <w:szCs w:val="16"/>
          <w:color w:val="auto"/>
        </w:rPr>
        <w:t>, which took effect in September 2011, to provide more guidance on the implementation of Circular 82. This bulletin provides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procedures and administration details of determination on resident status and administration on post-determination matters.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NIO Inc.’s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62" w:lineRule="exact"/>
        <w:rPr>
          <w:sz w:val="20"/>
          <w:szCs w:val="20"/>
          <w:color w:val="auto"/>
        </w:rPr>
      </w:pPr>
    </w:p>
    <w:p>
      <w:pPr>
        <w:jc w:val="both"/>
        <w:ind w:firstLine="594"/>
        <w:spacing w:after="0" w:line="260" w:lineRule="auto"/>
        <w:rPr>
          <w:sz w:val="20"/>
          <w:szCs w:val="20"/>
          <w:color w:val="auto"/>
        </w:rPr>
      </w:pPr>
      <w:r>
        <w:rPr>
          <w:rFonts w:ascii="Times New Roman" w:cs="Times New Roman" w:eastAsia="Times New Roman" w:hAnsi="Times New Roman"/>
          <w:sz w:val="16"/>
          <w:szCs w:val="16"/>
          <w:color w:val="auto"/>
        </w:rPr>
        <w:t xml:space="preserve">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Enterprise Income Tax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w:t>
      </w:r>
      <w:r>
        <w:rPr>
          <w:rFonts w:ascii="Times New Roman" w:cs="Times New Roman" w:eastAsia="Times New Roman" w:hAnsi="Times New Roman"/>
          <w:sz w:val="16"/>
          <w:szCs w:val="16"/>
          <w:i w:val="1"/>
          <w:iCs w:val="1"/>
          <w:color w:val="auto"/>
        </w:rPr>
        <w:t>Arrangement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between the Chinese Mainland and the Hong Kong Special Administrative Region for the Avoidance of Double Taxation and Tax Evasion on Income, </w:t>
      </w:r>
      <w:r>
        <w:rPr>
          <w:rFonts w:ascii="Times New Roman" w:cs="Times New Roman" w:eastAsia="Times New Roman" w:hAnsi="Times New Roman"/>
          <w:sz w:val="16"/>
          <w:szCs w:val="16"/>
          <w:color w:val="auto"/>
        </w:rPr>
        <w:t>the tax rate in respect to dividends paid by a PRC enterprise to a Hong Kong enterprise is reduced to 5% from a standard rate of 10% if the Hong Kong enterprise directly holds at least 25% of the PRC enterprise. Pursuant to STA Circular 81,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Treaties, which took effect in January 2020, require that non-resident enterprises must obtain approval from the tax authority in order to enjoy the reduced tax rate. There are also other conditions for enjoying the reduced tax rate according to other tax rules and regulations. Accordingly, our subsidiaries may be able to enjoy the 5% tax rate for the dividends it receives from its PRC incorporated subsidiaries if they satisfy the conditions prescribed under STA Circular 81 and other tax rules and regulations and obtain the approvals as required. However, according to STA Circular 81, if the tax authorities determine our transactions or arrangements are for the primary purpose of enjoying a favorable tax treatment, the tax authorities may adjust the favorable tax rate on dividends in the future.</w:t>
      </w:r>
    </w:p>
    <w:p>
      <w:pPr>
        <w:spacing w:after="0" w:line="367"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Provided that our Cayman Islands holding company, NIO Inc., is not deemed to be a PRC resident enterprise, holders of our ADSs and Class A ordinary shares who are not PRC residents will not be subject to PRC income tax on dividends that we distributed or gains realized from the sale or other disposition of our shares or ADSs.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“Item 3. Key Information—D. Risk Factors—Risks Related to Doing Business in China—We face uncertainty with respect to indirect transfers of equity interests in PRC resident enterprises by their non-PRC holding companies.”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United States Federal Income Taxation</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The following discussion is a summary of U.S. federal income tax considerations generally applicable to the ownership and disposition of our ADSs or Class A ordinary shares by a U.S. Holder (as defined below) that acquires our ADSs and holds our ADSs as “capital assets” (generally, property held for investment) under Section 1221 of the U.S. Internal Revenue Code of 1986, as amended (the “Code”) and the Treasury Regulations promulgated thereunder. This discussion is based upon existing U.S. federal income tax law, which is subject to differing interpretations or changes, possibly with retroactive effect. There can be no assurance that the Internal Revenue Service (the “IRS”) or a court will not take a contrary position. This discussion, moreover, does not address U.S. federal estate, gift, Medicare, any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66" w:lineRule="exact"/>
        <w:rPr>
          <w:sz w:val="20"/>
          <w:szCs w:val="20"/>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and other financial institutions;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pension plans;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cooperatives;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traders that elect to use a mark-to-market method of accounting;</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U.S. citizens or long-term residents;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 (including private foundations);</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acquire ADSs or Class A ordinary shares pursuant to any employee share option or otherwise as compensation;</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ADSs or Class A ordinary shares as part of a straddle, hedge, conversion, constructive sale or other integrated transaction for U.S. federal income tax purposes;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have a functional currency other than the U.S. dollar;</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directly, indirectly, constructively own 10% or more of our stock (by vote or value); or</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partnerships or other entities taxable as partnerships for U.S. federal income tax purposes, or persons holding ADSs or Class A ordinary shares through such entities.</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All of the foregoing may be subject to tax rules that differ significantly from those discussed below.</w:t>
      </w:r>
    </w:p>
    <w:p>
      <w:pPr>
        <w:spacing w:after="0" w:line="212"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216"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For purposes of this discussion, a “U.S. Holder” is a beneficial owner of our ADSs or Class A ordinary shares that is, for U.S. federal income tax purposes:</w:t>
      </w:r>
    </w:p>
    <w:p>
      <w:pPr>
        <w:spacing w:after="0" w:line="137" w:lineRule="exact"/>
        <w:rPr>
          <w:sz w:val="20"/>
          <w:szCs w:val="20"/>
          <w:color w:val="auto"/>
        </w:rPr>
      </w:pPr>
    </w:p>
    <w:p>
      <w:pPr>
        <w:ind w:left="920" w:hanging="301"/>
        <w:spacing w:after="0"/>
        <w:tabs>
          <w:tab w:leader="none" w:pos="9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treated as a corporation for U.S. federal income tax purposes) created in, or organized under the law of the United States or any state thereof or the District of Columbia;</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includible in gross income for U.S. federal income tax purposes regardless of its source; or</w:t>
      </w:r>
    </w:p>
    <w:p>
      <w:pPr>
        <w:spacing w:after="0" w:line="212"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5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5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Considerations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 non-U.S. corporation, such as our company, will be classified as a PFIC for U.S. federal income tax purposes for any taxable year, if either</w:t>
      </w:r>
    </w:p>
    <w:p>
      <w:pPr>
        <w:spacing w:after="0" w:line="31" w:lineRule="exact"/>
        <w:rPr>
          <w:sz w:val="20"/>
          <w:szCs w:val="20"/>
          <w:color w:val="auto"/>
        </w:rPr>
      </w:pPr>
    </w:p>
    <w:p>
      <w:pPr>
        <w:jc w:val="both"/>
        <w:spacing w:after="0" w:line="261" w:lineRule="auto"/>
        <w:tabs>
          <w:tab w:leader="none" w:pos="19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6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Although the law in this regard is not entirely clear, we treat the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15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Assuming that we are the owner of the VIEs for U.S. federal income tax purposes, and based upon our current and expected income and assets, we do not believe that we were a PFIC for the taxable year ended December 31, 2025. However, no assurance can be given that we will not be or become a PFIC in the current or future taxable years because the determination of whether we will be or become a PFIC is a factual determination made annually that will depend, in part, upon the nature and composition of our income and assets (in particular, the retention of substantial amounts of cash and investments). Fluctuations in the market price of our ADSs or Class A ordinary shares may cause us to be classified as a PFIC for the current or future taxable years because the value of our assets for purposes of the asset test, including the value of our goodwill and other unbooked intangibles, may be determined by reference to the market price of our ADSs or Class A ordinary shares, which may be volatile. In particular, recent declines in the market price of the ADSs and Class A ordinary shares increased our risk of becoming a PFIC. The market price of the ADSs and Class A ordinary shares may continue to fluctuate considerably and, consequently, we cannot assure you of our PFIC status for any taxable year. Furthermore, the composition of our income and assets may also be affected by how, and how quickly, we use our liquid assets. Under circumstances where our passive income significantly increases relative to our non-passive income, or where we determine not to deploy significant amounts of cash for active purposes, our risk of becoming classified as a PFIC may substantially increase.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If we are classified as a PFIC for any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15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1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(the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readily tradeable on the New York Stock Exchange, which is an established securities market in the United States. There can be no assurance, however, that our ADSs will be considered readily tradeable on an established securities market in later years.</w:t>
      </w:r>
    </w:p>
    <w:p>
      <w:pPr>
        <w:spacing w:after="0" w:line="369"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In the event that we are deemed to be a PRC resident enterprise under the PRC Enterprise Income Tax Law (see “—People’s Republic of China Taxation” above),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358"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 or Other Disposition</w:t>
      </w:r>
    </w:p>
    <w:p>
      <w:pPr>
        <w:spacing w:after="0" w:line="21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Subject to the discussion below under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Treaty. Pursuant to Treasury Regulations, however, if a U.S. Holder is not eligible for the benefits of the Treaty or does not elect to apply the Treaty, then such holder may not be able to claim a foreign tax credit arising from any PRC tax imposed on the disposition of our ADSs or Class A ordinary shares.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or deduction under their particular circumstances, their eligibility for benefits under the Treaty and the potential impact of the Treasury Regulations.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Rules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161" w:lineRule="exact"/>
        <w:rPr>
          <w:sz w:val="20"/>
          <w:szCs w:val="20"/>
          <w:color w:val="auto"/>
        </w:rPr>
      </w:pPr>
    </w:p>
    <w:p>
      <w:pPr>
        <w:ind w:left="920" w:hanging="301"/>
        <w:spacing w:after="0"/>
        <w:tabs>
          <w:tab w:leader="none" w:pos="9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excess distribution or gain will be allocated ratably over the U.S. Holder’s holding period for the ADSs or Class A ordinary shares;</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allocated to each prior taxable year, other than a pre-PFIC year, will be subject to tax at the highest tax rate in effect for individuals or corporations, as appropriate, for that year; and</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tax equal to the interest charge generally applicable to underpayments of tax will be imposed on the tax attributable to each prior taxable year, other than a pre-PFIC year.</w:t>
      </w:r>
    </w:p>
    <w:p>
      <w:pPr>
        <w:spacing w:after="0" w:line="137"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If we are a PFIC for any taxable year during which a U.S. Holder holds our ADSs or Class A ordinary shares and any of our subsidiaries, the VIEs or any of the subsidiaries of the VIEs are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VIEs or any of the subsidiaries of the VIEs.</w:t>
      </w:r>
    </w:p>
    <w:p>
      <w:pPr>
        <w:spacing w:after="0" w:line="15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6"/>
          <w:szCs w:val="16"/>
          <w:color w:val="auto"/>
        </w:rPr>
        <w:t>As an alternative to the foregoing rules, a U.S. Holder of “marketable stock” in a PFIC may make a mark-to-market election with respect to such stock, provided that such stock is regularly traded on a qualified exchange, as defined in applicable U.S. Treasury regulations. For those purposes, our ADSs, but not our Class A ordinary shares, are traded on the New York Stock Exchange which is a qualified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36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Because a mark-to-market election technically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53"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37"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600" w:right="7320" w:hanging="600"/>
        <w:spacing w:after="0" w:line="516" w:lineRule="auto"/>
        <w:tabs>
          <w:tab w:leader="none" w:pos="545"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Dividends and Paying Agents </w:t>
      </w:r>
      <w:r>
        <w:rPr>
          <w:rFonts w:ascii="Times New Roman" w:cs="Times New Roman" w:eastAsia="Times New Roman" w:hAnsi="Times New Roman"/>
          <w:sz w:val="16"/>
          <w:szCs w:val="16"/>
          <w:color w:val="auto"/>
        </w:rPr>
        <w:t>Not applicable.</w:t>
      </w:r>
    </w:p>
    <w:p>
      <w:pPr>
        <w:ind w:left="600" w:right="7820" w:hanging="600"/>
        <w:spacing w:after="0" w:line="516" w:lineRule="auto"/>
        <w:tabs>
          <w:tab w:leader="none" w:pos="588"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Statement by Experts </w:t>
      </w:r>
      <w:r>
        <w:rPr>
          <w:rFonts w:ascii="Times New Roman" w:cs="Times New Roman" w:eastAsia="Times New Roman" w:hAnsi="Times New Roman"/>
          <w:sz w:val="16"/>
          <w:szCs w:val="16"/>
          <w:color w:val="auto"/>
        </w:rPr>
        <w:t>Not applicable.</w:t>
      </w:r>
    </w:p>
    <w:p>
      <w:pPr>
        <w:ind w:left="580" w:hanging="580"/>
        <w:spacing w:after="0"/>
        <w:tabs>
          <w:tab w:leader="none" w:pos="58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Documents on Display</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All information we file with the SEC can be obtained over the internet at the SEC’s website at www.sec.gov. As a foreign private issuer, we are exempt from the rules under the Exchange Act prescribing the furnishing and content of quarterly reports and proxy statements. Our principal shareholders are exempt from the reporting and short-swing profit recovery provisions contained in Section 16 of the Exchange Act, and our officers and directors are exempt from the short-swing profit recovery provisions contained in Section 16 of the Exchange Act.</w:t>
      </w:r>
    </w:p>
    <w:p>
      <w:pPr>
        <w:spacing w:after="0" w:line="16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61"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In accordance with NYSE Rule 203.01, we will post this annual report on our website, http://ir.nio.com/. In addition, we will provide hardcopies of our annual report to shareholders, including ADS holders, free of charge upon request.</w:t>
      </w:r>
    </w:p>
    <w:p>
      <w:pPr>
        <w:spacing w:after="0" w:line="133" w:lineRule="exact"/>
        <w:rPr>
          <w:sz w:val="20"/>
          <w:szCs w:val="20"/>
          <w:color w:val="auto"/>
        </w:rPr>
      </w:pPr>
    </w:p>
    <w:p>
      <w:pPr>
        <w:ind w:left="600" w:right="7740" w:hanging="600"/>
        <w:spacing w:after="0" w:line="516" w:lineRule="auto"/>
        <w:tabs>
          <w:tab w:leader="none" w:pos="524"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Subsidiary Information </w:t>
      </w:r>
      <w:r>
        <w:rPr>
          <w:rFonts w:ascii="Times New Roman" w:cs="Times New Roman" w:eastAsia="Times New Roman" w:hAnsi="Times New Roman"/>
          <w:sz w:val="16"/>
          <w:szCs w:val="16"/>
          <w:color w:val="auto"/>
        </w:rPr>
        <w:t>Not applicable.</w:t>
      </w:r>
    </w:p>
    <w:p>
      <w:pPr>
        <w:ind w:left="600" w:right="6920" w:hanging="600"/>
        <w:spacing w:after="0" w:line="516" w:lineRule="auto"/>
        <w:tabs>
          <w:tab w:leader="none" w:pos="533"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Annual Report to Security Holders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Risk</w:t>
      </w:r>
    </w:p>
    <w:p>
      <w:pPr>
        <w:spacing w:after="0" w:line="216"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We expect that, in the foreseeable future, the majority of our revenues will be denominated in RMB while our expenses are denominated in RMB and other currencies. As a result, we are exposed to risk related to movements between the RMB and such other currencies. In addition, the value of our ADSs and Class A ordinary shares will be affected by the exchange rate between U.S. dollar and RMB because the value of our business is effectively denominated in RMB, while our Class A ordinary shares and the ADSs will be traded in Hong Kong dollars and U.S. dollars, respectively. Furthermore, we have purchased certain financial products issued by banks, the returns of which could also be affected by the exchange rate between RMB and other currencies.</w:t>
      </w:r>
    </w:p>
    <w:p>
      <w:pPr>
        <w:spacing w:after="0" w:line="16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Class A ordinary shares or ADSs or for other business purposes, appreciation of the U.S. dollar against the Renminbi would have a negative effect on the U.S. dollar amounts available to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Our exposure to interest rate risk relates primarily to the interest rates associated with the outstanding convertible notes we issued and bank loans that bear floating interest rates. The interest rate risk may result from many factors, including, among others, government monetary and tax policies, domestic and international economic and political considerations that are beyond our control. We may incur additional loans or other financing facilities in the future. The objective of interest rate risk management is to minimize financial costs and uncertainties associated with interest rate changes. We strive to effectively manage our interest rate risk by periodic monitoring and responding to risk factors on a timely basis, improve the structure of long-term and short-term borrowings and maintain the appropriate balance between loans with floating interest rates and fixed interest rates.</w:t>
      </w:r>
    </w:p>
    <w:p>
      <w:pPr>
        <w:spacing w:after="0" w:line="365"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We are subject to interest rate sensitivity on our outstanding 2027 Notes, 2029 Notes and 2030 Notes. We account for our convertible notes on an amortized cost basis and our recognized value of the convertible notes does not reflect changes in fair value. Also, because convertible notes we have issued either bear interest at a fixed rate or bear no interest, we have not incurred financial statement impact resulting from changes in interest rates. However, changes in market interest rates impact the fair value of the convertible notes along with other variables such as our credit spreads and the market price and volatility of our ADSs and ordinary shares. Increases in market interest rates would result in a decrease in the fair value of our outstanding convertible notes and decreases in market interest rates would result in an increase in the fair value of our outstanding convertible notes. For information on the maturities and other contractual terms of our convertible notes, see “Item 5. Operating and Financial Review and Prospects— B. Liquidity and Capital Resources—Cash Flows and Working Capital.”</w:t>
      </w:r>
    </w:p>
    <w:p>
      <w:pPr>
        <w:spacing w:after="0" w:line="16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With regard to interest rate sensitivity on our bank loans, we present the sensitivity analysis below based on the exposure to interest rates for interest bearing bank loans with variable interest rates as of December 31, 2025. The analysis is prepared assuming that those balances outstanding as of December 31, 2025 were outstanding for the whole financial year. A 1.0% increase or decrease which represents our management’s assessment of the reasonably possible change in interest rates is used. Assuming no change in the outstanding balance of our existing interest-bearing bank loans balances with floating interest rates as of December 31, 2025, a 1.0% increase or decrease in each applicable interest rate would add or deduct RMB0.3 million (US$0.0 million) to our interest expense for the year ended December 31, 2025. We have not used any derivative financial instruments to manage our interest risk exposure.</w:t>
      </w:r>
    </w:p>
    <w:p>
      <w:pPr>
        <w:spacing w:after="0" w:line="162"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In addition, we may from time to time invest in interest-earning instruments. Investments in both fixed rate and floating rate interest-earning instruments carry certain interest rate risk associated with our investment return. Fixed rate securities may have their fair market value adversely impacted due to a rise in interest rates, while floating rate securities may produce less income than expected if interest rates fall.</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DESCRIPTION OF SECURITIES OTHER THAN EQUITY SECURITIES</w:t>
      </w:r>
    </w:p>
    <w:p>
      <w:pPr>
        <w:spacing w:after="0" w:line="212" w:lineRule="exact"/>
        <w:rPr>
          <w:sz w:val="20"/>
          <w:szCs w:val="20"/>
          <w:color w:val="auto"/>
        </w:rPr>
      </w:pPr>
    </w:p>
    <w:p>
      <w:pPr>
        <w:jc w:val="both"/>
        <w:ind w:left="600" w:right="8280" w:hanging="595"/>
        <w:spacing w:after="0" w:line="516" w:lineRule="auto"/>
        <w:tabs>
          <w:tab w:leader="none" w:pos="584"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Debt Securities </w:t>
      </w:r>
      <w:r>
        <w:rPr>
          <w:rFonts w:ascii="Times New Roman" w:cs="Times New Roman" w:eastAsia="Times New Roman" w:hAnsi="Times New Roman"/>
          <w:sz w:val="16"/>
          <w:szCs w:val="16"/>
          <w:color w:val="auto"/>
        </w:rPr>
        <w:t>Not applicable.</w:t>
      </w:r>
    </w:p>
    <w:p>
      <w:pPr>
        <w:ind w:left="600" w:right="7880" w:hanging="600"/>
        <w:spacing w:after="0" w:line="516" w:lineRule="auto"/>
        <w:tabs>
          <w:tab w:leader="none" w:pos="567"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Warrants and Rights </w:t>
      </w:r>
      <w:r>
        <w:rPr>
          <w:rFonts w:ascii="Times New Roman" w:cs="Times New Roman" w:eastAsia="Times New Roman" w:hAnsi="Times New Roman"/>
          <w:sz w:val="16"/>
          <w:szCs w:val="16"/>
          <w:color w:val="auto"/>
        </w:rPr>
        <w:t>Not applicable.</w:t>
      </w:r>
    </w:p>
    <w:p>
      <w:pPr>
        <w:ind w:left="600" w:right="8200" w:hanging="600"/>
        <w:spacing w:after="0" w:line="562" w:lineRule="auto"/>
        <w:tabs>
          <w:tab w:leader="none" w:pos="579"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Other Securities </w:t>
      </w:r>
      <w:r>
        <w:rPr>
          <w:rFonts w:ascii="Times New Roman" w:cs="Times New Roman" w:eastAsia="Times New Roman" w:hAnsi="Times New Roman"/>
          <w:sz w:val="16"/>
          <w:szCs w:val="16"/>
          <w:color w:val="auto"/>
        </w:rPr>
        <w:t>Not applicable.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560" w:hanging="560"/>
        <w:spacing w:after="0"/>
        <w:tabs>
          <w:tab w:leader="none" w:pos="56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American Depositary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Fees and Charges Our ADS holders May Have to Pay</w:t>
      </w:r>
    </w:p>
    <w:p>
      <w:pPr>
        <w:spacing w:after="0" w:line="216" w:lineRule="exact"/>
        <w:rPr>
          <w:sz w:val="20"/>
          <w:szCs w:val="20"/>
          <w:color w:val="auto"/>
        </w:rPr>
      </w:pPr>
    </w:p>
    <w:p>
      <w:pPr>
        <w:jc w:val="both"/>
        <w:ind w:right="20" w:firstLine="594"/>
        <w:spacing w:after="0" w:line="291" w:lineRule="auto"/>
        <w:rPr>
          <w:sz w:val="20"/>
          <w:szCs w:val="20"/>
          <w:color w:val="auto"/>
        </w:rPr>
      </w:pPr>
      <w:r>
        <w:rPr>
          <w:rFonts w:ascii="Times New Roman" w:cs="Times New Roman" w:eastAsia="Times New Roman" w:hAnsi="Times New Roman"/>
          <w:sz w:val="16"/>
          <w:szCs w:val="16"/>
          <w:color w:val="auto"/>
        </w:rPr>
        <w:t>Holders of our ADSs will be required to pay the following service fees to the depositary bank and certain taxes and governmental charges (in addition to any applicable fees, expenses, taxes and other governmental charges payable on the deposited securities represented by any of ADSs held):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Service</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Fees</w:t>
            </w:r>
          </w:p>
        </w:tc>
      </w:tr>
      <w:tr>
        <w:trPr>
          <w:trHeight w:val="174"/>
        </w:trPr>
        <w:tc>
          <w:tcPr>
            <w:tcW w:w="14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t>
            </w:r>
          </w:p>
        </w:tc>
        <w:tc>
          <w:tcPr>
            <w:tcW w:w="7040" w:type="dxa"/>
            <w:vAlign w:val="bottom"/>
            <w:tcBorders>
              <w:top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6"/>
                <w:szCs w:val="16"/>
                <w:color w:val="auto"/>
              </w:rPr>
              <w:t>​To​ any person to which ADSs are issued or to any person to which a distribution is made in respect of</w:t>
            </w:r>
          </w:p>
        </w:tc>
        <w:tc>
          <w:tcPr>
            <w:tcW w:w="140" w:type="dxa"/>
            <w:vAlign w:val="bottom"/>
            <w:tcBorders>
              <w:top w:val="single" w:sz="8" w:color="CCEEFF"/>
            </w:tcBorders>
            <w:shd w:val="clear" w:color="auto" w:fill="CCEEFF"/>
          </w:tcPr>
          <w:p>
            <w:pPr>
              <w:spacing w:after="0"/>
              <w:rPr>
                <w:sz w:val="15"/>
                <w:szCs w:val="15"/>
                <w:color w:val="auto"/>
              </w:rPr>
            </w:pPr>
          </w:p>
        </w:tc>
        <w:tc>
          <w:tcPr>
            <w:tcW w:w="262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Up to US$0.05 per ADS issued</w:t>
            </w:r>
          </w:p>
        </w:tc>
      </w:tr>
      <w:tr>
        <w:trPr>
          <w:trHeight w:val="198"/>
        </w:trPr>
        <w:tc>
          <w:tcPr>
            <w:tcW w:w="140" w:type="dxa"/>
            <w:vAlign w:val="bottom"/>
            <w:shd w:val="clear" w:color="auto" w:fill="CCEEFF"/>
          </w:tcPr>
          <w:p>
            <w:pPr>
              <w:spacing w:after="0"/>
              <w:rPr>
                <w:sz w:val="17"/>
                <w:szCs w:val="17"/>
                <w:color w:val="auto"/>
              </w:rPr>
            </w:pP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ADS distributions pursuant to stock dividends or other free distributions of stock, bonus distributions,</w:t>
            </w:r>
          </w:p>
        </w:tc>
        <w:tc>
          <w:tcPr>
            <w:tcW w:w="1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r>
      <w:tr>
        <w:trPr>
          <w:trHeight w:val="214"/>
        </w:trPr>
        <w:tc>
          <w:tcPr>
            <w:tcW w:w="140" w:type="dxa"/>
            <w:vAlign w:val="bottom"/>
            <w:shd w:val="clear" w:color="auto" w:fill="CCEEFF"/>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stock splits or other distributions (except where converted to cash)</w:t>
            </w:r>
          </w:p>
        </w:tc>
        <w:tc>
          <w:tcPr>
            <w:tcW w:w="1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198"/>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​Cancellation​ of ADSs, including the case of termination of the deposit agreement</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Up to US$0.05 per ADS cancelled</w:t>
            </w:r>
          </w:p>
        </w:tc>
      </w:tr>
      <w:tr>
        <w:trPr>
          <w:trHeight w:val="19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 of cash dividends</w:t>
            </w:r>
          </w:p>
        </w:tc>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Up to US$0.05 per ADS held</w:t>
            </w:r>
          </w:p>
        </w:tc>
      </w:tr>
      <w:tr>
        <w:trPr>
          <w:trHeight w:val="182"/>
        </w:trPr>
        <w:tc>
          <w:tcPr>
            <w:tcW w:w="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4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rPr>
              <w:t>​Distribution​ of cash entitlements (other than cash dividends) and/or cash proceeds from the sale of rights,</w:t>
            </w:r>
          </w:p>
        </w:tc>
        <w:tc>
          <w:tcPr>
            <w:tcW w:w="27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6"/>
                <w:szCs w:val="16"/>
                <w:color w:val="auto"/>
              </w:rPr>
              <w:t>Up to US$0.05 per ADS held</w:t>
            </w:r>
          </w:p>
        </w:tc>
      </w:tr>
      <w:tr>
        <w:trPr>
          <w:trHeight w:val="214"/>
        </w:trPr>
        <w:tc>
          <w:tcPr>
            <w:tcW w:w="14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securities and other entitlements</w:t>
            </w: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 of ADSs pursuant to exercise of rights</w:t>
            </w:r>
          </w:p>
        </w:tc>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Up to US$0.05 per ADS held</w:t>
            </w:r>
          </w:p>
        </w:tc>
      </w:tr>
      <w:tr>
        <w:trPr>
          <w:trHeight w:val="198"/>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 of securities other than ADSs or rights to purchase additional ADSs</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Up to US$0.05 per ADS held</w:t>
            </w:r>
          </w:p>
        </w:tc>
      </w:tr>
      <w:tr>
        <w:trPr>
          <w:trHeight w:val="182"/>
        </w:trPr>
        <w:tc>
          <w:tcPr>
            <w:tcW w:w="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4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6"/>
                <w:szCs w:val="16"/>
                <w:color w:val="auto"/>
              </w:rPr>
              <w:t>​Depositary​ services</w:t>
            </w:r>
          </w:p>
        </w:tc>
        <w:tc>
          <w:tcPr>
            <w:tcW w:w="276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Up to US$0.05 per ADS held on the</w:t>
            </w:r>
          </w:p>
        </w:tc>
      </w:tr>
      <w:tr>
        <w:trPr>
          <w:trHeight w:val="198"/>
        </w:trPr>
        <w:tc>
          <w:tcPr>
            <w:tcW w:w="140" w:type="dxa"/>
            <w:vAlign w:val="bottom"/>
            <w:shd w:val="clear" w:color="auto" w:fill="CCEEFF"/>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applicable record date(s) established by</w:t>
            </w:r>
          </w:p>
        </w:tc>
      </w:tr>
      <w:tr>
        <w:trPr>
          <w:trHeight w:val="214"/>
        </w:trPr>
        <w:tc>
          <w:tcPr>
            <w:tcW w:w="14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 depositary bank</w:t>
            </w:r>
          </w:p>
        </w:tc>
      </w:tr>
    </w:tbl>
    <w:p>
      <w:pPr>
        <w:spacing w:after="0" w:line="182" w:lineRule="exact"/>
        <w:rPr>
          <w:sz w:val="20"/>
          <w:szCs w:val="20"/>
          <w:color w:val="auto"/>
        </w:rPr>
      </w:pPr>
    </w:p>
    <w:p>
      <w:pPr>
        <w:jc w:val="both"/>
        <w:ind w:right="20" w:firstLine="594"/>
        <w:spacing w:after="0" w:line="278" w:lineRule="auto"/>
        <w:rPr>
          <w:sz w:val="20"/>
          <w:szCs w:val="20"/>
          <w:color w:val="auto"/>
        </w:rPr>
      </w:pPr>
      <w:r>
        <w:rPr>
          <w:rFonts w:ascii="Times New Roman" w:cs="Times New Roman" w:eastAsia="Times New Roman" w:hAnsi="Times New Roman"/>
          <w:sz w:val="16"/>
          <w:szCs w:val="16"/>
          <w:color w:val="auto"/>
        </w:rPr>
        <w:t>Holders of our ADSs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53" w:lineRule="exact"/>
        <w:rPr>
          <w:sz w:val="20"/>
          <w:szCs w:val="20"/>
          <w:color w:val="auto"/>
        </w:rPr>
      </w:pPr>
    </w:p>
    <w:p>
      <w:pPr>
        <w:ind w:left="920" w:right="280" w:hanging="301"/>
        <w:spacing w:after="0" w:line="314" w:lineRule="auto"/>
        <w:tabs>
          <w:tab w:leader="none" w:pos="9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for the transfer and registration of ordinary shares charged by the registrar and transfer agent for the ordinary shares in Cayman Islands (i.e., upon deposit and withdrawal of ordinary shares).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incurred for converting foreign currency into U.S. dollars.</w:t>
      </w:r>
    </w:p>
    <w:p>
      <w:pPr>
        <w:spacing w:after="0" w:line="224"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for cable, telex and fax transmissions and for delivery of securities.</w:t>
      </w:r>
    </w:p>
    <w:p>
      <w:pPr>
        <w:spacing w:after="0" w:line="224" w:lineRule="exact"/>
        <w:rPr>
          <w:rFonts w:ascii="Times New Roman" w:cs="Times New Roman" w:eastAsia="Times New Roman" w:hAnsi="Times New Roman"/>
          <w:sz w:val="16"/>
          <w:szCs w:val="16"/>
          <w:color w:val="auto"/>
        </w:rPr>
      </w:pPr>
    </w:p>
    <w:p>
      <w:pPr>
        <w:ind w:left="920" w:right="160" w:hanging="301"/>
        <w:spacing w:after="0" w:line="314" w:lineRule="auto"/>
        <w:tabs>
          <w:tab w:leader="none" w:pos="9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and duties upon the transfer of securities, including any applicable stamp duties, any stock transfer charges or withholding taxes (i.e., when ordinary shares are deposited or withdrawn from deposit).</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and expenses incurred in connection with the delivery or servicing of ordinary shares on deposit.</w:t>
      </w:r>
    </w:p>
    <w:p>
      <w:pPr>
        <w:spacing w:after="0" w:line="224" w:lineRule="exact"/>
        <w:rPr>
          <w:rFonts w:ascii="Times New Roman" w:cs="Times New Roman" w:eastAsia="Times New Roman" w:hAnsi="Times New Roman"/>
          <w:sz w:val="16"/>
          <w:szCs w:val="16"/>
          <w:color w:val="auto"/>
        </w:rPr>
      </w:pPr>
    </w:p>
    <w:p>
      <w:pPr>
        <w:ind w:left="920" w:right="640" w:hanging="301"/>
        <w:spacing w:after="0" w:line="314" w:lineRule="auto"/>
        <w:tabs>
          <w:tab w:leader="none" w:pos="9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and expenses incurred in connection with complying with exchange control regulations and other regulatory requirements applicable to ordinary shares, deposited securities, ADSs and ADRs.</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fees and penalties thereon.</w:t>
      </w:r>
    </w:p>
    <w:p>
      <w:pPr>
        <w:spacing w:after="0" w:line="224" w:lineRule="exact"/>
        <w:rPr>
          <w:sz w:val="20"/>
          <w:szCs w:val="20"/>
          <w:color w:val="auto"/>
        </w:rPr>
      </w:pPr>
    </w:p>
    <w:p>
      <w:pPr>
        <w:jc w:val="both"/>
        <w:ind w:right="20" w:firstLine="594"/>
        <w:spacing w:after="0" w:line="268" w:lineRule="auto"/>
        <w:rPr>
          <w:sz w:val="20"/>
          <w:szCs w:val="20"/>
          <w:color w:val="auto"/>
        </w:rPr>
      </w:pPr>
      <w:r>
        <w:rPr>
          <w:rFonts w:ascii="Times New Roman" w:cs="Times New Roman" w:eastAsia="Times New Roman" w:hAnsi="Times New Roman"/>
          <w:sz w:val="16"/>
          <w:szCs w:val="16"/>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62"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In the event of refusal to pay the depositary fees, the depositary bank may, under the terms of the deposit agreements, refuse the requested service until payment is received or may set off the amount of the depositary fees from any distribution to be made to the ADS holder.</w:t>
      </w:r>
    </w:p>
    <w:p>
      <w:pPr>
        <w:spacing w:after="0" w:line="137"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Fees and Other Payments Made by the Depositary to Us</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Deutsche Bank Trust Company Americas, as the depositary, has agreed to reimburse us for certain expenses we incur that are related to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In 2025, we received an after-tax reimbursement payment of US$16.98 million from the depositary.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Conversion Between Class A Ordinary Shares in Hong Kong and ADSs</w:t>
      </w:r>
    </w:p>
    <w:p>
      <w:pPr>
        <w:spacing w:after="0" w:line="212" w:lineRule="exact"/>
        <w:rPr>
          <w:sz w:val="20"/>
          <w:szCs w:val="20"/>
          <w:color w:val="auto"/>
        </w:rPr>
      </w:pPr>
    </w:p>
    <w:p>
      <w:pPr>
        <w:ind w:left="600" w:hanging="600"/>
        <w:spacing w:after="0"/>
        <w:tabs>
          <w:tab w:leader="none" w:pos="60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Dealings and Settlement of Class A Ordinary Shares in Hong Kong</w:t>
      </w:r>
    </w:p>
    <w:p>
      <w:pPr>
        <w:spacing w:after="0" w:line="216"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Our Class A ordinary shares are traded on the Hong Kong Stock Exchange in board lots of 10 Class A ordinary shares. Dealings in our Class A ordinary shares on the Hong Kong Stock Exchange will be conducted in Hong Kong dollars.</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the date of this annual report, the transaction costs of dealings in our Class A ordinary shares on the Hong Kong Stock Exchange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w:t>
      </w:r>
    </w:p>
    <w:p>
      <w:pPr>
        <w:spacing w:after="0" w:line="195" w:lineRule="exact"/>
        <w:rPr>
          <w:sz w:val="20"/>
          <w:szCs w:val="20"/>
          <w:color w:val="auto"/>
        </w:rPr>
      </w:pPr>
    </w:p>
    <w:p>
      <w:pPr>
        <w:ind w:left="920" w:hanging="301"/>
        <w:spacing w:after="0"/>
        <w:tabs>
          <w:tab w:leader="none" w:pos="9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 Stock Exchange trading fee of 0.00565% of the consideration of the transaction, charged to each of the buyer and seller;</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and Futures Commission transaction levy of 0.0027% of the consideration of the transaction, charged to each of the buyer and seller;</w:t>
      </w:r>
    </w:p>
    <w:p>
      <w:pPr>
        <w:spacing w:after="0" w:line="137"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AFRC Transaction Levy of 0.00015%, charged per side of the consideration of a transaction, collected for the Accounting and Financial Reporting Council (AFRC);</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deed stamp duty of HK$5.00 per transfer deed (if applicable), payable by the seller;</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 valorem stamp duty at a total rate of 0.2% of the value of the transaction, with 0.1% payable by each of the buyer and the seller;</w:t>
      </w:r>
    </w:p>
    <w:p>
      <w:pPr>
        <w:spacing w:after="0" w:line="212"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settlement fee of 0.0042% per side of the gross value of the transaction for each trade cleared and settled through CCASS;</w:t>
      </w:r>
    </w:p>
    <w:p>
      <w:pPr>
        <w:spacing w:after="0" w:line="212" w:lineRule="exact"/>
        <w:rPr>
          <w:rFonts w:ascii="Times New Roman" w:cs="Times New Roman" w:eastAsia="Times New Roman" w:hAnsi="Times New Roman"/>
          <w:sz w:val="16"/>
          <w:szCs w:val="16"/>
          <w:color w:val="auto"/>
        </w:rPr>
      </w:pPr>
    </w:p>
    <w:p>
      <w:pPr>
        <w:jc w:val="both"/>
        <w:ind w:left="920" w:hanging="301"/>
        <w:spacing w:after="0" w:line="291" w:lineRule="auto"/>
        <w:tabs>
          <w:tab w:leader="none" w:pos="9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left="920" w:hanging="301"/>
        <w:spacing w:after="0" w:line="275" w:lineRule="auto"/>
        <w:tabs>
          <w:tab w:leader="none" w:pos="9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charge by the Hong Kong share registrar between HK$2.50 to HK$20,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w:t>
      </w:r>
    </w:p>
    <w:p>
      <w:pPr>
        <w:spacing w:after="0" w:line="358"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Investors in Hong Kong must settle their trades executed on the Hong Kong Stock Exchange through their brokers directly or through custodians. For an investor in Hong Kong who has deposited his or her Class A ordinary shares in his or her stock account or in his or her designated Participant’s stock account of the Central Clearing and Settlement System established and operated by Hong Kong Securities Clearing Company Limited, or CCASS,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or her broker or custodian before the settlement date.</w:t>
      </w:r>
    </w:p>
    <w:p>
      <w:pPr>
        <w:spacing w:after="0" w:line="16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An investor may arrange with his or her broker or custodian on a settlement date in respect of his or her trades executed on the Hong Kong Stock Exchange. Under the Hong Kong Listing Rules and the General Rules of CCASS and CCASS Operational Procedures in effect from time to time, the date of settlement must be the second business day (a day on which the settlement services of CCASS are open for use by CCASS Participants) following the trade date (T+2). For trades settled under CCASS, the General Rules of CCASS and CCASS Operational Procedures in effect from time to time provided that the defaulting broker may be compelled to compulsorily buy-in by HKSCC the day after the date of settlement (T+3), or if it is not practicable to do so on T+3, at any time thereafter. HKSCC may also impose fines from T+2 onwards.</w:t>
      </w:r>
    </w:p>
    <w:p>
      <w:pPr>
        <w:spacing w:after="0" w:line="159" w:lineRule="exact"/>
        <w:rPr>
          <w:sz w:val="20"/>
          <w:szCs w:val="20"/>
          <w:color w:val="auto"/>
        </w:rPr>
      </w:pPr>
    </w:p>
    <w:p>
      <w:pPr>
        <w:ind w:left="600" w:hanging="600"/>
        <w:spacing w:after="0"/>
        <w:tabs>
          <w:tab w:leader="none" w:pos="60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Conversion between Class A Ordinary Shares Trading in Hong Kong and ADSs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have established a branch register of members in Hong Kong, or the Hong Kong share register, which are maintained by our Hong Kong share registrar, Computershare Hong Kong Investor Services Limited. Our principal register of members, or the Cayman share register, are maintained by our principal share registrar, Maples Fund Services (Cayman) Limited in the Cayman Islands.</w:t>
      </w:r>
    </w:p>
    <w:p>
      <w:pPr>
        <w:spacing w:after="0" w:line="153"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Holders of Class A ordinary shares registered on the Hong Kong share register are able to exchange these Class A ordinary shares into ADSs, and vice versa.</w:t>
      </w:r>
    </w:p>
    <w:p>
      <w:pPr>
        <w:spacing w:after="0" w:line="137"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In connection with the listing of our Class A ordinary shares on the Hong Kong Stock Exchange, and to facilitate fungibility and conversion between ADSs and Class A ordinary shares and trading between the NYSE and the Hong Kong Stock Exchange, we moved a portion of our issued Class A ordinary shares from our register of members maintained in the Cayman Islands to our Hong Kong share register. We are not under any obligation to maintain or increase the number of Class A ordinary shares on the Hong Kong share register to facilitate any withdrawals of ADSs to convert into Class A ordinary shares listed on the Hong Kong Exchange.</w:t>
      </w:r>
    </w:p>
    <w:p>
      <w:pPr>
        <w:spacing w:after="0" w:line="157" w:lineRule="exact"/>
        <w:rPr>
          <w:sz w:val="20"/>
          <w:szCs w:val="20"/>
          <w:color w:val="auto"/>
        </w:rPr>
      </w:pPr>
    </w:p>
    <w:p>
      <w:pPr>
        <w:ind w:left="600" w:hanging="600"/>
        <w:spacing w:after="0"/>
        <w:tabs>
          <w:tab w:leader="none" w:pos="600"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Converting Class A Ordinary Shares Trading in Hong Kong into ADSs</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An investor who holds Class A ordinary shares registered in Hong Kong and who intends to convert them to ADSs to trade on the NYSE must deposit or have his or her broker deposit the Class A ordinary shares with the depositary’s Hong Kong custodian, Deutsche Bank AG, Hong Kong Branch, or the custodian, in exchange for ADSs.</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 deposit of Class A ordinary shares trading in Hong Kong in exchange for ADSs involves the following procedures:</w:t>
      </w:r>
    </w:p>
    <w:p>
      <w:pPr>
        <w:spacing w:after="0" w:line="212" w:lineRule="exact"/>
        <w:rPr>
          <w:sz w:val="20"/>
          <w:szCs w:val="20"/>
          <w:color w:val="auto"/>
        </w:rPr>
      </w:pPr>
    </w:p>
    <w:p>
      <w:pPr>
        <w:jc w:val="both"/>
        <w:ind w:left="920" w:hanging="301"/>
        <w:spacing w:after="0" w:line="278" w:lineRule="auto"/>
        <w:tabs>
          <w:tab w:leader="none" w:pos="9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Class A ordinary shares have been deposited with CCASS, the investor must transfer the Class A ordinary shares to the depositary’s account with the custodian within CCASS by following the CCASS procedures for transfer and submit and deliver a duly completed and signed letter of transmittal to the custodian via his or her broker.</w:t>
      </w:r>
    </w:p>
    <w:p>
      <w:pPr>
        <w:spacing w:after="0" w:line="152"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Class A ordinary shares are held outside CCASS, the investor must arrange to deposit his or her Class A ordinary shares into CCASS for delivery to the depositary’s account with the custodian within CCASS, and must submit and deliver a duly completed and signed letter of transmittal to the custodian via his or her broker.</w:t>
      </w:r>
    </w:p>
    <w:p>
      <w:pPr>
        <w:spacing w:after="0" w:line="152"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payment of its fees and expenses and of any taxes or charges, such as stamp taxes or stock transfer taxes or fees, if applicable, and subject in all case to the terms of the deposit agreement, the depositary will register the corresponding number of ADSs in the name(s) requested by an investor and will deliver the ADSs as instructed in the letter of transmittal.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For Class A ordinary shares deposited in CCASS, under normal circumstances, the above steps generally require two business days, provided that the investor has provided timely and complete instructions.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55" w:lineRule="exact"/>
        <w:rPr>
          <w:sz w:val="20"/>
          <w:szCs w:val="20"/>
          <w:color w:val="auto"/>
        </w:rPr>
      </w:pPr>
    </w:p>
    <w:p>
      <w:pPr>
        <w:ind w:left="600" w:hanging="600"/>
        <w:spacing w:after="0"/>
        <w:tabs>
          <w:tab w:leader="none" w:pos="600"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Converting ADSs to Class A Ordinary Shares Trading in Hong Kong</w:t>
      </w:r>
    </w:p>
    <w:p>
      <w:pPr>
        <w:spacing w:after="0" w:line="2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An investor who holds ADSs fungible with the ADSs listed on the NYSE and who intends to convert his/her ADSs into Class A ordinary shares that trade on the Hong Kong Stock Exchange must cancel the ADSs the investor holds and withdraw Class A ordinary shares from our ADR program and cause his or her broker or other financial institution to trade such Class A ordinary shares on the Hong Kong Stock Exchange.</w:t>
      </w:r>
    </w:p>
    <w:p>
      <w:pPr>
        <w:spacing w:after="0" w:line="153"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An investor that holds ADSs indirectly through a broker or other financial institution should follow the procedure of the broker or financial institution and instruct the broker to arrange for cancelation of the ADSs to the depositary for cancelation, and transfer of the underlying Class A ordinary shares from the depositary’s account with the custodian within the CCASS system to the investor’s Hong Kong stock account. A cancellation fee of up to US$0.05 per ADS cancelled will apply.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For investors holding ADSs directly, subject to the applicable transfer restrictions, the following steps must be taken:</w:t>
      </w:r>
    </w:p>
    <w:p>
      <w:pPr>
        <w:spacing w:after="0" w:line="212" w:lineRule="exact"/>
        <w:rPr>
          <w:sz w:val="20"/>
          <w:szCs w:val="20"/>
          <w:color w:val="auto"/>
        </w:rPr>
      </w:pPr>
    </w:p>
    <w:p>
      <w:pPr>
        <w:jc w:val="both"/>
        <w:ind w:left="920" w:hanging="301"/>
        <w:spacing w:after="0" w:line="278" w:lineRule="auto"/>
        <w:tabs>
          <w:tab w:leader="none" w:pos="9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withdraw Class A ordinary shares from our ADR program, an investor who holds ADSs may turn in such ADSs at the office of the depositary (and the applicable ADR(s) if the ADSs are held in certificated form), and send an instruction to cancel such ADSs to the depositary.</w:t>
      </w:r>
    </w:p>
    <w:p>
      <w:pPr>
        <w:spacing w:after="0" w:line="152" w:lineRule="exact"/>
        <w:rPr>
          <w:rFonts w:ascii="Times New Roman" w:cs="Times New Roman" w:eastAsia="Times New Roman" w:hAnsi="Times New Roman"/>
          <w:sz w:val="16"/>
          <w:szCs w:val="16"/>
          <w:color w:val="auto"/>
        </w:rPr>
      </w:pPr>
    </w:p>
    <w:p>
      <w:pPr>
        <w:jc w:val="both"/>
        <w:ind w:left="920" w:hanging="301"/>
        <w:spacing w:after="0" w:line="278" w:lineRule="auto"/>
        <w:tabs>
          <w:tab w:leader="none" w:pos="9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payment or net of its fees and expenses and of any taxes or charges, such as stamp taxes or stock transfer taxes or fees, if applicable, and subject in all cases to the terms of the deposit agreement, the depositary will instruct the custodian to deliver Class A ordinary shares underlying the canceled ADSs to the CCASS account designated by an investor.</w:t>
      </w:r>
    </w:p>
    <w:p>
      <w:pPr>
        <w:spacing w:after="0" w:line="152" w:lineRule="exact"/>
        <w:rPr>
          <w:rFonts w:ascii="Times New Roman" w:cs="Times New Roman" w:eastAsia="Times New Roman" w:hAnsi="Times New Roman"/>
          <w:sz w:val="16"/>
          <w:szCs w:val="16"/>
          <w:color w:val="auto"/>
        </w:rPr>
      </w:pPr>
    </w:p>
    <w:p>
      <w:pPr>
        <w:jc w:val="both"/>
        <w:ind w:left="920" w:hanging="301"/>
        <w:spacing w:after="0" w:line="268" w:lineRule="auto"/>
        <w:tabs>
          <w:tab w:leader="none" w:pos="9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investor prefers to receive Class A ordinary shares outside CCASS, he or she must receive Class A ordinary shares in CCASS first and then arrange for the withdrawal from CCASS. Investors can then obtain a transfer form signed by HKSCC Nominees Limited (as the transferor) and register Class A ordinary shares in their own names with the Hong Kong share registrar. For Class A ordinary shares to be received in CCASS, under normal circumstances, the above steps generally require two business days, provided that the investor has provided timely and complete instructions.</w:t>
      </w:r>
    </w:p>
    <w:p>
      <w:pPr>
        <w:spacing w:after="0" w:line="161"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For Class A ordinary shares to be received outside CCASS in physical form, the above steps may take 14 business days, or more, to complete. The investor will be unable to trade the Class A ordinary shares on the Hong Kong Stock Exchange until the procedures are completed.</w:t>
      </w:r>
    </w:p>
    <w:p>
      <w:pPr>
        <w:spacing w:after="0" w:line="137" w:lineRule="exact"/>
        <w:rPr>
          <w:sz w:val="20"/>
          <w:szCs w:val="20"/>
          <w:color w:val="auto"/>
        </w:rPr>
      </w:pPr>
    </w:p>
    <w:p>
      <w:pPr>
        <w:jc w:val="both"/>
        <w:ind w:firstLine="594"/>
        <w:spacing w:after="0" w:line="270" w:lineRule="auto"/>
        <w:rPr>
          <w:sz w:val="20"/>
          <w:szCs w:val="20"/>
          <w:color w:val="auto"/>
        </w:rPr>
      </w:pPr>
      <w:r>
        <w:rPr>
          <w:rFonts w:ascii="Times New Roman" w:cs="Times New Roman" w:eastAsia="Times New Roman" w:hAnsi="Times New Roman"/>
          <w:sz w:val="16"/>
          <w:szCs w:val="16"/>
          <w:color w:val="auto"/>
        </w:rPr>
        <w:t>Temporary delays may arise. For example, the transfer books of the depositary may from time to time be closed to ADS cancellations. In addition, completion of the above steps and procedures for delivery for Class A ordinary shares in a CCASS account is subject to there being a sufficient number of Class A ordinary shares on the Hong Kong share register to facilitate a withdrawal from the ADR program directly into the CCASS system. We are not under any obligation to maintain or increase the number of Class A ordinary shares on the Hong Kong share register to facilitate such withdrawals.</w:t>
      </w:r>
    </w:p>
    <w:p>
      <w:pPr>
        <w:spacing w:after="0" w:line="356" w:lineRule="exact"/>
        <w:rPr>
          <w:sz w:val="20"/>
          <w:szCs w:val="20"/>
          <w:color w:val="auto"/>
        </w:rPr>
      </w:pPr>
    </w:p>
    <w:p>
      <w:pPr>
        <w:ind w:left="600" w:hanging="600"/>
        <w:spacing w:after="0"/>
        <w:tabs>
          <w:tab w:leader="none" w:pos="600"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Depositary Requirements</w:t>
      </w:r>
    </w:p>
    <w:p>
      <w:pPr>
        <w:spacing w:after="0" w:line="216"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Before the depositary issues and delivers ADSs or permits withdrawal of Class A ordinary shares, the depositary may require:</w:t>
      </w:r>
    </w:p>
    <w:p>
      <w:pPr>
        <w:spacing w:after="0" w:line="212" w:lineRule="exact"/>
        <w:rPr>
          <w:rFonts w:ascii="Times New Roman" w:cs="Times New Roman" w:eastAsia="Times New Roman" w:hAnsi="Times New Roman"/>
          <w:sz w:val="16"/>
          <w:szCs w:val="16"/>
          <w:b w:val="1"/>
          <w:bCs w:val="1"/>
          <w:color w:val="auto"/>
        </w:rPr>
      </w:pPr>
    </w:p>
    <w:p>
      <w:pPr>
        <w:ind w:left="920" w:hanging="301"/>
        <w:spacing w:after="0"/>
        <w:tabs>
          <w:tab w:leader="none" w:pos="92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of satisfactory proof of the identity and genuineness of any signature or other information it deems necessary;</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terms and procedures it may establish, from time to time, consistent with the deposit agreement, including completion and presentation of transfer documents; and</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U.S. securities law requirements.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depositary may refuse to deliver, transfer, or register issuances, transfers, and cancellations of ADSs generally when the transfer books of the depositary or our Hong Kong share registrar or Cayman Islands share registrar are closed or at any time if the depositary or we determine it advisable to do so, subject to such refusal complying with U.S. federal securities laws.</w:t>
      </w:r>
    </w:p>
    <w:p>
      <w:pPr>
        <w:spacing w:after="0" w:line="15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All costs attributable to the transfer of Class A ordinary shares to effect a withdrawal from or deposit of Class A ordinary shares into our ADR program will be borne by the investor requesting the transfer. In particular, holders of Class A ordinary shares and ADSs should note that the Hong Kong share registrar will charge between HK$2.50 to HK$20,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 In addition, holders of Class A ordinary shares and ADSs must pay up to US$5.00 per 100 ADSs (or portion thereof) for each issuance of ADSs and each cancelation of ADSs, as the case may be, in connection with the deposit of Class A ordinary shares into, or withdrawal of Class A ordinary shares from, our ADR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Conversion Between Class A Ordinary Shares in Singapore and ADSs</w:t>
      </w:r>
    </w:p>
    <w:p>
      <w:pPr>
        <w:spacing w:after="0" w:line="212" w:lineRule="exact"/>
        <w:rPr>
          <w:sz w:val="20"/>
          <w:szCs w:val="20"/>
          <w:color w:val="auto"/>
        </w:rPr>
      </w:pPr>
    </w:p>
    <w:p>
      <w:pPr>
        <w:ind w:left="600" w:hanging="600"/>
        <w:spacing w:after="0"/>
        <w:tabs>
          <w:tab w:leader="none" w:pos="600"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Clearance and Settlement on the Singapore Exchange</w:t>
      </w:r>
    </w:p>
    <w:p>
      <w:pPr>
        <w:spacing w:after="0" w:line="216"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Our Class A ordinary shares are traded on the Singapore Exchange in board lots of 10 Class A ordinary shares. Our Class A ordinary shares that are traded on the Singapore Exchange will be cleared and settled under the scripless book-entry settlement system of the Central Depository (Pte) Limited, or CDP, and all dealings in and transactions of the Class A ordinary shares through the Singapore Exchange will be effected in accordance with the terms and conditions for the operation of securities accounts maintained by a depositor with CDP and the terms and conditions for CDP to act as depository for foreign securities, as amended from time to time.</w:t>
      </w:r>
    </w:p>
    <w:p>
      <w:pPr>
        <w:spacing w:after="0" w:line="161" w:lineRule="exact"/>
        <w:rPr>
          <w:sz w:val="20"/>
          <w:szCs w:val="20"/>
          <w:color w:val="auto"/>
        </w:rPr>
      </w:pPr>
    </w:p>
    <w:p>
      <w:pPr>
        <w:jc w:val="both"/>
        <w:ind w:firstLine="594"/>
        <w:spacing w:after="0" w:line="291" w:lineRule="auto"/>
        <w:rPr>
          <w:sz w:val="20"/>
          <w:szCs w:val="20"/>
          <w:color w:val="auto"/>
        </w:rPr>
      </w:pPr>
      <w:r>
        <w:rPr>
          <w:rFonts w:ascii="Times New Roman" w:cs="Times New Roman" w:eastAsia="Times New Roman" w:hAnsi="Times New Roman"/>
          <w:sz w:val="16"/>
          <w:szCs w:val="16"/>
          <w:color w:val="auto"/>
        </w:rPr>
        <w:t>Under the Cayman Islands Companies Act, only a person who agrees to become a shareholder of a Cayman Islands company and whose name is entered in the register of members of such company is considered a member with rights to attend and vote at shareholders’ meetings of such company.</w:t>
      </w:r>
    </w:p>
    <w:p>
      <w:pPr>
        <w:spacing w:after="0" w:line="346" w:lineRule="exact"/>
        <w:rPr>
          <w:sz w:val="20"/>
          <w:szCs w:val="20"/>
          <w:color w:val="auto"/>
        </w:rPr>
      </w:pPr>
    </w:p>
    <w:p>
      <w:pPr>
        <w:jc w:val="both"/>
        <w:ind w:firstLine="594"/>
        <w:spacing w:after="0" w:line="262" w:lineRule="auto"/>
        <w:rPr>
          <w:sz w:val="20"/>
          <w:szCs w:val="20"/>
          <w:color w:val="auto"/>
        </w:rPr>
      </w:pPr>
      <w:r>
        <w:rPr>
          <w:rFonts w:ascii="Times New Roman" w:cs="Times New Roman" w:eastAsia="Times New Roman" w:hAnsi="Times New Roman"/>
          <w:sz w:val="16"/>
          <w:szCs w:val="16"/>
          <w:color w:val="auto"/>
        </w:rPr>
        <w:t>Our Class A ordinary shares trading on the Singapore Exchange are registered in the name of CDP or its nominee and held by CDP for and on behalf of persons who maintain, either directly or through depository agents, securities accounts. Accordingly, under Cayman Islands laws, a shareholder who maintains, either directly or through depository agents, securities accounts with CDP, or a NIO CDP depositor, holding our Class A ordinary shares through CDP would not be recognized as our shareholder but may be appointed by CDP as its proxy and have the direct right to attend and cast votes at such shareholders’ meetings. Shareholders are to take note that no option shall be provided to shareholders for them to withdraw and/or deposit the Class A ordinary shares from and/or with the CDP in scrip form. Accordingly, in the event that a NIO CDP depositor wishes to attend and vote at the shareholders’ meetings in his own name, the NIO CDP depositor would have to first convert his Class A ordinary shares trading on the Singapore Exchange to ADS trading on the NYSE, before cancelling the ADS with the ADS depositary, being Deutsche Bank Trust Company Americas, and receiving the corresponding number of underlying Class A ordinary shares in certificated form in his own name from the Cayman share registrar. The NIO CDP depositor must be a registered holder of Class A ordinary shares on the Cayman share register prior to the record date for the shareholders’ meeting.</w:t>
      </w:r>
    </w:p>
    <w:p>
      <w:pPr>
        <w:spacing w:after="0" w:line="368"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Our shareholders and ADS holders can convert and transfer shares trading on the Singapore Exchange to ADS trading on the NYSE (and vice versa) only on a scripless basis, which involves a transfer of shares through the CDP electronic system between the CDP accounts of the Singapore custodian of the ADS depositary, namely DB Nominees (Singapore) Pte Ltd, and the shareholder (or his depository agent). In this regard, the shares listed and traded on the Singapore Exchange shall be solely Class A ordinary shares underlying ADSs which have been registered with the SEC (or exempted, as the case may be) and listed and traded on the NYSE, which are unrestricted shares. For the avoidance of doubt, unrestricted shares which are not represented by ADSs will not be accepted for deposit into CDP.</w:t>
      </w:r>
    </w:p>
    <w:p>
      <w:pPr>
        <w:spacing w:after="0" w:line="163"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Our shareholders will not be given an option to deposit and/or withdraw the Class A ordinary shares from and/or with the CDP in scrip form, or the Option, in order to ensure that the Class A ordinary shares trading on the Singapore Exchange are strictly unrestricted shares. If our shareholders are given the Option, there may be a risk of shares which are unregistered with the SEC and/or have yet to be approved by the NYSE for listing, which we refer to as the Restricted Shares, being deposited directly into CDP. Thereafter, it would be practically impossible for our company and the ADS depositary to differentiate between unrestricted shares and Restricted Shares once shares are admitted for trading in scripless form on the Singapore Exchange. Any conversion of Restricted Shares into ADS, without registration with the SEC (or exemption, as the case may be) may further result in non-compliance with the U.S. securities law.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Accordingly, the following mechanisms have been put in place to ensure that the Restricted Shares are not listed and traded on the Singapore Exchange:</w:t>
      </w:r>
    </w:p>
    <w:p>
      <w:pPr>
        <w:spacing w:after="0" w:line="100" w:lineRule="exact"/>
        <w:rPr>
          <w:sz w:val="20"/>
          <w:szCs w:val="20"/>
          <w:color w:val="auto"/>
        </w:rPr>
      </w:pPr>
    </w:p>
    <w:p>
      <w:pPr>
        <w:jc w:val="both"/>
        <w:ind w:left="920" w:hanging="301"/>
        <w:spacing w:after="0" w:line="278" w:lineRule="auto"/>
        <w:tabs>
          <w:tab w:leader="none" w:pos="9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would not be given an option to deposit and/or withdraw the Class A ordinary shares from and/or with the CDP in scrip form to prevent shareholders from depositing Restricted Shares into CDP, and accordingly introducing Restricted Shares to the Singapore Exchange for trading; and</w:t>
      </w:r>
    </w:p>
    <w:p>
      <w:pPr>
        <w:spacing w:after="0" w:line="115" w:lineRule="exact"/>
        <w:rPr>
          <w:rFonts w:ascii="Times New Roman" w:cs="Times New Roman" w:eastAsia="Times New Roman" w:hAnsi="Times New Roman"/>
          <w:sz w:val="16"/>
          <w:szCs w:val="16"/>
          <w:color w:val="auto"/>
        </w:rPr>
      </w:pPr>
    </w:p>
    <w:p>
      <w:pPr>
        <w:jc w:val="both"/>
        <w:ind w:left="920" w:hanging="301"/>
        <w:spacing w:after="0" w:line="271" w:lineRule="auto"/>
        <w:tabs>
          <w:tab w:leader="none" w:pos="9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the ADS depositary accepts deposits of shares to issue new ADSs, the ADS depositary would ensure, inter alia, compliance with U.S. securities law requirements, and compliance with the terms and procedures of the ADS depositary which are consistent with the deposit agreement (including completion and presentation of transfer documents). Accordingly, through this process, only unrestricted shares would be permitted for deposit with the ADS depositary for the issuance of the corresponding ADSs for trading on the NYSE.</w:t>
      </w:r>
    </w:p>
    <w:p>
      <w:pPr>
        <w:spacing w:after="0" w:line="134"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NIO CDP depositors must have their respective securities accounts credited with the number of Class A ordinary shares deposited before they can effect the desired trades. A fee of S$10.00 is payable upon the deposit of each instrument of transfer with CDP and the ADS depositary reserves the right to charge additional fees imposed by the ADS depositary, CDP and any brokers to ADS holders and NIO CDP depositors who have made requests for the conversion of ADSs into Class A ordinary shares and vice versa. The above fees may be subject to such charges as may be imposed in accordance with CDP’s prevailing policies or the current tax policies, including GST that may be in force in Singapore from time to time.</w:t>
      </w:r>
    </w:p>
    <w:p>
      <w:pPr>
        <w:spacing w:after="0" w:line="124"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Transactions in our Class A ordinary shares under the CDP book-entry settlement system will be reflected by the seller’s securities account being debited with the number of Class A ordinary shares sold and the buyer’s securities account being credited with the number of Class A ordinary shares acquired and no transfer stamp duty is currently payable for our Class A ordinary shares that are settled on a book-entry basis.</w:t>
      </w:r>
    </w:p>
    <w:p>
      <w:pPr>
        <w:spacing w:after="0" w:line="116"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Class A ordinary shares traded on the Singapore Exchange will not be fungible with the Class A ordinary shares traded on the Hong Kong Stock Exchange as there is no mechanism in place to facilitate such transfer of Class A ordinary shares between the Singapore Exchange and the Hong Kong Stock Exchange.</w:t>
      </w:r>
    </w:p>
    <w:p>
      <w:pPr>
        <w:spacing w:after="0" w:line="124" w:lineRule="exact"/>
        <w:rPr>
          <w:sz w:val="20"/>
          <w:szCs w:val="20"/>
          <w:color w:val="auto"/>
        </w:rPr>
      </w:pPr>
    </w:p>
    <w:p>
      <w:pPr>
        <w:ind w:left="600" w:hanging="600"/>
        <w:spacing w:after="0"/>
        <w:tabs>
          <w:tab w:leader="none" w:pos="600"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Clearing Fees</w:t>
      </w:r>
    </w:p>
    <w:p>
      <w:pPr>
        <w:spacing w:after="0" w:line="17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 Singapore clearing fee for trades in our Class A ordinary shares on the Singapore Exchange is payable at the rate of 0.0325% of the contract value. The clearing fee, instrument of transfer deposit fee and share withdrawal fee may be subject to GST at the prevailing rate of 9.0% (or such other rate prevailing from time to time).</w:t>
      </w:r>
    </w:p>
    <w:p>
      <w:pPr>
        <w:spacing w:after="0" w:line="116" w:lineRule="exact"/>
        <w:rPr>
          <w:sz w:val="20"/>
          <w:szCs w:val="20"/>
          <w:color w:val="auto"/>
        </w:rPr>
      </w:pPr>
    </w:p>
    <w:p>
      <w:pPr>
        <w:jc w:val="both"/>
        <w:ind w:firstLine="594"/>
        <w:spacing w:after="0" w:line="267" w:lineRule="auto"/>
        <w:rPr>
          <w:sz w:val="20"/>
          <w:szCs w:val="20"/>
          <w:color w:val="auto"/>
        </w:rPr>
      </w:pPr>
      <w:r>
        <w:rPr>
          <w:rFonts w:ascii="Times New Roman" w:cs="Times New Roman" w:eastAsia="Times New Roman" w:hAnsi="Times New Roman"/>
          <w:sz w:val="16"/>
          <w:szCs w:val="16"/>
          <w:color w:val="auto"/>
        </w:rPr>
        <w:t>Dealings in our Class A ordinary shares will be carried out in U.S. dollars and will be effected for settlement in CDP on a scripless basis. Settlement of trades on a normal “ready” basis on the Singapore Exchange generally takes place on the second (2nd) market day following the transaction date and payment for the securities between member companies of the Singapore Exchange and NIO CDP depositors is generally settled on the following business day. CDP holds securities on behalf of depositors in securities accounts. An investor may open a direct account with CDP or a sub-account with any depository agent. A depository agent may be a member company of the Singapore Exchange, bank, merchant bank or trust company.</w:t>
      </w:r>
    </w:p>
    <w:p>
      <w:pPr>
        <w:spacing w:after="0" w:line="334" w:lineRule="exact"/>
        <w:rPr>
          <w:sz w:val="20"/>
          <w:szCs w:val="20"/>
          <w:color w:val="auto"/>
        </w:rPr>
      </w:pPr>
    </w:p>
    <w:p>
      <w:pPr>
        <w:ind w:left="600" w:hanging="600"/>
        <w:spacing w:after="0"/>
        <w:tabs>
          <w:tab w:leader="none" w:pos="600"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Dealing of Shares on the Singapore Exchange</w:t>
      </w:r>
    </w:p>
    <w:p>
      <w:pPr>
        <w:spacing w:after="0" w:line="179"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Dealing of Class A ordinary shares on the Singapore Exchange should be conducted with member companies of the Singapore Exchange by NIO CDP depositors who hold direct securities accounts with CDP or a sub-account with a depository agent.</w:t>
      </w:r>
    </w:p>
    <w:p>
      <w:pPr>
        <w:spacing w:after="0" w:line="100"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Dealings in, and transactions of, Class A ordinary shares on the Singapore Exchange will be due for settlement on the second market day following the date of transaction (T+2, or the Settlement Date), and payment for the securities is generally settled on the following business day. NIO CDP depositors selling Class A ordinary shares should ensure that there are sufficient Class A ordinary shares in their direct securities account with CDP or their sub-account with a depository agent on the Settlement Date. Settlement of dealings through the CDP direct securities account or sub-account with a depository agent shall be made in accordance with CDP’s “Terms and Conditions for Operation of Securities Accounts with CDP,” and the “Terms and Conditions for CDP to Act as Depository for Foreign Securities,” as amended from time to time. Investors should take note that they would need to maintain a direct account with CDP or a sub-account with any depository agent before they can hold and/or trade the Class A ordinary shares on the Singapore Exchange. If you do not currently have a direct account with CDP or a sub-account with a depository agent through which you can trade securities on the Singapore Exchange, please open an account with CDP or contact a broker to open an account.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600" w:hanging="600"/>
        <w:spacing w:after="0"/>
        <w:tabs>
          <w:tab w:leader="none" w:pos="600"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Instructions for the Cancellation of ADS Traded on NYSE and Withdrawal of Physical Class A Ordinary Share Certificates</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ADS holders may turn in their ADS at the ADS depositary’s corporate trust office or by providing appropriate instructions to their U.S. broker for cancellation and withdrawal of the underlying shares. In cases where the ADS holder would like to cancel their ADS and withdraw the underlying shares in the form of physical Class A share certificates, the ADS holder or the holder’s U.S. broker would need to inform us and the ADS depositary that they would like to receive the shares in this form. Upon payment of its fees, expenses and any taxes or charges, such as stamp taxes or stock transfer taxes or fees, and subject in all cases to the terms and conditions of the deposit agreement, the ADS depositary will deliver the Class A ordinary shares on the Cayman share register and any other deposited securities underlying the ADSs to the ADS holder or a person designated by the ADS holder at the office of the custodian of the ADS depositary. Or, at the request, risk and expense of the ADS holder, the ADS depository will deliver the deposited securities at its corporate trust office, to the extent permitted by law. The mechanism for cancelling ADSs and receiving Class A ordinary shares for trading on the Singapore Exchange is described below.</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Temporary delays may arise. For example, the transfer books of the ADS depositary may from time to time be closed to ADS cancellations.</w:t>
      </w:r>
    </w:p>
    <w:p>
      <w:pPr>
        <w:spacing w:after="0" w:line="208" w:lineRule="exact"/>
        <w:rPr>
          <w:sz w:val="20"/>
          <w:szCs w:val="20"/>
          <w:color w:val="auto"/>
        </w:rPr>
      </w:pPr>
    </w:p>
    <w:p>
      <w:pPr>
        <w:ind w:left="600" w:hanging="600"/>
        <w:spacing w:after="0"/>
        <w:tabs>
          <w:tab w:leader="none" w:pos="600"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 Withdrawal or Deposit of Class A Ordinary Shares in Scrip Form from or with the CFP</w:t>
      </w:r>
    </w:p>
    <w:p>
      <w:pPr>
        <w:spacing w:after="0" w:line="21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Shareholders should note that they will not be permitted to withdraw or deposit the Class A ordinary shares from or with the CDP in scrip form, so as to ensure that the fungible ADSs and Class A ordinary shares trading on the NYSE and the Singapore Exchange respectively have either been registered under the Securities Act or are otherwise freely tradable pursuant to an exemption from registration under the Securities Act. In the event that any NIO CDP depositor wishes to withdraw his Class A ordinary shares in scrip form for whatsoever reason, the NIO CDP depositor would have to first convert his Class A ordinary shares trading on the Singapore Exchange to ADS trading on the NYSE, before cancelling the ADS with the ADS depositary and receiving such Class A ordinary shares in physical share certificates as registered holder. The instructions for the cancellation of ADSs traded on the NYSE and withdrawal of physical certificates of Class A ordinary shares are as set out above.</w:t>
      </w:r>
    </w:p>
    <w:p>
      <w:pPr>
        <w:spacing w:after="0" w:line="158" w:lineRule="exact"/>
        <w:rPr>
          <w:sz w:val="20"/>
          <w:szCs w:val="20"/>
          <w:color w:val="auto"/>
        </w:rPr>
      </w:pPr>
    </w:p>
    <w:p>
      <w:pPr>
        <w:ind w:left="600" w:hanging="600"/>
        <w:spacing w:after="0"/>
        <w:tabs>
          <w:tab w:leader="none" w:pos="600"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Mechanism for Conversion and Transfer of Class A Ordinary Shares Trading on the Singapore Exchange to ADSs for trading on the</w:t>
      </w:r>
    </w:p>
    <w:p>
      <w:pPr>
        <w:spacing w:after="0" w:line="35"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NYSE</w:t>
      </w:r>
    </w:p>
    <w:p>
      <w:pPr>
        <w:spacing w:after="0" w:line="195"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Conversion of Class A ordinary shares on the Singapore Exchange to ADSs for trading on the NYSE will only be carried out on a scripless basis. A NIO CDP depositor whose Class A ordinary shares are held through CDP (either directly or through a depository agent) and wishes to convert and transfer his Class A ordinary share to ADS for trading on the NYSE, shall first provide ADS issuance instructions to the Singapore custodian of the ADS depositary, namely DB Nominees (Singapore) Pte Ltd, in the form of a letter of transmittal (LOT) through his Singapore broker, providing key information including but not limited to the number of ADSs to be issued, the ADS delivery information, and such other documentation as the ADS depositary may require pursuant to the deposit agreement. Immediately thereafter, the Singapore broker, on behalf of the NIO CDP depositor, shall make a Free of Payment (FOP) transfer of the relevant number of the Class A ordinary shares to DB Nominees (Singapore) Pte Ltd through the CDP electronic system. The cut-off time for providing the ADS issuance instructions in the form of a letter of transmittal and for the Singapore broker to make the FOP transfer is 11:30 a.m. (Singapore time).</w:t>
      </w:r>
    </w:p>
    <w:p>
      <w:pPr>
        <w:spacing w:after="0" w:line="166"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Such issuances are subject in all cases to the terms of the deposit agreement. All forms and declarations required by the ADS depositary must be fully completed, provided in a timely manner, duly signed and submitted to the ADS depositary with the instruction to credit the relevant number of ADSs in DTC. Upon receipt of the relevant number of Class A ordinary shares, DB Nominees (Singapore) Pte Ltd shall forward the corresponding letter of transmittal to the ADS depositary. Following which, the ADS depositary shall issue the relevant number of ADSs as instructed by the letter of transmittal for delivery through the DTC settlement system to the designated DTC securities account (whether held directly by the NIO CDP depositor or through a U.S. broker) upon payment of its fees, expenses and any taxes or charges such as stamp taxes or stock transfer taxes or fees.</w:t>
      </w:r>
    </w:p>
    <w:p>
      <w:pPr>
        <w:spacing w:after="0" w:line="365"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conversion and transfer of Class A ordinary shares in a securities account held with CDP to ADS in the NIO CDP depositor’s securities account opened with his U.S. broker would normally take approximately two (2) business days from the time the ADS depositary (and/or any of its agents in Singapore) receives the underlying Class A ordinary shares and the ADS issuance instructions with the necessary documents, barring any closure of the transfer books of the ADS depositary or any other unforeseen circumstances and assuming that all requisite forms/instructions have been duly completed and provided, and necessary payment for all associated fees has been made.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Please note that in all cases of transfers referred to in this section, there should not be any change or difference, or purported change or difference, in the beneficial owner of the underlying Class A ordinary share before and after transfer of Class A ordinary shares trading on the Singapore Exchange to ADSs for trading on the NYSE.</w:t>
      </w:r>
    </w:p>
    <w:p>
      <w:pPr>
        <w:spacing w:after="0" w:line="153"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You may be charged with applicable fees by your broker or custodian in Singapore. Please note that the transfer process and/or fees payable are subject to change. For further information or copies of the forms, please contact the Company and the ADS depositary directly. For the avoidance of doubt, all fees and taxes (including stamp duties) incurred during the transfer process shall be borne by the ADS holder.</w:t>
      </w:r>
    </w:p>
    <w:p>
      <w:pPr>
        <w:spacing w:after="0" w:line="149" w:lineRule="exact"/>
        <w:rPr>
          <w:sz w:val="20"/>
          <w:szCs w:val="20"/>
          <w:color w:val="auto"/>
        </w:rPr>
      </w:pPr>
    </w:p>
    <w:p>
      <w:pPr>
        <w:ind w:left="600" w:right="460" w:hanging="600"/>
        <w:spacing w:after="0" w:line="303" w:lineRule="auto"/>
        <w:tabs>
          <w:tab w:leader="none" w:pos="600"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Mechanism for Conversion and Transfer of ADSs Trading on NYSE to Class A Ordinary Shares for Trading on the Singapore Exchange</w:t>
      </w:r>
    </w:p>
    <w:p>
      <w:pPr>
        <w:spacing w:after="0" w:line="13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Conversion and transfer of ADSs to Class A ordinary shares for trading on the Singapore Exchange will only be carried out on a scripless basis. As an ADS holder, if you wish to trade your underlying Class A ordinary shares on the Singapore Exchange, you must first instruct your U.S. broker to convert the ADSs which you hold in NYSE into Class A ordinary shares through the submission of an ADR cancellation instruction for the purpose of cancellation and withdrawal. The U.S. broker will subsequently surrender the ADSs to the ADS depositary (through DTC), and provide the ADS depositary with the ADR cancellation instruction and pay the ADS depositary’s fees, expenses and any applicable taxes or charges, such as stamp taxes or stock transfer taxes or fees.</w:t>
      </w:r>
    </w:p>
    <w:p>
      <w:pPr>
        <w:spacing w:after="0" w:line="16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Such cancellations and withdrawals are subject in all cases to the terms of the deposit agreement. All forms and declarations required by the ADS depositary must be fully completed, provided in a timely manner, duly signed and submitted to the ADS depositary with the instruction to credit the relevant number of Class A ordinary shares into a securities account opened with CDP. The ADS depositary and its custodian shall electronically transfer the relevant number of Class A ordinary shares through the scripless system operated by CDP from their securities account to your designated securities account (either in your direct name or maintained under your Singapore broker as a depository agent).</w:t>
      </w:r>
    </w:p>
    <w:p>
      <w:pPr>
        <w:spacing w:after="0" w:line="161"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conversion and transfer of ADSs on NYSE to Class A ordinary shares in the NIO CDP depositor’s securities account opened with CDP or his securities sub-account maintained with a Depository Agent would normally take approximately two (2) business days to complete from the time the ADS Depositary receives the ADSs for cancellation, any applicable fees and the ADS cancellation instructions with the necessary documents, barring any closure of the transfer books of the ADS depositary or any other unforeseen circumstances and assuming that all requisite forms/instructions have been duly completed and provided, and necessary payment for all associated fees has been made.</w:t>
      </w:r>
    </w:p>
    <w:p>
      <w:pPr>
        <w:spacing w:after="0" w:line="16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Please note that in all cases of transfers referred to in this section, there should not be any change or difference, or purported change or difference, in the beneficial owner of the underlying Class A ordinary share before and after transfer of ADSs trading on the NYSE to Class A ordinary shares trading on the Singapore Exchange.</w:t>
      </w:r>
    </w:p>
    <w:p>
      <w:pPr>
        <w:spacing w:after="0" w:line="15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You may be charged with applicable fees by your broker or custodian in the U.S. Please note that the transfer process and/or fees payable are subject to change. For further information or copies of the forms, please contact the Company and the ADS depositary directly. For the avoidance of doubt, all fees and taxes (including stamp duties) incurred during the transfer process shall be borne by the ADS holder. For the avoidance of doubt, no specific consent or approval by the Company will be required for the conversion and transfer of ADS on the NYSE to Class A ordinary shares for trading on the Singapore Exchange by shareholders and vice versa.</w:t>
      </w:r>
    </w:p>
    <w:p>
      <w:pPr>
        <w:spacing w:after="0" w:line="157" w:lineRule="exact"/>
        <w:rPr>
          <w:sz w:val="20"/>
          <w:szCs w:val="20"/>
          <w:color w:val="auto"/>
        </w:rPr>
      </w:pPr>
    </w:p>
    <w:p>
      <w:pPr>
        <w:ind w:left="600" w:hanging="600"/>
        <w:spacing w:after="0"/>
        <w:tabs>
          <w:tab w:leader="none" w:pos="600"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Voting Instructions</w:t>
      </w:r>
    </w:p>
    <w:p>
      <w:pPr>
        <w:spacing w:after="0" w:line="21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ADS holders are not treated as shareholders and accordingly, do not have shareholder rights. As the ADS depositary holds the legal title to our Class A ordinary shares represented by the ADSs, ADS holders must rely on the ADS depositary to exercise the rights of a shareholder. The obligations of the ADS depositary, rights and obligations of the ADS holders, including processes related to the voting of the Class A ordinary shares underlying the ADSs, are governed by the conditions of the deposit agreement. Under the Cayman Islands law, every other person who has agreed to become a member of a Cayman Islands company and whose name is entered in the register of members of such company is considered a member. Accordingly, a NIO CDP depositor holding Class A ordinary shares through CDP would not be recognized as our shareholder under the laws of the Cayman Islands but would be appointed as a proxy of CDP (which is a registered shareholder), and have the right to attend general meetings of our shareholders and to cast any votes at such meetings.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Where applicable and/or required, we will coordinate with the Singapore share transfer agent to mail to NIO CDP depositors, in English, any notice of shareholders’ meetings, together with instruction form, or the Voting Instruction Form. The Voting Instruction Form would in turn be consolidated by the Singapore share transfer agent. NIO CDP depositors will be able to vote on such matters tabled for shareholders’ approval at the shareholders’ meetings by (i) attending the meetings and casting votes in person as a proxy appointed by CDP, or (ii) returning the Voting Instruction Form by the deadline to CDP or the Singapore share transfer agent, as the case may be.</w:t>
      </w:r>
    </w:p>
    <w:p>
      <w:pPr>
        <w:spacing w:after="0" w:line="161"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NIO CDP depositors who wish to attend shareholders’ meetings and exercise their voting rights directly under their own names with regard to Class A ordinary shares beneficially owned by them, shall first convert their Class A ordinary shares to ADSs in accordance with the above section on “F. Mechanism for Conversion and Transfer of Class A Ordinary Shares Trading on the Singapore Exchange to ADSs for Trading on the NYSE.” Thereafter, they would need to cancel the ADSs and withdraw the underlying physical Class A ordinary share certificate in accordance with the above section on “D. Instructions for the Cancellation of ADS Traded on NYSE and Withdrawal of Physical Class A Ordinary Share Certificates,” and make appropriate arrangements to hold the shares directly prior to the record date for the shareholders’ meeting.</w:t>
      </w:r>
    </w:p>
    <w:p>
      <w:pPr>
        <w:spacing w:after="0" w:line="159" w:lineRule="exact"/>
        <w:rPr>
          <w:sz w:val="20"/>
          <w:szCs w:val="20"/>
          <w:color w:val="auto"/>
        </w:rPr>
      </w:pPr>
    </w:p>
    <w:p>
      <w:pPr>
        <w:ind w:left="600" w:hanging="600"/>
        <w:spacing w:after="0"/>
        <w:tabs>
          <w:tab w:leader="none" w:pos="600" w:val="left"/>
        </w:tabs>
        <w:numPr>
          <w:ilvl w:val="0"/>
          <w:numId w:val="1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ADS Depositary Requirements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Before the ADS depositary accepts deposits of Class A ordinary shares, delivers ADSs or permits withdrawal of Class A ordinary shares,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ADS depositary requires:</w:t>
      </w:r>
    </w:p>
    <w:p>
      <w:pPr>
        <w:spacing w:after="0" w:line="195" w:lineRule="exact"/>
        <w:rPr>
          <w:sz w:val="20"/>
          <w:szCs w:val="20"/>
          <w:color w:val="auto"/>
        </w:rPr>
      </w:pPr>
    </w:p>
    <w:p>
      <w:pPr>
        <w:ind w:left="920" w:hanging="301"/>
        <w:spacing w:after="0"/>
        <w:tabs>
          <w:tab w:leader="none" w:pos="9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of satisfactory proof of the identity and genuineness of any signature or other information it deems necessary;</w:t>
      </w:r>
    </w:p>
    <w:p>
      <w:pPr>
        <w:spacing w:after="0" w:line="212" w:lineRule="exact"/>
        <w:rPr>
          <w:rFonts w:ascii="Times New Roman" w:cs="Times New Roman" w:eastAsia="Times New Roman" w:hAnsi="Times New Roman"/>
          <w:sz w:val="16"/>
          <w:szCs w:val="16"/>
          <w:color w:val="auto"/>
        </w:rPr>
      </w:pPr>
    </w:p>
    <w:p>
      <w:pPr>
        <w:ind w:left="920" w:hanging="301"/>
        <w:spacing w:after="0" w:line="298" w:lineRule="auto"/>
        <w:tabs>
          <w:tab w:leader="none" w:pos="9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terms and procedures it may establish, from time to time, consistent with the deposit agreement, including completion and presentation of required transfer documents; and</w:t>
      </w:r>
    </w:p>
    <w:p>
      <w:pPr>
        <w:spacing w:after="0" w:line="137" w:lineRule="exact"/>
        <w:rPr>
          <w:rFonts w:ascii="Times New Roman" w:cs="Times New Roman" w:eastAsia="Times New Roman" w:hAnsi="Times New Roman"/>
          <w:sz w:val="16"/>
          <w:szCs w:val="16"/>
          <w:color w:val="auto"/>
        </w:rPr>
      </w:pPr>
    </w:p>
    <w:p>
      <w:pPr>
        <w:ind w:left="920" w:hanging="301"/>
        <w:spacing w:after="0"/>
        <w:tabs>
          <w:tab w:leader="none" w:pos="9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U.S. securities law requirements.</w:t>
      </w:r>
    </w:p>
    <w:p>
      <w:pPr>
        <w:spacing w:after="0" w:line="212"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The ADS depositary may refuse to deliver, transfer, or register issuances, transfers and cancellations of ADSs generally when the transfer books of the ADS depositary are closed, or at any time if the ADS depositary or our company determines it advisable to do so. In addition, procedures for delivery of Class A ordinary shares in CDP are subject to there being a sufficient number of Class A ordinary shares to facilitate a withdrawal from the ADR program directly into the CDP system. The Company, the ADS depositary and the CDP are not under any obligation to maintain or increase the number of Class A ordinary shares in the CDP system to facilitate such withdrawals.</w:t>
      </w:r>
    </w:p>
    <w:p>
      <w:pPr>
        <w:spacing w:after="0" w:line="161"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Any affiliate of the Company (as defined in Rule 144(a)(1) of the Securities Act) can only deposit Class A ordinary shares into the ADR program in connection with a contemporaneous sale of such ADSs issued on deposit or related shares on CDP, should they cancel such ADSs and receive the underlying Class A ordinary shares.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DEFAULTS, DIVIDEND ARREARAGES AND DELINQUENCIES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None.</w:t>
      </w:r>
    </w:p>
    <w:p>
      <w:pPr>
        <w:spacing w:after="0" w:line="208" w:lineRule="exact"/>
        <w:rPr>
          <w:sz w:val="20"/>
          <w:szCs w:val="20"/>
          <w:color w:val="auto"/>
        </w:rPr>
      </w:pPr>
    </w:p>
    <w:p>
      <w:pPr>
        <w:ind w:right="1300"/>
        <w:spacing w:after="0" w:line="519" w:lineRule="auto"/>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 Material Modifications to the Rights of Security Holders</w:t>
      </w: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See “Item 10. Additional Information—B. Memorandum and Articles of Association—Ordinary Shares” for a description of the rights of securities holders, which remain unchanged.</w:t>
      </w:r>
    </w:p>
    <w:p>
      <w:pPr>
        <w:spacing w:after="0" w:line="13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16" w:lineRule="exact"/>
        <w:rPr>
          <w:sz w:val="20"/>
          <w:szCs w:val="20"/>
          <w:color w:val="auto"/>
        </w:rPr>
      </w:pPr>
    </w:p>
    <w:p>
      <w:pPr>
        <w:jc w:val="both"/>
        <w:ind w:firstLine="594"/>
        <w:spacing w:after="0" w:line="264"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upon that evaluation, our management, with the participation of our chief executive officer and chief financial officer, has concluded that, as of December 31, 2025, our disclosure controls and procedures were effective in ensuring that the information we are required to disclose in the reports that we file or submit under the Exchange Act is recorded, processed, summarized and reported, within the time periods specified in the SEC’s rules and forms, and that the information we are required to disclose in the reports that we file or submit under the Exchange Act is accumulated and communicated to our management, including our chief executive officer,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216"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w:t>
      </w:r>
    </w:p>
    <w:p>
      <w:pPr>
        <w:spacing w:after="0" w:line="3" w:lineRule="exact"/>
        <w:rPr>
          <w:sz w:val="20"/>
          <w:szCs w:val="20"/>
          <w:color w:val="auto"/>
        </w:rPr>
      </w:pPr>
    </w:p>
    <w:p>
      <w:pPr>
        <w:jc w:val="both"/>
        <w:spacing w:after="0" w:line="262" w:lineRule="auto"/>
        <w:tabs>
          <w:tab w:leader="none" w:pos="243"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spacing w:after="0" w:line="167"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all potential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53" w:lineRule="exact"/>
        <w:rPr>
          <w:sz w:val="20"/>
          <w:szCs w:val="20"/>
          <w:color w:val="auto"/>
        </w:rPr>
      </w:pPr>
    </w:p>
    <w:p>
      <w:pPr>
        <w:jc w:val="both"/>
        <w:ind w:firstLine="594"/>
        <w:spacing w:after="0" w:line="268" w:lineRule="auto"/>
        <w:rPr>
          <w:sz w:val="20"/>
          <w:szCs w:val="20"/>
          <w:color w:val="auto"/>
        </w:rPr>
      </w:pPr>
      <w:r>
        <w:rPr>
          <w:rFonts w:ascii="Times New Roman" w:cs="Times New Roman" w:eastAsia="Times New Roman" w:hAnsi="Times New Roman"/>
          <w:sz w:val="16"/>
          <w:szCs w:val="16"/>
          <w:color w:val="auto"/>
        </w:rPr>
        <w:t>As required by Section 404 of the Sarbanes-Oxley Act of 2002 and related rules as promulgated by the SEC, our management including our Chief Executive Officer and Chief Financial Officer assessed the effectiveness of internal control over financial reporting as of December 31, 2025 using the criteria set forth in the report “Internal Control—Integrated Framework (2013)” published by the Committee of Sponsoring Organizations of the Treadway Commission. Based on this evaluation, the management concluded that our internal control over financial reporting was effective as of December 31, 2025.</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16" w:lineRule="exact"/>
        <w:rPr>
          <w:sz w:val="20"/>
          <w:szCs w:val="20"/>
          <w:color w:val="auto"/>
        </w:rPr>
      </w:pPr>
    </w:p>
    <w:p>
      <w:pPr>
        <w:jc w:val="both"/>
        <w:ind w:right="20" w:firstLine="594"/>
        <w:spacing w:after="0" w:line="271" w:lineRule="auto"/>
        <w:rPr>
          <w:sz w:val="20"/>
          <w:szCs w:val="20"/>
          <w:color w:val="auto"/>
        </w:rPr>
      </w:pPr>
      <w:r>
        <w:rPr>
          <w:rFonts w:ascii="Times New Roman" w:cs="Times New Roman" w:eastAsia="Times New Roman" w:hAnsi="Times New Roman"/>
          <w:sz w:val="16"/>
          <w:szCs w:val="16"/>
          <w:color w:val="auto"/>
        </w:rPr>
        <w:t>As required by Rule 13a-15(d), under the Exchange Act, our management, including our chief executive officer and our chief financial officer, also conducted an assessment of our internal control over financial reporting to determine whether any changes occurred during the period covered by this report have materially affected, or are reasonably likely to materially affect, our internal control over financial reporting. Based on that assessment, it has been determined that there has been no such change during the period covered by this annual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216" w:lineRule="exact"/>
        <w:rPr>
          <w:sz w:val="20"/>
          <w:szCs w:val="20"/>
          <w:color w:val="auto"/>
        </w:rPr>
      </w:pPr>
    </w:p>
    <w:p>
      <w:pPr>
        <w:jc w:val="both"/>
        <w:ind w:right="20" w:firstLine="594"/>
        <w:spacing w:after="0" w:line="291" w:lineRule="auto"/>
        <w:rPr>
          <w:sz w:val="20"/>
          <w:szCs w:val="20"/>
          <w:color w:val="auto"/>
        </w:rPr>
      </w:pPr>
      <w:r>
        <w:rPr>
          <w:rFonts w:ascii="Times New Roman" w:cs="Times New Roman" w:eastAsia="Times New Roman" w:hAnsi="Times New Roman"/>
          <w:sz w:val="16"/>
          <w:szCs w:val="16"/>
          <w:color w:val="auto"/>
        </w:rPr>
        <w:t>Our independent registered public accounting firm, PricewaterhouseCoopers Zhong Tian LLP, has audited the effectiveness of our company’s internal control over financial reporting as of December 31, 2025, as stated in its report, which appears on page F-2 of this annual report on Form 20-F.</w:t>
      </w:r>
    </w:p>
    <w:p>
      <w:pPr>
        <w:spacing w:after="0" w:line="34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1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ITEM 16A.</w:t>
      </w:r>
      <w:r>
        <w:rPr>
          <w:sz w:val="20"/>
          <w:szCs w:val="20"/>
          <w:color w:val="auto"/>
        </w:rPr>
        <w:tab/>
      </w:r>
      <w:r>
        <w:rPr>
          <w:rFonts w:ascii="Times New Roman" w:cs="Times New Roman" w:eastAsia="Times New Roman" w:hAnsi="Times New Roman"/>
          <w:sz w:val="16"/>
          <w:szCs w:val="16"/>
          <w:b w:val="1"/>
          <w:bCs w:val="1"/>
          <w:color w:val="auto"/>
        </w:rPr>
        <w:t>AUDIT COMMITTEE FINANCIAL EXPERT</w:t>
      </w:r>
    </w:p>
    <w:p>
      <w:pPr>
        <w:spacing w:after="0" w:line="216" w:lineRule="exact"/>
        <w:rPr>
          <w:sz w:val="20"/>
          <w:szCs w:val="20"/>
          <w:color w:val="auto"/>
        </w:rPr>
      </w:pPr>
    </w:p>
    <w:p>
      <w:pPr>
        <w:jc w:val="both"/>
        <w:ind w:right="20" w:firstLine="594"/>
        <w:spacing w:after="0" w:line="278" w:lineRule="auto"/>
        <w:rPr>
          <w:sz w:val="20"/>
          <w:szCs w:val="20"/>
          <w:color w:val="auto"/>
        </w:rPr>
      </w:pPr>
      <w:r>
        <w:rPr>
          <w:rFonts w:ascii="Times New Roman" w:cs="Times New Roman" w:eastAsia="Times New Roman" w:hAnsi="Times New Roman"/>
          <w:sz w:val="16"/>
          <w:szCs w:val="16"/>
          <w:color w:val="auto"/>
        </w:rPr>
        <w:t>Our board of directors has determined that Mr. Denny Ting Bun Lee, a member of our audit committee and independent director (under the standards set forth in Section 303A of the Corporate Governance Rules of the NYSE and Rule 10A-3 under the Securities Exchange Act of 1934), is an audit committee financial expert.</w:t>
      </w:r>
    </w:p>
    <w:p>
      <w:pPr>
        <w:spacing w:after="0" w:line="14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ITEM 16B.</w:t>
      </w:r>
      <w:r>
        <w:rPr>
          <w:sz w:val="20"/>
          <w:szCs w:val="20"/>
          <w:color w:val="auto"/>
        </w:rPr>
        <w:tab/>
      </w:r>
      <w:r>
        <w:rPr>
          <w:rFonts w:ascii="Times New Roman" w:cs="Times New Roman" w:eastAsia="Times New Roman" w:hAnsi="Times New Roman"/>
          <w:sz w:val="16"/>
          <w:szCs w:val="16"/>
          <w:b w:val="1"/>
          <w:bCs w:val="1"/>
          <w:color w:val="auto"/>
        </w:rPr>
        <w:t>CODE OF ETHICS</w:t>
      </w:r>
    </w:p>
    <w:p>
      <w:pPr>
        <w:spacing w:after="0" w:line="216" w:lineRule="exact"/>
        <w:rPr>
          <w:sz w:val="20"/>
          <w:szCs w:val="20"/>
          <w:color w:val="auto"/>
        </w:rPr>
      </w:pPr>
    </w:p>
    <w:p>
      <w:pPr>
        <w:jc w:val="both"/>
        <w:ind w:right="20" w:firstLine="594"/>
        <w:spacing w:after="0" w:line="270" w:lineRule="auto"/>
        <w:rPr>
          <w:sz w:val="20"/>
          <w:szCs w:val="20"/>
          <w:color w:val="auto"/>
        </w:rPr>
      </w:pPr>
      <w:r>
        <w:rPr>
          <w:rFonts w:ascii="Times New Roman" w:cs="Times New Roman" w:eastAsia="Times New Roman" w:hAnsi="Times New Roman"/>
          <w:sz w:val="16"/>
          <w:szCs w:val="16"/>
          <w:color w:val="auto"/>
        </w:rPr>
        <w:t>Our board of directors has adopted a code of ethics that applies to all of the directors, officers and employees of us and our subsidiaries, whether they work for us on a full-time, part-time, consultative, or temporary basis. Certain provisions of the code apply specifically to our chief executive officer, chief financial officer, senior finance officer, controller, senior vice presidents, vice presidents and any other persons who perform similar functions for us. We have posted a copy of our code of business conduct and ethics on our website at https://www.nio.com/policies/compliance-policies.</w:t>
      </w:r>
    </w:p>
    <w:p>
      <w:pPr>
        <w:spacing w:after="0" w:line="35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16C.</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216" w:lineRule="exact"/>
        <w:rPr>
          <w:sz w:val="20"/>
          <w:szCs w:val="20"/>
          <w:color w:val="auto"/>
        </w:rPr>
      </w:pPr>
    </w:p>
    <w:p>
      <w:pPr>
        <w:jc w:val="both"/>
        <w:ind w:right="20" w:firstLine="594"/>
        <w:spacing w:after="0" w:line="278" w:lineRule="auto"/>
        <w:rPr>
          <w:sz w:val="20"/>
          <w:szCs w:val="20"/>
          <w:color w:val="auto"/>
        </w:rPr>
      </w:pPr>
      <w:r>
        <w:rPr>
          <w:rFonts w:ascii="Times New Roman" w:cs="Times New Roman" w:eastAsia="Times New Roman" w:hAnsi="Times New Roman"/>
          <w:sz w:val="16"/>
          <w:szCs w:val="16"/>
          <w:color w:val="auto"/>
        </w:rPr>
        <w:t>The following table sets forth the aggregate fees by the categories specified below in connection with certain professional services rendered by PricewaterhouseCoopers Zhong Tian LLP and its affiliates, our principal external auditor, for the years indicated. We did not pay any other fees to our principal external auditors during the years indicated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80" w:type="dxa"/>
            <w:vAlign w:val="bottom"/>
          </w:tcPr>
          <w:p>
            <w:pPr>
              <w:spacing w:after="0"/>
              <w:rPr>
                <w:sz w:val="13"/>
                <w:szCs w:val="13"/>
                <w:color w:val="auto"/>
              </w:rPr>
            </w:pPr>
          </w:p>
        </w:tc>
        <w:tc>
          <w:tcPr>
            <w:tcW w:w="4080" w:type="dxa"/>
            <w:vAlign w:val="bottom"/>
            <w:vMerge w:val="restart"/>
          </w:tcPr>
          <w:p>
            <w:pPr>
              <w:ind w:left="3840"/>
              <w:spacing w:after="0"/>
              <w:rPr>
                <w:sz w:val="20"/>
                <w:szCs w:val="20"/>
                <w:color w:val="auto"/>
              </w:rPr>
            </w:pPr>
            <w:r>
              <w:rPr>
                <w:rFonts w:ascii="Times New Roman" w:cs="Times New Roman" w:eastAsia="Times New Roman" w:hAnsi="Times New Roman"/>
                <w:sz w:val="13"/>
                <w:szCs w:val="13"/>
                <w:b w:val="1"/>
                <w:bCs w:val="1"/>
                <w:color w:val="auto"/>
              </w:rPr>
              <w:t>​​​</w:t>
            </w:r>
          </w:p>
        </w:tc>
        <w:tc>
          <w:tcPr>
            <w:tcW w:w="3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4080" w:type="dxa"/>
            <w:vAlign w:val="bottom"/>
            <w:vMerge w:val="continue"/>
          </w:tcPr>
          <w:p>
            <w:pPr>
              <w:spacing w:after="0"/>
              <w:rPr>
                <w:sz w:val="11"/>
                <w:szCs w:val="11"/>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1"/>
                <w:szCs w:val="11"/>
                <w:color w:val="auto"/>
              </w:rPr>
            </w:pPr>
          </w:p>
        </w:tc>
        <w:tc>
          <w:tcPr>
            <w:tcW w:w="300" w:type="dxa"/>
            <w:vAlign w:val="bottom"/>
          </w:tcPr>
          <w:p>
            <w:pPr>
              <w:jc w:val="center"/>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6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16"/>
        </w:trPr>
        <w:tc>
          <w:tcPr>
            <w:tcW w:w="24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(in RMB thousands)</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2"/>
                <w:szCs w:val="22"/>
                <w:color w:val="auto"/>
                <w:vertAlign w:val="superscript"/>
              </w:rPr>
              <w:t>(1)</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13,830</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16,510</w:t>
            </w:r>
          </w:p>
        </w:tc>
        <w:tc>
          <w:tcPr>
            <w:tcW w:w="0" w:type="dxa"/>
            <w:vAlign w:val="bottom"/>
          </w:tcPr>
          <w:p>
            <w:pPr>
              <w:spacing w:after="0"/>
              <w:rPr>
                <w:sz w:val="1"/>
                <w:szCs w:val="1"/>
                <w:color w:val="auto"/>
              </w:rPr>
            </w:pPr>
          </w:p>
        </w:tc>
      </w:tr>
      <w:tr>
        <w:trPr>
          <w:trHeight w:val="198"/>
        </w:trPr>
        <w:tc>
          <w:tcPr>
            <w:tcW w:w="656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Audit related fees</w:t>
            </w:r>
            <w:r>
              <w:rPr>
                <w:rFonts w:ascii="Times New Roman" w:cs="Times New Roman" w:eastAsia="Times New Roman" w:hAnsi="Times New Roman"/>
                <w:sz w:val="22"/>
                <w:szCs w:val="22"/>
                <w:color w:val="auto"/>
                <w:vertAlign w:val="superscript"/>
              </w:rPr>
              <w:t>(2)</w:t>
            </w:r>
          </w:p>
        </w:tc>
        <w:tc>
          <w:tcPr>
            <w:tcW w:w="960" w:type="dxa"/>
            <w:vAlign w:val="bottom"/>
          </w:tcPr>
          <w:p>
            <w:pPr>
              <w:spacing w:after="0"/>
              <w:rPr>
                <w:sz w:val="17"/>
                <w:szCs w:val="17"/>
                <w:color w:val="auto"/>
              </w:rPr>
            </w:pPr>
          </w:p>
        </w:tc>
        <w:tc>
          <w:tcPr>
            <w:tcW w:w="1400" w:type="dxa"/>
            <w:vAlign w:val="bottom"/>
            <w:gridSpan w:val="3"/>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Tax fees</w:t>
            </w:r>
            <w:r>
              <w:rPr>
                <w:rFonts w:ascii="Times New Roman" w:cs="Times New Roman" w:eastAsia="Times New Roman" w:hAnsi="Times New Roman"/>
                <w:sz w:val="22"/>
                <w:szCs w:val="22"/>
                <w:color w:val="auto"/>
                <w:vertAlign w:val="superscript"/>
              </w:rPr>
              <w:t>(3)</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198"/>
        </w:trPr>
        <w:tc>
          <w:tcPr>
            <w:tcW w:w="6560" w:type="dxa"/>
            <w:vAlign w:val="bottom"/>
            <w:tcBorders>
              <w:bottom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5"/>
                <w:szCs w:val="15"/>
                <w:color w:val="auto"/>
              </w:rPr>
              <w:t>Other fees</w:t>
            </w:r>
            <w:r>
              <w:rPr>
                <w:rFonts w:ascii="Times New Roman" w:cs="Times New Roman" w:eastAsia="Times New Roman" w:hAnsi="Times New Roman"/>
                <w:sz w:val="22"/>
                <w:szCs w:val="22"/>
                <w:color w:val="auto"/>
                <w:vertAlign w:val="superscript"/>
              </w:rPr>
              <w:t>(4)</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3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15,699</w:t>
            </w:r>
          </w:p>
        </w:tc>
        <w:tc>
          <w:tcPr>
            <w:tcW w:w="3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18,607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480" w:type="dxa"/>
            <w:vAlign w:val="bottom"/>
            <w:tcBorders>
              <w:bottom w:val="single" w:sz="8" w:color="auto"/>
            </w:tcBorders>
          </w:tcPr>
          <w:p>
            <w:pPr>
              <w:spacing w:after="0"/>
              <w:rPr>
                <w:sz w:val="6"/>
                <w:szCs w:val="6"/>
                <w:color w:val="auto"/>
              </w:rPr>
            </w:pPr>
          </w:p>
        </w:tc>
        <w:tc>
          <w:tcPr>
            <w:tcW w:w="4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w:t>
      </w:r>
    </w:p>
    <w:p>
      <w:pPr>
        <w:spacing w:after="0" w:line="185" w:lineRule="exact"/>
        <w:rPr>
          <w:sz w:val="20"/>
          <w:szCs w:val="20"/>
          <w:color w:val="auto"/>
        </w:rPr>
      </w:pPr>
    </w:p>
    <w:p>
      <w:pPr>
        <w:jc w:val="both"/>
        <w:ind w:left="300" w:right="20" w:hanging="300"/>
        <w:spacing w:after="0" w:line="237" w:lineRule="auto"/>
        <w:tabs>
          <w:tab w:leader="none" w:pos="30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means the aggregate fees billed for professional services rendered by our principal external auditor, including the audits of our annual financial statements and our internal controls over financial reporting and the quarterly reviews of our condensed consolidated financial information, statutory audits for certain of our subsidiaries, and provision of comfort letters, consents and other professional services in relation to our equity and debt offering, Hong Kong listing and Singapore listing.</w:t>
      </w:r>
    </w:p>
    <w:p>
      <w:pPr>
        <w:spacing w:after="0" w:line="163" w:lineRule="exact"/>
        <w:rPr>
          <w:rFonts w:ascii="Times New Roman" w:cs="Times New Roman" w:eastAsia="Times New Roman" w:hAnsi="Times New Roman"/>
          <w:sz w:val="13"/>
          <w:szCs w:val="13"/>
          <w:color w:val="auto"/>
        </w:rPr>
      </w:pPr>
    </w:p>
    <w:p>
      <w:pPr>
        <w:ind w:left="300" w:right="20" w:hanging="300"/>
        <w:spacing w:after="0" w:line="253" w:lineRule="auto"/>
        <w:tabs>
          <w:tab w:leader="none" w:pos="30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related fees” means the aggregate fees billed for professional services rendered by our principal external auditor that are reasonably related to the performance of the audit or review of our financial statements and are not reported under “Audit fees.”</w:t>
      </w:r>
    </w:p>
    <w:p>
      <w:pPr>
        <w:spacing w:after="0" w:line="155" w:lineRule="exact"/>
        <w:rPr>
          <w:rFonts w:ascii="Times New Roman" w:cs="Times New Roman" w:eastAsia="Times New Roman" w:hAnsi="Times New Roman"/>
          <w:sz w:val="13"/>
          <w:szCs w:val="13"/>
          <w:color w:val="auto"/>
        </w:rPr>
      </w:pPr>
    </w:p>
    <w:p>
      <w:pPr>
        <w:ind w:left="300" w:right="20" w:hanging="300"/>
        <w:spacing w:after="0" w:line="253" w:lineRule="auto"/>
        <w:tabs>
          <w:tab w:leader="none" w:pos="30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means the aggregate fees billed in each of the fiscal years listed for professional services rendered by our principal external auditor for tax compliance, tax advice and tax planning.</w:t>
      </w: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300" w:hanging="300"/>
        <w:spacing w:after="0"/>
        <w:tabs>
          <w:tab w:leader="none" w:pos="30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means the aggregate fees billed for professional services rendered by our principal external auditor associated with other advisory services.</w:t>
      </w:r>
    </w:p>
    <w:p>
      <w:pPr>
        <w:spacing w:after="0" w:line="188"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The policy of our audit committee is to pre-approve all audit and other services provided by PricewaterhouseCoopers Zhong Tian LLP and its affiliates, including audit services, tax services and other services described above, other than those for de minimis services which are approved by the Audit Committee prior to the completion of the audit.</w:t>
      </w:r>
    </w:p>
    <w:p>
      <w:pPr>
        <w:spacing w:after="0" w:line="14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ITEM 16D.</w:t>
      </w:r>
      <w:r>
        <w:rPr>
          <w:sz w:val="20"/>
          <w:szCs w:val="20"/>
          <w:color w:val="auto"/>
        </w:rPr>
        <w:tab/>
      </w:r>
      <w:r>
        <w:rPr>
          <w:rFonts w:ascii="Times New Roman" w:cs="Times New Roman" w:eastAsia="Times New Roman" w:hAnsi="Times New Roman"/>
          <w:sz w:val="16"/>
          <w:szCs w:val="16"/>
          <w:b w:val="1"/>
          <w:bCs w:val="1"/>
          <w:color w:val="auto"/>
        </w:rPr>
        <w:t>EXEMPTIONS FROM THE LISTING STANDARDS FOR AUDIT COMMITTEES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ITEM 16E.</w:t>
      </w:r>
      <w:r>
        <w:rPr>
          <w:sz w:val="20"/>
          <w:szCs w:val="20"/>
          <w:color w:val="auto"/>
        </w:rPr>
        <w:tab/>
      </w: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None.</w:t>
      </w:r>
    </w:p>
    <w:p>
      <w:pPr>
        <w:spacing w:after="0" w:line="2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ITEM 16F.</w:t>
      </w:r>
      <w:r>
        <w:rPr>
          <w:sz w:val="20"/>
          <w:szCs w:val="20"/>
          <w:color w:val="auto"/>
        </w:rPr>
        <w:tab/>
      </w:r>
      <w:r>
        <w:rPr>
          <w:rFonts w:ascii="Times New Roman" w:cs="Times New Roman" w:eastAsia="Times New Roman" w:hAnsi="Times New Roman"/>
          <w:sz w:val="16"/>
          <w:szCs w:val="16"/>
          <w:b w:val="1"/>
          <w:bCs w:val="1"/>
          <w:color w:val="auto"/>
        </w:rPr>
        <w:t>CHANGE IN REGISTRANT’S CERTIFYING ACCOUNTANT</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16G.</w:t>
      </w:r>
      <w:r>
        <w:rPr>
          <w:sz w:val="20"/>
          <w:szCs w:val="20"/>
          <w:color w:val="auto"/>
        </w:rPr>
        <w:tab/>
      </w:r>
      <w:r>
        <w:rPr>
          <w:rFonts w:ascii="Times New Roman" w:cs="Times New Roman" w:eastAsia="Times New Roman" w:hAnsi="Times New Roman"/>
          <w:sz w:val="16"/>
          <w:szCs w:val="16"/>
          <w:b w:val="1"/>
          <w:bCs w:val="1"/>
          <w:color w:val="auto"/>
        </w:rPr>
        <w:t>CORPORATE GOVERNANCE</w:t>
      </w:r>
    </w:p>
    <w:p>
      <w:pPr>
        <w:spacing w:after="0" w:line="216" w:lineRule="exact"/>
        <w:rPr>
          <w:sz w:val="20"/>
          <w:szCs w:val="20"/>
          <w:color w:val="auto"/>
        </w:rPr>
      </w:pPr>
    </w:p>
    <w:p>
      <w:pPr>
        <w:jc w:val="both"/>
        <w:ind w:firstLine="594"/>
        <w:spacing w:after="0" w:line="275" w:lineRule="auto"/>
        <w:rPr>
          <w:sz w:val="20"/>
          <w:szCs w:val="20"/>
          <w:color w:val="auto"/>
        </w:rPr>
      </w:pPr>
      <w:r>
        <w:rPr>
          <w:rFonts w:ascii="Times New Roman" w:cs="Times New Roman" w:eastAsia="Times New Roman" w:hAnsi="Times New Roman"/>
          <w:sz w:val="16"/>
          <w:szCs w:val="16"/>
          <w:color w:val="auto"/>
        </w:rPr>
        <w:t>As a Cayman Islands company listed on the New York Stock Exchange, we are subject to the NYSE corporate governance listing standards. However, NYSE rules permit a foreign private issuer like us to follow the corporate governance practices of its home country. Certain corporate governance practices in the Cayman Islands, which is our home country, may differ significantly from the NYSE corporate governance listing standards.</w:t>
      </w:r>
    </w:p>
    <w:p>
      <w:pPr>
        <w:spacing w:after="0" w:line="358" w:lineRule="exact"/>
        <w:rPr>
          <w:sz w:val="20"/>
          <w:szCs w:val="20"/>
          <w:color w:val="auto"/>
        </w:rPr>
      </w:pPr>
    </w:p>
    <w:p>
      <w:pPr>
        <w:jc w:val="both"/>
        <w:ind w:firstLine="594"/>
        <w:spacing w:after="0" w:line="263" w:lineRule="auto"/>
        <w:rPr>
          <w:sz w:val="20"/>
          <w:szCs w:val="20"/>
          <w:color w:val="auto"/>
        </w:rPr>
      </w:pPr>
      <w:r>
        <w:rPr>
          <w:rFonts w:ascii="Times New Roman" w:cs="Times New Roman" w:eastAsia="Times New Roman" w:hAnsi="Times New Roman"/>
          <w:sz w:val="16"/>
          <w:szCs w:val="16"/>
          <w:color w:val="auto"/>
        </w:rPr>
        <w:t>We have chosen to (i) rely on the home country exemption from Section 303A.01 of the NYSE Listed Company Manual, which requires a listed company to have a majority of independent directors, (ii) rely on the home country exemption from Section 303A.05 of the NYSE Listed Company Manual, which requires a listed company to have a compensation committee composed entirely of independent directors, and (iii) rely on the home country exemption from Section 303A.08 of the NYSE Listed Company Manual, which requires that shareholders be given the opportunity to vote on all equity-compensation plans and material revisions thereto. In these respects, and in such other respects where we choose to follow home country practice in the future, our shareholders may be afforded less protection than they otherwise would under the NYSE corporate governance listing standards applicable to U.S. domestic issuers. See “Item 3. Key Information—D. Risk Factors—Risks related to our ADSs and Class A Ordinary Shares—Our shareholders may face difficulties in protecting their interests, and ability to protect their rights through U.S. courts may be limited, because we are incorporated under Cayman Islands law.”</w:t>
      </w:r>
    </w:p>
    <w:p>
      <w:pPr>
        <w:spacing w:after="0" w:line="16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Other than the home country practice described above, we are not aware of any significant differences between our corporate governance practices and those followed by U.S. domestic companies under the NYSE corporate governance listing standards.</w:t>
      </w:r>
    </w:p>
    <w:p>
      <w:pPr>
        <w:spacing w:after="0" w:line="13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16H.</w:t>
      </w:r>
      <w:r>
        <w:rPr>
          <w:sz w:val="20"/>
          <w:szCs w:val="20"/>
          <w:color w:val="auto"/>
        </w:rPr>
        <w:tab/>
      </w:r>
      <w:r>
        <w:rPr>
          <w:rFonts w:ascii="Times New Roman" w:cs="Times New Roman" w:eastAsia="Times New Roman" w:hAnsi="Times New Roman"/>
          <w:sz w:val="16"/>
          <w:szCs w:val="16"/>
          <w:b w:val="1"/>
          <w:bCs w:val="1"/>
          <w:color w:val="auto"/>
        </w:rPr>
        <w:t>MINE SAFETY DISCLOSURE</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6"/>
          <w:szCs w:val="16"/>
          <w:b w:val="1"/>
          <w:bCs w:val="1"/>
          <w:color w:val="auto"/>
        </w:rPr>
        <w:t>ITEM 16I.</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17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Our board of directors has established insider trading policies and procedures to provide guidance on the purchases, sales, and other dispositions of our securities by our directors, officers, employees, and consultants, with the goal of promoting compliance with applicable laws, listing rules, and regulations relating to insider trading.</w:t>
      </w:r>
    </w:p>
    <w:p>
      <w:pPr>
        <w:spacing w:after="0" w:line="1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The Amended and Restated Statement of Policies Governing Material, Non-Public Information and the Prevention of Insider Trading is filed as Exhibit 11.2 to this annual report on Form 20-F.</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16K. CYBERSECURITY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 Management and Strategy</w:t>
      </w:r>
    </w:p>
    <w:p>
      <w:pPr>
        <w:spacing w:after="0" w:line="179" w:lineRule="exact"/>
        <w:rPr>
          <w:sz w:val="20"/>
          <w:szCs w:val="20"/>
          <w:color w:val="auto"/>
        </w:rPr>
      </w:pPr>
    </w:p>
    <w:p>
      <w:pPr>
        <w:jc w:val="both"/>
        <w:ind w:firstLine="594"/>
        <w:spacing w:after="0" w:line="278" w:lineRule="auto"/>
        <w:rPr>
          <w:sz w:val="20"/>
          <w:szCs w:val="20"/>
          <w:color w:val="auto"/>
        </w:rPr>
      </w:pPr>
      <w:r>
        <w:rPr>
          <w:rFonts w:ascii="Times New Roman" w:cs="Times New Roman" w:eastAsia="Times New Roman" w:hAnsi="Times New Roman"/>
          <w:sz w:val="16"/>
          <w:szCs w:val="16"/>
          <w:color w:val="auto"/>
        </w:rPr>
        <w:t>We have implemented comprehensive cybersecurity risk assessment procedures to ensure effectiveness in cybersecurity management, strategy and governance and reporting cybersecurity risks that are compliant with regulatory requirements and exceed industry standard. We have also integrated cybersecurity risk management into our overall enterprise risk management system.</w:t>
      </w:r>
    </w:p>
    <w:p>
      <w:pPr>
        <w:spacing w:after="0" w:line="128"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6"/>
          <w:szCs w:val="16"/>
          <w:color w:val="auto"/>
        </w:rPr>
        <w:t>We have developed a comprehensive cybersecurity threat detection and defense system to address both internal and external threats. This system encompasses various levels, including network, host and application security and incorporates systematic security capabilities for threat protection, detection, monitoring, analysis, response, deception and countermeasures. We strive to manage cybersecurity risks and protect sensitive information through various means, such as technical safeguards, procedural requirements, an intensive program of monitoring on our corporate network, continuous testing of aspects of our security posture internally and with outside vendors, a robust incident response program and regular cybersecurity awareness training for employees. Our cybersecurity-related departments regularly monitor the security risk exposure of our apps, platforms and infrastructure to enable us to respond quickly to potential problems, including potential cybersecurity threats.</w:t>
      </w:r>
    </w:p>
    <w:p>
      <w:pPr>
        <w:spacing w:after="0" w:line="125"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191" w:lineRule="exact"/>
        <w:rPr>
          <w:sz w:val="20"/>
          <w:szCs w:val="20"/>
          <w:color w:val="auto"/>
        </w:rPr>
      </w:pPr>
    </w:p>
    <w:p>
      <w:pPr>
        <w:jc w:val="both"/>
        <w:ind w:firstLine="594"/>
        <w:spacing w:after="0" w:line="271" w:lineRule="auto"/>
        <w:rPr>
          <w:sz w:val="20"/>
          <w:szCs w:val="20"/>
          <w:color w:val="auto"/>
        </w:rPr>
      </w:pPr>
      <w:r>
        <w:rPr>
          <w:rFonts w:ascii="Times New Roman" w:cs="Times New Roman" w:eastAsia="Times New Roman" w:hAnsi="Times New Roman"/>
          <w:sz w:val="16"/>
          <w:szCs w:val="16"/>
          <w:color w:val="auto"/>
        </w:rPr>
        <w:t>Our board of directors is responsible for overseeing risks related to cybersecurity. Our board of directors shall (i) maintain oversight of the disclosure related to cybersecurity matters in current reports or periodic reports of our company, (ii) review updates to the status of any material cybersecurity incidents or material risks from cybersecurity threats to our company, and the disclosure issues, if any, presented by our management on a quarterly basis, and (iii) review disclosure concerning cybersecurity matters in our annual report on Form 20-F presented by our management.</w:t>
      </w:r>
    </w:p>
    <w:p>
      <w:pPr>
        <w:spacing w:after="0" w:line="122"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6"/>
          <w:szCs w:val="16"/>
          <w:color w:val="auto"/>
        </w:rPr>
        <w:t>At the management level, our CEO, CFO and the head of the departments in connection with cybersecurity-related matters, including our chief digital safety and security officer, who is an expert in cybersecurity with over 15 years of academic and industrial experience in security research and development, operations and management, are responsible for assessing, identifying and managing cybersecurity risks and monitoring the prevention, detection, mitigation, and remediation of cybersecurity incidents. Our CEO and CFO report to our board of directors (i) on a quarterly basis on updates to the status of any material cybersecurity incidents or material risks from cybersecurity threats to our company, and the disclosure issues, if any, and (ii) in connection with disclosure concerning cybersecurity matters in our annual report on Form 20-F.</w:t>
      </w:r>
    </w:p>
    <w:p>
      <w:pPr>
        <w:spacing w:after="0" w:line="126" w:lineRule="exact"/>
        <w:rPr>
          <w:sz w:val="20"/>
          <w:szCs w:val="20"/>
          <w:color w:val="auto"/>
        </w:rPr>
      </w:pPr>
    </w:p>
    <w:p>
      <w:pPr>
        <w:jc w:val="both"/>
        <w:ind w:firstLine="594"/>
        <w:spacing w:after="0" w:line="270" w:lineRule="auto"/>
        <w:rPr>
          <w:sz w:val="20"/>
          <w:szCs w:val="20"/>
          <w:color w:val="auto"/>
        </w:rPr>
      </w:pPr>
      <w:r>
        <w:rPr>
          <w:rFonts w:ascii="Times New Roman" w:cs="Times New Roman" w:eastAsia="Times New Roman" w:hAnsi="Times New Roman"/>
          <w:sz w:val="16"/>
          <w:szCs w:val="16"/>
          <w:color w:val="auto"/>
        </w:rPr>
        <w:t>If a cybersecurity incident occurs, our cybersecurity-related departments will promptly organize personnel for internal assessment. If it is further determined that the incident could potentially be a material cybersecurity event, the cybersecurity-related departments will promptly report the incident and assessment results to our CEO and CFO, and, to the extent appropriate, involve external legal counsels to provide advice. Our management shall prepare disclosure material on the cybersecurity incident for review and approval by our board of directors before it is disseminated to the public.</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 Financial Statements.”</w:t>
      </w: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18.</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16" w:lineRule="exact"/>
        <w:rPr>
          <w:sz w:val="20"/>
          <w:szCs w:val="20"/>
          <w:color w:val="auto"/>
        </w:rPr>
      </w:pPr>
    </w:p>
    <w:p>
      <w:pPr>
        <w:jc w:val="both"/>
        <w:ind w:firstLine="594"/>
        <w:spacing w:after="0" w:line="298" w:lineRule="auto"/>
        <w:rPr>
          <w:sz w:val="20"/>
          <w:szCs w:val="20"/>
          <w:color w:val="auto"/>
        </w:rPr>
      </w:pPr>
      <w:r>
        <w:rPr>
          <w:rFonts w:ascii="Times New Roman" w:cs="Times New Roman" w:eastAsia="Times New Roman" w:hAnsi="Times New Roman"/>
          <w:sz w:val="16"/>
          <w:szCs w:val="16"/>
          <w:color w:val="auto"/>
        </w:rPr>
        <w:t>The consolidated financial statements of NIO Inc., its subsidiaries and its consolidated variable interest entities and the related notes are included at the end of this annual report.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84"/>
        </w:trPr>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2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1"/>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19.</w:t>
            </w:r>
          </w:p>
        </w:tc>
        <w:tc>
          <w:tcPr>
            <w:tcW w:w="9080" w:type="dxa"/>
            <w:vAlign w:val="bottom"/>
            <w:gridSpan w:val="21"/>
          </w:tcPr>
          <w:p>
            <w:pPr>
              <w:ind w:left="16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338"/>
        </w:trPr>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0" w:type="dxa"/>
            <w:vAlign w:val="bottom"/>
          </w:tcPr>
          <w:p>
            <w:pPr>
              <w:spacing w:after="0"/>
              <w:rPr>
                <w:sz w:val="1"/>
                <w:szCs w:val="1"/>
                <w:color w:val="auto"/>
              </w:rPr>
            </w:pPr>
          </w:p>
        </w:tc>
      </w:tr>
      <w:tr>
        <w:trPr>
          <w:trHeight w:val="149"/>
        </w:trPr>
        <w:tc>
          <w:tcPr>
            <w:tcW w:w="8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6"/>
                <w:szCs w:val="16"/>
                <w:color w:val="auto"/>
              </w:rPr>
              <w:t>1.1</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40" w:type="dxa"/>
            <w:vAlign w:val="bottom"/>
            <w:tcBorders>
              <w:top w:val="single" w:sz="8" w:color="auto"/>
              <w:bottom w:val="single" w:sz="8" w:color="0000EE"/>
            </w:tcBorders>
            <w:gridSpan w:val="16"/>
          </w:tcPr>
          <w:p>
            <w:pPr>
              <w:spacing w:after="0" w:line="148"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Thirteenth Amended and Restated Memorandum and Articles of Association of the Registrant (incorporated herein by reference to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Exhibit 3.1 to the current report on Form 6-K (File No. 001-38638), furnished with the SEC on August 25, 2022)</w:t>
              </w:r>
            </w:hyperlink>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000EE"/>
              <w:bottom w:val="single" w:sz="8" w:color="0000EE"/>
            </w:tcBorders>
            <w:gridSpan w:val="11"/>
          </w:tcPr>
          <w:p>
            <w:pPr>
              <w:spacing w:after="0" w:line="166" w:lineRule="exact"/>
              <w:rPr>
                <w:rFonts w:ascii="Times New Roman" w:cs="Times New Roman" w:eastAsia="Times New Roman" w:hAnsi="Times New Roman"/>
                <w:sz w:val="16"/>
                <w:szCs w:val="16"/>
                <w:color w:val="0000EE"/>
                <w:w w:val="97"/>
              </w:rPr>
            </w:pPr>
            <w:hyperlink r:id="rId195">
              <w:r>
                <w:rPr>
                  <w:rFonts w:ascii="Times New Roman" w:cs="Times New Roman" w:eastAsia="Times New Roman" w:hAnsi="Times New Roman"/>
                  <w:sz w:val="16"/>
                  <w:szCs w:val="16"/>
                  <w:color w:val="0000EE"/>
                  <w:w w:val="97"/>
                </w:rPr>
                <w:t>Registrant’s Specimen American Depositary Receipt (included in Exhibit 2.3)</w:t>
              </w:r>
            </w:hyperlink>
          </w:p>
        </w:tc>
        <w:tc>
          <w:tcPr>
            <w:tcW w:w="2200" w:type="dxa"/>
            <w:vAlign w:val="bottom"/>
            <w:tcBorders>
              <w:top w:val="single" w:sz="8" w:color="0000EE"/>
            </w:tcBorders>
            <w:gridSpan w:val="3"/>
          </w:tcPr>
          <w:p>
            <w:pPr>
              <w:spacing w:after="0"/>
              <w:rPr>
                <w:sz w:val="14"/>
                <w:szCs w:val="14"/>
                <w:color w:val="auto"/>
              </w:rPr>
            </w:pPr>
          </w:p>
        </w:tc>
        <w:tc>
          <w:tcPr>
            <w:tcW w:w="13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Registrant’s Specimen Certificate for Class A ordinary shares (incorporated herein by reference to Exhibit 4.2 to the registration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statement on Form F-1 (File No. 333-226822), as amended, initially filed with the SEC on August 13, 2018)</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Deposit Agreement, dated as of September 11, 2018, among the Registrant, Deutsche Bank Trust Company Americas, as the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depositary, and all holders and beneficial owners of the American Depositary Shares issued thereunder (incorporated herein by</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tcBorders>
              <w:bottom w:val="single" w:sz="8" w:color="0000EE"/>
            </w:tcBorders>
            <w:gridSpan w:val="15"/>
          </w:tcPr>
          <w:p>
            <w:pPr>
              <w:spacing w:after="0" w:line="166" w:lineRule="exact"/>
              <w:rPr>
                <w:rFonts w:ascii="Times New Roman" w:cs="Times New Roman" w:eastAsia="Times New Roman" w:hAnsi="Times New Roman"/>
                <w:sz w:val="16"/>
                <w:szCs w:val="16"/>
                <w:color w:val="0000EE"/>
                <w:w w:val="97"/>
              </w:rPr>
            </w:pPr>
            <w:hyperlink r:id="rId195">
              <w:r>
                <w:rPr>
                  <w:rFonts w:ascii="Times New Roman" w:cs="Times New Roman" w:eastAsia="Times New Roman" w:hAnsi="Times New Roman"/>
                  <w:sz w:val="16"/>
                  <w:szCs w:val="16"/>
                  <w:color w:val="0000EE"/>
                  <w:w w:val="97"/>
                </w:rPr>
                <w:t>reference to Exhibit 4.3 to the registration statement on Form S-8 (File No. 333-229952), filed with the SEC on February 28, 2019)</w:t>
              </w:r>
            </w:hyperlink>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Fifth Amended and Restated Shareholders’ Agreement, dated as of November 10, 2017, among the Registrant and the other</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9"/>
              </w:rPr>
            </w:pPr>
            <w:hyperlink r:id="rId197">
              <w:r>
                <w:rPr>
                  <w:rFonts w:ascii="Times New Roman" w:cs="Times New Roman" w:eastAsia="Times New Roman" w:hAnsi="Times New Roman"/>
                  <w:sz w:val="16"/>
                  <w:szCs w:val="16"/>
                  <w:color w:val="0000EE"/>
                  <w:w w:val="99"/>
                </w:rPr>
                <w:t>signatories thereto (incorporated herein by reference to Exhibit 4.4 to the registration statement on Form F-1 (File No. 333-226822),</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as amended, initially filed with the SEC on August 13, 2018)</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Description of American Depositary Shares of the Registrant (incorporated herein by reference to Exhibit 2.5 to the Company’s</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Report on Form 20-F (File No. 001-38638), filed with the SEC on May 14, 2020)</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8"/>
              </w:rPr>
            </w:pPr>
            <w:hyperlink r:id="rId199">
              <w:r>
                <w:rPr>
                  <w:rFonts w:ascii="Times New Roman" w:cs="Times New Roman" w:eastAsia="Times New Roman" w:hAnsi="Times New Roman"/>
                  <w:sz w:val="16"/>
                  <w:szCs w:val="16"/>
                  <w:color w:val="0000EE"/>
                  <w:w w:val="98"/>
                </w:rPr>
                <w:t>Description of Class A ordinary shares of the Registrant (incorporated herein by reference to Exhibit 2.6 to the Company’s Report on</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Form 20-F (File No. 001-38638), filed with the SEC on May 14, 2020)</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2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9"/>
              </w:rPr>
            </w:pPr>
            <w:hyperlink r:id="rId200">
              <w:r>
                <w:rPr>
                  <w:rFonts w:ascii="Times New Roman" w:cs="Times New Roman" w:eastAsia="Times New Roman" w:hAnsi="Times New Roman"/>
                  <w:sz w:val="16"/>
                  <w:szCs w:val="16"/>
                  <w:color w:val="0000EE"/>
                  <w:w w:val="99"/>
                </w:rPr>
                <w:t>2016 Share Incentive Plan (incorporated herein by reference to Exhibit 10.2 to the registration statement on Form F-1 (File No. 333-</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226822)</w:t>
              </w:r>
              <w:r>
                <w:rPr>
                  <w:rFonts w:ascii="Times New Roman" w:cs="Times New Roman" w:eastAsia="Times New Roman" w:hAnsi="Times New Roman"/>
                  <w:sz w:val="16"/>
                  <w:szCs w:val="16"/>
                  <w:u w:val="single" w:color="auto"/>
                  <w:color w:val="0000EE"/>
                </w:rPr>
                <w:t>,</w:t>
              </w:r>
              <w:r>
                <w:rPr>
                  <w:rFonts w:ascii="Times New Roman" w:cs="Times New Roman" w:eastAsia="Times New Roman" w:hAnsi="Times New Roman"/>
                  <w:sz w:val="16"/>
                  <w:szCs w:val="16"/>
                  <w:color w:val="0000EE"/>
                </w:rPr>
                <w:t xml:space="preserve"> as amended, initially filed with the SEC on August 13, 2018)</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9"/>
              </w:rPr>
            </w:pPr>
            <w:hyperlink r:id="rId201">
              <w:r>
                <w:rPr>
                  <w:rFonts w:ascii="Times New Roman" w:cs="Times New Roman" w:eastAsia="Times New Roman" w:hAnsi="Times New Roman"/>
                  <w:sz w:val="16"/>
                  <w:szCs w:val="16"/>
                  <w:color w:val="0000EE"/>
                  <w:w w:val="99"/>
                </w:rPr>
                <w:t>2017 Share Incentive Plan (incorporated herein by reference to Exhibit 10.3 to the registration statement on Form F-1 (File No. 333-</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226822)</w:t>
              </w:r>
              <w:r>
                <w:rPr>
                  <w:rFonts w:ascii="Times New Roman" w:cs="Times New Roman" w:eastAsia="Times New Roman" w:hAnsi="Times New Roman"/>
                  <w:sz w:val="16"/>
                  <w:szCs w:val="16"/>
                  <w:u w:val="single" w:color="auto"/>
                  <w:color w:val="0000EE"/>
                </w:rPr>
                <w:t>,</w:t>
              </w:r>
              <w:r>
                <w:rPr>
                  <w:rFonts w:ascii="Times New Roman" w:cs="Times New Roman" w:eastAsia="Times New Roman" w:hAnsi="Times New Roman"/>
                  <w:sz w:val="16"/>
                  <w:szCs w:val="16"/>
                  <w:color w:val="0000EE"/>
                </w:rPr>
                <w:t xml:space="preserve"> as amended, initially filed with the SEC on August 13, 2018)</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9"/>
              </w:rPr>
            </w:pPr>
            <w:hyperlink r:id="rId202">
              <w:r>
                <w:rPr>
                  <w:rFonts w:ascii="Times New Roman" w:cs="Times New Roman" w:eastAsia="Times New Roman" w:hAnsi="Times New Roman"/>
                  <w:sz w:val="16"/>
                  <w:szCs w:val="16"/>
                  <w:color w:val="0000EE"/>
                  <w:w w:val="99"/>
                </w:rPr>
                <w:t>2018 Share Incentive Plan (incorporated herein by reference to Exhibit 10.4 to the registration statement on Form F-1 (File No. 333-</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226822)</w:t>
              </w:r>
              <w:r>
                <w:rPr>
                  <w:rFonts w:ascii="Times New Roman" w:cs="Times New Roman" w:eastAsia="Times New Roman" w:hAnsi="Times New Roman"/>
                  <w:sz w:val="16"/>
                  <w:szCs w:val="16"/>
                  <w:u w:val="single" w:color="auto"/>
                  <w:color w:val="0000EE"/>
                </w:rPr>
                <w:t>,</w:t>
              </w:r>
              <w:r>
                <w:rPr>
                  <w:rFonts w:ascii="Times New Roman" w:cs="Times New Roman" w:eastAsia="Times New Roman" w:hAnsi="Times New Roman"/>
                  <w:sz w:val="16"/>
                  <w:szCs w:val="16"/>
                  <w:color w:val="0000EE"/>
                </w:rPr>
                <w:t xml:space="preserve"> as amended, initially filed with the SEC on August 13, 2018)</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w w:val="98"/>
              </w:rPr>
            </w:pPr>
            <w:hyperlink r:id="rId203">
              <w:r>
                <w:rPr>
                  <w:rFonts w:ascii="Times New Roman" w:cs="Times New Roman" w:eastAsia="Times New Roman" w:hAnsi="Times New Roman"/>
                  <w:sz w:val="16"/>
                  <w:szCs w:val="16"/>
                  <w:color w:val="0000EE"/>
                  <w:w w:val="98"/>
                </w:rPr>
                <w:t>2024 Share Incentive Plan (incorporated herein by reference to Exhibit 99.1 to the Company’s Current Report on Form 6-K (File No.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001-38638), filed with the SEC on February 7, 2024)</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w w:val="98"/>
              </w:rPr>
            </w:pPr>
            <w:hyperlink r:id="rId204">
              <w:r>
                <w:rPr>
                  <w:rFonts w:ascii="Times New Roman" w:cs="Times New Roman" w:eastAsia="Times New Roman" w:hAnsi="Times New Roman"/>
                  <w:sz w:val="16"/>
                  <w:szCs w:val="16"/>
                  <w:color w:val="0000EE"/>
                  <w:w w:val="98"/>
                </w:rPr>
                <w:t>2026 Share Incentive Plan (incorporated herein by reference to Exhibit 99.1 to the Company’s Current Report on Form 6-K (File No.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4.6</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001-38638), filed with the SEC on March 10, 2026)</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8"/>
              </w:rPr>
            </w:pPr>
            <w:hyperlink r:id="rId205">
              <w:r>
                <w:rPr>
                  <w:rFonts w:ascii="Times New Roman" w:cs="Times New Roman" w:eastAsia="Times New Roman" w:hAnsi="Times New Roman"/>
                  <w:sz w:val="16"/>
                  <w:szCs w:val="16"/>
                  <w:color w:val="0000EE"/>
                  <w:w w:val="98"/>
                </w:rPr>
                <w:t>Form of Indemnification Agreement, between the Registrant and its directors and executive officers (incorporated herein by reference</w:t>
              </w:r>
            </w:hyperlink>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to Exhibit 10.5 to the registration statement on Form F-1 (File No. 333-226822), as amended, initially filed with the SEC on</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August 13, 2018)</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Form of Employment Agreement, between the Registrant and its executive officers (Non-PRC citizens) (incorporated herein by</w:t>
              </w:r>
            </w:hyperlink>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8"/>
              </w:rPr>
            </w:pPr>
            <w:hyperlink r:id="rId206">
              <w:r>
                <w:rPr>
                  <w:rFonts w:ascii="Times New Roman" w:cs="Times New Roman" w:eastAsia="Times New Roman" w:hAnsi="Times New Roman"/>
                  <w:sz w:val="16"/>
                  <w:szCs w:val="16"/>
                  <w:color w:val="0000EE"/>
                  <w:w w:val="98"/>
                </w:rPr>
                <w:t>reference to Exhibit 10.6 to the registration statement on Form F-1 (File No. 333-226822), as amended, initially filed with the SEC on</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4.8</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August 13, 2018)</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9"/>
              </w:rPr>
            </w:pPr>
            <w:hyperlink r:id="rId207">
              <w:r>
                <w:rPr>
                  <w:rFonts w:ascii="Times New Roman" w:cs="Times New Roman" w:eastAsia="Times New Roman" w:hAnsi="Times New Roman"/>
                  <w:sz w:val="16"/>
                  <w:szCs w:val="16"/>
                  <w:color w:val="0000EE"/>
                  <w:w w:val="99"/>
                </w:rPr>
                <w:t>Form of Employment Agreement, between the Registrant and its executive officers (PRC citizens) (incorporated herein by reference</w:t>
              </w:r>
            </w:hyperlink>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to Exhibit 10.7 to the registration statement on Form F-1 (File No. 333-226822), as amended, initially filed with the SEC on</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August 13, 2018)</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w w:val="99"/>
              </w:rPr>
            </w:pPr>
            <w:hyperlink r:id="rId208">
              <w:r>
                <w:rPr>
                  <w:rFonts w:ascii="Times New Roman" w:cs="Times New Roman" w:eastAsia="Times New Roman" w:hAnsi="Times New Roman"/>
                  <w:sz w:val="16"/>
                  <w:szCs w:val="16"/>
                  <w:color w:val="0000EE"/>
                  <w:w w:val="99"/>
                </w:rPr>
                <w:t>English translation of Power of Attorney, dated as of April 12, 2021, executed by the shareholders of Beijing NIO, Beijing NIO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9"/>
              </w:rPr>
            </w:pPr>
            <w:hyperlink r:id="rId208">
              <w:r>
                <w:rPr>
                  <w:rFonts w:ascii="Times New Roman" w:cs="Times New Roman" w:eastAsia="Times New Roman" w:hAnsi="Times New Roman"/>
                  <w:sz w:val="16"/>
                  <w:szCs w:val="16"/>
                  <w:color w:val="0000EE"/>
                  <w:w w:val="99"/>
                </w:rPr>
                <w:t>Shanghai NIO (incorporated herein by reference to Exhibit 4.10 to the Company’s Report on Form 20-F (File No. 001-38638), filed</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4.10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bottom w:val="single" w:sz="8" w:color="0000EE"/>
            </w:tcBorders>
            <w:gridSpan w:val="6"/>
          </w:tcPr>
          <w:p>
            <w:pPr>
              <w:spacing w:after="0" w:line="166" w:lineRule="exact"/>
              <w:rPr>
                <w:rFonts w:ascii="Times New Roman" w:cs="Times New Roman" w:eastAsia="Times New Roman" w:hAnsi="Times New Roman"/>
                <w:sz w:val="16"/>
                <w:szCs w:val="16"/>
                <w:color w:val="0000EE"/>
                <w:w w:val="96"/>
              </w:rPr>
            </w:pPr>
            <w:hyperlink r:id="rId208">
              <w:r>
                <w:rPr>
                  <w:rFonts w:ascii="Times New Roman" w:cs="Times New Roman" w:eastAsia="Times New Roman" w:hAnsi="Times New Roman"/>
                  <w:sz w:val="16"/>
                  <w:szCs w:val="16"/>
                  <w:color w:val="0000EE"/>
                  <w:w w:val="96"/>
                </w:rPr>
                <w:t>with the SEC on April 29, 2022)</w:t>
              </w:r>
            </w:hyperlink>
          </w:p>
        </w:tc>
        <w:tc>
          <w:tcPr>
            <w:tcW w:w="64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8"/>
              </w:rPr>
            </w:pPr>
            <w:hyperlink r:id="rId209">
              <w:r>
                <w:rPr>
                  <w:rFonts w:ascii="Times New Roman" w:cs="Times New Roman" w:eastAsia="Times New Roman" w:hAnsi="Times New Roman"/>
                  <w:sz w:val="16"/>
                  <w:szCs w:val="16"/>
                  <w:color w:val="0000EE"/>
                  <w:w w:val="98"/>
                </w:rPr>
                <w:t>English translation of Loan Agreements, dated April 12, 2021, between shareholders of Beijing NIO and Shanghai NIO (incorporated</w:t>
              </w:r>
            </w:hyperlink>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herein by reference to Exhibit 4.11 to the Company’s Report on Form 20-F (File No. 001-38638), filed with the SEC on April 29,</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4.11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ind w:left="20"/>
              <w:spacing w:after="0" w:line="166" w:lineRule="exact"/>
              <w:rPr>
                <w:rFonts w:ascii="Times New Roman" w:cs="Times New Roman" w:eastAsia="Times New Roman" w:hAnsi="Times New Roman"/>
                <w:sz w:val="16"/>
                <w:szCs w:val="16"/>
                <w:color w:val="0000EE"/>
                <w:w w:val="90"/>
              </w:rPr>
            </w:pPr>
            <w:hyperlink r:id="rId209">
              <w:r>
                <w:rPr>
                  <w:rFonts w:ascii="Times New Roman" w:cs="Times New Roman" w:eastAsia="Times New Roman" w:hAnsi="Times New Roman"/>
                  <w:sz w:val="16"/>
                  <w:szCs w:val="16"/>
                  <w:color w:val="0000EE"/>
                  <w:w w:val="90"/>
                </w:rPr>
                <w:t>2022)</w:t>
              </w:r>
            </w:hyperlink>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English translation of Equity Pledge Agreements, dated as of April 12, 2021, among shareholders of Beijing NIO, Beijing NIO and</w:t>
              </w:r>
            </w:hyperlink>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9"/>
              </w:rPr>
            </w:pPr>
            <w:hyperlink r:id="rId210">
              <w:r>
                <w:rPr>
                  <w:rFonts w:ascii="Times New Roman" w:cs="Times New Roman" w:eastAsia="Times New Roman" w:hAnsi="Times New Roman"/>
                  <w:sz w:val="16"/>
                  <w:szCs w:val="16"/>
                  <w:color w:val="0000EE"/>
                  <w:w w:val="99"/>
                </w:rPr>
                <w:t>Shanghai NIO (incorporated herein by reference to Exhibit 4.12 to the Company’s Report on Form 20-F (File No. 001-38638), filed</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4.12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bottom w:val="single" w:sz="8" w:color="0000EE"/>
            </w:tcBorders>
            <w:gridSpan w:val="6"/>
          </w:tcPr>
          <w:p>
            <w:pPr>
              <w:spacing w:after="0" w:line="166" w:lineRule="exact"/>
              <w:rPr>
                <w:rFonts w:ascii="Times New Roman" w:cs="Times New Roman" w:eastAsia="Times New Roman" w:hAnsi="Times New Roman"/>
                <w:sz w:val="16"/>
                <w:szCs w:val="16"/>
                <w:color w:val="0000EE"/>
                <w:w w:val="96"/>
              </w:rPr>
            </w:pPr>
            <w:hyperlink r:id="rId210">
              <w:r>
                <w:rPr>
                  <w:rFonts w:ascii="Times New Roman" w:cs="Times New Roman" w:eastAsia="Times New Roman" w:hAnsi="Times New Roman"/>
                  <w:sz w:val="16"/>
                  <w:szCs w:val="16"/>
                  <w:color w:val="0000EE"/>
                  <w:w w:val="96"/>
                </w:rPr>
                <w:t>with the SEC on April 29, 2022)</w:t>
              </w:r>
            </w:hyperlink>
          </w:p>
        </w:tc>
        <w:tc>
          <w:tcPr>
            <w:tcW w:w="64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English translation of Exclusive Business Cooperation Agreement, dated as of April 12, 2021, between Beijing NIO and Shanghai</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NIO (incorporated herein by reference to Exhibit 4.13 to the Company’s Report on Form 20-F (File No. 001-38638), filed with the</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4.13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SEC on April 29, 2022)</w:t>
              </w:r>
            </w:hyperlink>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7"/>
              </w:rPr>
            </w:pPr>
            <w:hyperlink r:id="rId212">
              <w:r>
                <w:rPr>
                  <w:rFonts w:ascii="Times New Roman" w:cs="Times New Roman" w:eastAsia="Times New Roman" w:hAnsi="Times New Roman"/>
                  <w:sz w:val="16"/>
                  <w:szCs w:val="16"/>
                  <w:color w:val="0000EE"/>
                  <w:w w:val="97"/>
                </w:rPr>
                <w:t>English translation of Exclusive Option Agreements, dated as of April 12, 2021, among shareholders of Beijing NIO, Beijing NIO and</w:t>
              </w:r>
            </w:hyperlink>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w w:val="99"/>
              </w:rPr>
            </w:pPr>
            <w:hyperlink r:id="rId212">
              <w:r>
                <w:rPr>
                  <w:rFonts w:ascii="Times New Roman" w:cs="Times New Roman" w:eastAsia="Times New Roman" w:hAnsi="Times New Roman"/>
                  <w:sz w:val="16"/>
                  <w:szCs w:val="16"/>
                  <w:color w:val="0000EE"/>
                  <w:w w:val="99"/>
                </w:rPr>
                <w:t>Shanghai NIO (incorporated herein by reference to Exhibit 4.14 to the Company’s Report on Form 20-F (File No. 001-38638), filed</w:t>
              </w:r>
            </w:hyperlink>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4.14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bottom w:val="single" w:sz="8" w:color="0000EE"/>
            </w:tcBorders>
            <w:gridSpan w:val="6"/>
          </w:tcPr>
          <w:p>
            <w:pPr>
              <w:spacing w:after="0" w:line="166" w:lineRule="exact"/>
              <w:rPr>
                <w:rFonts w:ascii="Times New Roman" w:cs="Times New Roman" w:eastAsia="Times New Roman" w:hAnsi="Times New Roman"/>
                <w:sz w:val="16"/>
                <w:szCs w:val="16"/>
                <w:color w:val="0000EE"/>
                <w:w w:val="96"/>
              </w:rPr>
            </w:pPr>
            <w:hyperlink r:id="rId212">
              <w:r>
                <w:rPr>
                  <w:rFonts w:ascii="Times New Roman" w:cs="Times New Roman" w:eastAsia="Times New Roman" w:hAnsi="Times New Roman"/>
                  <w:sz w:val="16"/>
                  <w:szCs w:val="16"/>
                  <w:color w:val="0000EE"/>
                  <w:w w:val="96"/>
                </w:rPr>
                <w:t>with the SEC on April 29, 2022)</w:t>
              </w:r>
            </w:hyperlink>
          </w:p>
        </w:tc>
        <w:tc>
          <w:tcPr>
            <w:tcW w:w="64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16"/>
                  <w:szCs w:val="16"/>
                  <w:color w:val="0000EE"/>
                </w:rPr>
                <w:t>English translation of Confirmation and Undertaking Letters, dated as of April 12, 2021, executed by shareholders of Beijing NIO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w w:val="98"/>
              </w:rPr>
            </w:pPr>
            <w:hyperlink r:id="rId213">
              <w:r>
                <w:rPr>
                  <w:rFonts w:ascii="Times New Roman" w:cs="Times New Roman" w:eastAsia="Times New Roman" w:hAnsi="Times New Roman"/>
                  <w:sz w:val="16"/>
                  <w:szCs w:val="16"/>
                  <w:color w:val="0000EE"/>
                  <w:w w:val="98"/>
                </w:rPr>
                <w:t>(incorporated herein by reference to Exhibit 4.15 to the Company’s Report on Form 20-F (File No. 001-38638), filed with the SEC 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4.15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0000EE"/>
            </w:tcBorders>
            <w:gridSpan w:val="3"/>
          </w:tcPr>
          <w:p>
            <w:pPr>
              <w:spacing w:after="0" w:line="166" w:lineRule="exact"/>
              <w:rPr>
                <w:rFonts w:ascii="Times New Roman" w:cs="Times New Roman" w:eastAsia="Times New Roman" w:hAnsi="Times New Roman"/>
                <w:sz w:val="16"/>
                <w:szCs w:val="16"/>
                <w:color w:val="0000EE"/>
                <w:w w:val="96"/>
              </w:rPr>
            </w:pPr>
            <w:hyperlink r:id="rId213">
              <w:r>
                <w:rPr>
                  <w:rFonts w:ascii="Times New Roman" w:cs="Times New Roman" w:eastAsia="Times New Roman" w:hAnsi="Times New Roman"/>
                  <w:sz w:val="16"/>
                  <w:szCs w:val="16"/>
                  <w:color w:val="0000EE"/>
                  <w:w w:val="96"/>
                </w:rPr>
                <w:t>April 29, 2022)</w:t>
              </w:r>
            </w:hyperlink>
          </w:p>
        </w:tc>
        <w:tc>
          <w:tcPr>
            <w:tcW w:w="74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EE"/>
            </w:tcBorders>
            <w:gridSpan w:val="17"/>
          </w:tcPr>
          <w:p>
            <w:pPr>
              <w:spacing w:after="0" w:line="166" w:lineRule="exact"/>
              <w:rPr>
                <w:rFonts w:ascii="Times New Roman" w:cs="Times New Roman" w:eastAsia="Times New Roman" w:hAnsi="Times New Roman"/>
                <w:sz w:val="16"/>
                <w:szCs w:val="16"/>
                <w:color w:val="0000EE"/>
              </w:rPr>
            </w:pPr>
            <w:hyperlink r:id="rId214">
              <w:r>
                <w:rPr>
                  <w:rFonts w:ascii="Times New Roman" w:cs="Times New Roman" w:eastAsia="Times New Roman" w:hAnsi="Times New Roman"/>
                  <w:sz w:val="16"/>
                  <w:szCs w:val="16"/>
                  <w:color w:val="0000EE"/>
                </w:rPr>
                <w:t>English translation of Consent Letters, dated as of April 12, 2021, executed by the spouses of the shareholders of Beijing NIO</w:t>
              </w:r>
            </w:hyperlink>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w w:val="98"/>
              </w:rPr>
            </w:pPr>
            <w:hyperlink r:id="rId214">
              <w:r>
                <w:rPr>
                  <w:rFonts w:ascii="Times New Roman" w:cs="Times New Roman" w:eastAsia="Times New Roman" w:hAnsi="Times New Roman"/>
                  <w:sz w:val="16"/>
                  <w:szCs w:val="16"/>
                  <w:color w:val="0000EE"/>
                  <w:w w:val="98"/>
                </w:rPr>
                <w:t>(incorporated herein by reference to Exhibit 4.16 to the Company’s Report on Form 20-F (File No. 001-38638), filed with the SEC 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17"/>
          </w:tcPr>
          <w:p>
            <w:pPr>
              <w:spacing w:after="0" w:line="166" w:lineRule="exact"/>
              <w:rPr>
                <w:rFonts w:ascii="Times New Roman" w:cs="Times New Roman" w:eastAsia="Times New Roman" w:hAnsi="Times New Roman"/>
                <w:sz w:val="16"/>
                <w:szCs w:val="16"/>
                <w:color w:val="0000EE"/>
              </w:rPr>
            </w:pPr>
            <w:hyperlink r:id="rId214">
              <w:r>
                <w:rPr>
                  <w:rFonts w:ascii="Times New Roman" w:cs="Times New Roman" w:eastAsia="Times New Roman" w:hAnsi="Times New Roman"/>
                  <w:sz w:val="16"/>
                  <w:szCs w:val="16"/>
                  <w:color w:val="0000EE"/>
                </w:rPr>
                <w:t>April 29, 2022)</w:t>
              </w:r>
            </w:hyperlink>
          </w:p>
        </w:tc>
        <w:tc>
          <w:tcPr>
            <w:tcW w:w="0" w:type="dxa"/>
            <w:vAlign w:val="bottom"/>
          </w:tcPr>
          <w:p>
            <w:pPr>
              <w:spacing w:after="0"/>
              <w:rPr>
                <w:sz w:val="1"/>
                <w:szCs w:val="1"/>
                <w:color w:val="auto"/>
              </w:rPr>
            </w:pPr>
          </w:p>
        </w:tc>
      </w:tr>
      <w:tr>
        <w:trPr>
          <w:trHeight w:val="612"/>
        </w:trPr>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top w:val="single" w:sz="8" w:color="0000EE"/>
            </w:tcBorders>
            <w:gridSpan w:val="2"/>
          </w:tcPr>
          <w:p>
            <w:pPr>
              <w:spacing w:after="0"/>
              <w:rPr>
                <w:sz w:val="24"/>
                <w:szCs w:val="24"/>
                <w:color w:val="auto"/>
              </w:rPr>
            </w:pPr>
          </w:p>
        </w:tc>
        <w:tc>
          <w:tcPr>
            <w:tcW w:w="2860" w:type="dxa"/>
            <w:vAlign w:val="bottom"/>
            <w:gridSpan w:val="7"/>
          </w:tcPr>
          <w:p>
            <w:pPr>
              <w:jc w:val="right"/>
              <w:ind w:right="142"/>
              <w:spacing w:after="0"/>
              <w:rPr>
                <w:sz w:val="20"/>
                <w:szCs w:val="20"/>
                <w:color w:val="auto"/>
              </w:rPr>
            </w:pPr>
            <w:r>
              <w:rPr>
                <w:rFonts w:ascii="Times New Roman" w:cs="Times New Roman" w:eastAsia="Times New Roman" w:hAnsi="Times New Roman"/>
                <w:sz w:val="16"/>
                <w:szCs w:val="16"/>
                <w:color w:val="auto"/>
              </w:rPr>
              <w:t>177</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75" w:right="9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jc w:val="right"/>
              <w:ind w:right="1122"/>
              <w:spacing w:after="0"/>
              <w:rPr>
                <w:sz w:val="20"/>
                <w:szCs w:val="20"/>
                <w:color w:val="auto"/>
              </w:rPr>
            </w:pPr>
            <w:r>
              <w:rPr>
                <w:rFonts w:ascii="Times New Roman" w:cs="Times New Roman" w:eastAsia="Times New Roman" w:hAnsi="Times New Roman"/>
                <w:sz w:val="16"/>
                <w:szCs w:val="16"/>
                <w:color w:val="auto"/>
                <w:w w:val="92"/>
              </w:rPr>
              <w:t>4.16</w:t>
            </w:r>
          </w:p>
        </w:tc>
        <w:tc>
          <w:tcPr>
            <w:tcW w:w="844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rPr>
            </w:pPr>
            <w:hyperlink r:id="rId215">
              <w:r>
                <w:rPr>
                  <w:rFonts w:ascii="Times New Roman" w:cs="Times New Roman" w:eastAsia="Times New Roman" w:hAnsi="Times New Roman"/>
                  <w:sz w:val="16"/>
                  <w:szCs w:val="16"/>
                  <w:color w:val="0000EE"/>
                </w:rPr>
                <w:t>Deposit Agreement for Restricted Securities, dated as of February 4, 2019, among the Registrant, Deutsche Bank Trust Company</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15">
              <w:r>
                <w:rPr>
                  <w:rFonts w:ascii="Times New Roman" w:cs="Times New Roman" w:eastAsia="Times New Roman" w:hAnsi="Times New Roman"/>
                  <w:sz w:val="16"/>
                  <w:szCs w:val="16"/>
                  <w:color w:val="0000EE"/>
                  <w:w w:val="98"/>
                </w:rPr>
                <w:t>Americas, as the depositary, and all holders and beneficial owners of the American Depositary Shares issued thereunder (incorporated</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4.17</w:t>
            </w: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7"/>
              </w:rPr>
            </w:pPr>
            <w:hyperlink r:id="rId215">
              <w:r>
                <w:rPr>
                  <w:rFonts w:ascii="Times New Roman" w:cs="Times New Roman" w:eastAsia="Times New Roman" w:hAnsi="Times New Roman"/>
                  <w:sz w:val="16"/>
                  <w:szCs w:val="16"/>
                  <w:color w:val="0000EE"/>
                  <w:w w:val="97"/>
                </w:rPr>
                <w:t>herein by reference to Exhibit 4.24 to the Company’s Report on Form 20-F (File No. 001-38638), filed with the SEC on April 2, 2019)</w:t>
              </w:r>
            </w:hyperlink>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16">
              <w:r>
                <w:rPr>
                  <w:rFonts w:ascii="Times New Roman" w:cs="Times New Roman" w:eastAsia="Times New Roman" w:hAnsi="Times New Roman"/>
                  <w:sz w:val="16"/>
                  <w:szCs w:val="16"/>
                  <w:color w:val="0000EE"/>
                </w:rPr>
                <w:t>English translation of Investment Agreement, dated April 29, 2020, among Hefei Construction Investment Holdings (Group) Co.,</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16">
              <w:r>
                <w:rPr>
                  <w:rFonts w:ascii="Times New Roman" w:cs="Times New Roman" w:eastAsia="Times New Roman" w:hAnsi="Times New Roman"/>
                  <w:sz w:val="16"/>
                  <w:szCs w:val="16"/>
                  <w:color w:val="0000EE"/>
                </w:rPr>
                <w:t>Ltd., the Registrant, Nio Nextev Limited, NIO Power Express Limited, NIO (Anhui) Holding Co., Ltd. and other parties thereto</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16">
              <w:r>
                <w:rPr>
                  <w:rFonts w:ascii="Times New Roman" w:cs="Times New Roman" w:eastAsia="Times New Roman" w:hAnsi="Times New Roman"/>
                  <w:sz w:val="16"/>
                  <w:szCs w:val="16"/>
                  <w:color w:val="0000EE"/>
                  <w:w w:val="98"/>
                </w:rPr>
                <w:t>(incorporated herein by reference to Exhibit 4.35 to the Company’s Report on Form 20-F (File No. 001-38638), filed with the SEC on</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4.18</w:t>
            </w:r>
          </w:p>
        </w:tc>
        <w:tc>
          <w:tcPr>
            <w:tcW w:w="920" w:type="dxa"/>
            <w:vAlign w:val="bottom"/>
            <w:tcBorders>
              <w:bottom w:val="single" w:sz="8" w:color="0000EE"/>
            </w:tcBorders>
          </w:tcPr>
          <w:p>
            <w:pPr>
              <w:spacing w:after="0" w:line="166" w:lineRule="exact"/>
              <w:rPr>
                <w:rFonts w:ascii="Times New Roman" w:cs="Times New Roman" w:eastAsia="Times New Roman" w:hAnsi="Times New Roman"/>
                <w:sz w:val="16"/>
                <w:szCs w:val="16"/>
                <w:color w:val="0000EE"/>
                <w:w w:val="95"/>
              </w:rPr>
            </w:pPr>
            <w:hyperlink r:id="rId216">
              <w:r>
                <w:rPr>
                  <w:rFonts w:ascii="Times New Roman" w:cs="Times New Roman" w:eastAsia="Times New Roman" w:hAnsi="Times New Roman"/>
                  <w:sz w:val="16"/>
                  <w:szCs w:val="16"/>
                  <w:color w:val="0000EE"/>
                  <w:w w:val="95"/>
                </w:rPr>
                <w:t>May 14, 2020)</w:t>
              </w:r>
            </w:hyperlink>
          </w:p>
        </w:tc>
        <w:tc>
          <w:tcPr>
            <w:tcW w:w="754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17">
              <w:r>
                <w:rPr>
                  <w:rFonts w:ascii="Times New Roman" w:cs="Times New Roman" w:eastAsia="Times New Roman" w:hAnsi="Times New Roman"/>
                  <w:sz w:val="16"/>
                  <w:szCs w:val="16"/>
                  <w:color w:val="0000EE"/>
                </w:rPr>
                <w:t>English translation of Amendment and Supplementary Agreement to Investment Agreement, dated May 29, 2020, among Hefei</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17">
              <w:r>
                <w:rPr>
                  <w:rFonts w:ascii="Times New Roman" w:cs="Times New Roman" w:eastAsia="Times New Roman" w:hAnsi="Times New Roman"/>
                  <w:sz w:val="16"/>
                  <w:szCs w:val="16"/>
                  <w:color w:val="0000EE"/>
                  <w:w w:val="98"/>
                </w:rPr>
                <w:t>Construction Investment Holdings (Group) Co., Ltd., the Registrant, Nio Nextev Limited, NIO Power Express Limited, NIO (Anhui)</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3"/>
          </w:tcPr>
          <w:p>
            <w:pPr>
              <w:spacing w:after="0" w:line="166" w:lineRule="exact"/>
              <w:rPr>
                <w:rFonts w:ascii="Times New Roman" w:cs="Times New Roman" w:eastAsia="Times New Roman" w:hAnsi="Times New Roman"/>
                <w:sz w:val="16"/>
                <w:szCs w:val="16"/>
                <w:color w:val="0000EE"/>
              </w:rPr>
            </w:pPr>
            <w:hyperlink r:id="rId217">
              <w:r>
                <w:rPr>
                  <w:rFonts w:ascii="Times New Roman" w:cs="Times New Roman" w:eastAsia="Times New Roman" w:hAnsi="Times New Roman"/>
                  <w:sz w:val="16"/>
                  <w:szCs w:val="16"/>
                  <w:color w:val="0000EE"/>
                </w:rPr>
                <w:t>Holding Co., Ltd. and other parties thereto (incorporated herein by reference to Exhibit 99.1 to the Company’s Current Report 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4.19</w:t>
            </w:r>
          </w:p>
        </w:tc>
        <w:tc>
          <w:tcPr>
            <w:tcW w:w="4620" w:type="dxa"/>
            <w:vAlign w:val="bottom"/>
            <w:tcBorders>
              <w:bottom w:val="single" w:sz="8" w:color="0000EE"/>
            </w:tcBorders>
            <w:gridSpan w:val="8"/>
          </w:tcPr>
          <w:p>
            <w:pPr>
              <w:spacing w:after="0" w:line="166" w:lineRule="exact"/>
              <w:rPr>
                <w:rFonts w:ascii="Times New Roman" w:cs="Times New Roman" w:eastAsia="Times New Roman" w:hAnsi="Times New Roman"/>
                <w:sz w:val="16"/>
                <w:szCs w:val="16"/>
                <w:color w:val="0000EE"/>
                <w:w w:val="97"/>
              </w:rPr>
            </w:pPr>
            <w:hyperlink r:id="rId217">
              <w:r>
                <w:rPr>
                  <w:rFonts w:ascii="Times New Roman" w:cs="Times New Roman" w:eastAsia="Times New Roman" w:hAnsi="Times New Roman"/>
                  <w:sz w:val="16"/>
                  <w:szCs w:val="16"/>
                  <w:color w:val="0000EE"/>
                  <w:w w:val="97"/>
                </w:rPr>
                <w:t>Form 6-K (File No. 001-38638), furnished with the SEC on June 9, 2020)</w:t>
              </w:r>
            </w:hyperlink>
          </w:p>
        </w:tc>
        <w:tc>
          <w:tcPr>
            <w:tcW w:w="38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English translation of Amendment and Supplementary Agreement II to Investment Agreement, dated June 18, 2020, among Hefei</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18">
              <w:r>
                <w:rPr>
                  <w:rFonts w:ascii="Times New Roman" w:cs="Times New Roman" w:eastAsia="Times New Roman" w:hAnsi="Times New Roman"/>
                  <w:sz w:val="16"/>
                  <w:szCs w:val="16"/>
                  <w:color w:val="0000EE"/>
                  <w:w w:val="98"/>
                </w:rPr>
                <w:t>Construction Investment Holdings (Group) Co., Ltd., the Registrant, Nio Nextev Limited, NIO Power Express Limited, NIO (Anhui)</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3"/>
          </w:tcPr>
          <w:p>
            <w:pPr>
              <w:spacing w:after="0" w:line="166" w:lineRule="exact"/>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Holding Co., Ltd. and other parties thereto (incorporated herein by reference to Exhibit 99.1 to the Company’s Current Report 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4.20</w:t>
            </w:r>
          </w:p>
        </w:tc>
        <w:tc>
          <w:tcPr>
            <w:tcW w:w="488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w w:val="97"/>
              </w:rPr>
            </w:pPr>
            <w:hyperlink r:id="rId218">
              <w:r>
                <w:rPr>
                  <w:rFonts w:ascii="Times New Roman" w:cs="Times New Roman" w:eastAsia="Times New Roman" w:hAnsi="Times New Roman"/>
                  <w:sz w:val="16"/>
                  <w:szCs w:val="16"/>
                  <w:color w:val="0000EE"/>
                  <w:w w:val="97"/>
                </w:rPr>
                <w:t>Form 6 - K (File No. 001 - 38638), furnished with the SEC on June 30, 2020)</w:t>
              </w:r>
            </w:hyperlink>
          </w:p>
        </w:tc>
        <w:tc>
          <w:tcPr>
            <w:tcW w:w="35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19">
              <w:r>
                <w:rPr>
                  <w:rFonts w:ascii="Times New Roman" w:cs="Times New Roman" w:eastAsia="Times New Roman" w:hAnsi="Times New Roman"/>
                  <w:sz w:val="16"/>
                  <w:szCs w:val="16"/>
                  <w:color w:val="0000EE"/>
                </w:rPr>
                <w:t>Indenture, dated as of January 15, 2021, by and between the Registrant, as issuer, and Deutsche Bank Trust Company Americas, as</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19">
              <w:r>
                <w:rPr>
                  <w:rFonts w:ascii="Times New Roman" w:cs="Times New Roman" w:eastAsia="Times New Roman" w:hAnsi="Times New Roman"/>
                  <w:sz w:val="16"/>
                  <w:szCs w:val="16"/>
                  <w:color w:val="0000EE"/>
                </w:rPr>
                <w:t xml:space="preserve">trustee, constituting </w:t>
              </w:r>
              <w:r>
                <w:rPr>
                  <w:rFonts w:ascii="Times New Roman" w:cs="Times New Roman" w:eastAsia="Times New Roman" w:hAnsi="Times New Roman"/>
                  <w:sz w:val="16"/>
                  <w:szCs w:val="16"/>
                  <w:u w:val="single" w:color="auto"/>
                  <w:color w:val="0000EE"/>
                </w:rPr>
                <w:t>US$</w:t>
              </w:r>
              <w:r>
                <w:rPr>
                  <w:rFonts w:ascii="Times New Roman" w:cs="Times New Roman" w:eastAsia="Times New Roman" w:hAnsi="Times New Roman"/>
                  <w:sz w:val="16"/>
                  <w:szCs w:val="16"/>
                  <w:color w:val="0000EE"/>
                </w:rPr>
                <w:t>750 million 0.50% Convertible Senior Notes due 2027 (incorporated herein by reference to Exhibit 4.41 to</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4.21</w:t>
            </w:r>
          </w:p>
        </w:tc>
        <w:tc>
          <w:tcPr>
            <w:tcW w:w="60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w w:val="97"/>
              </w:rPr>
            </w:pPr>
            <w:hyperlink r:id="rId219">
              <w:r>
                <w:rPr>
                  <w:rFonts w:ascii="Times New Roman" w:cs="Times New Roman" w:eastAsia="Times New Roman" w:hAnsi="Times New Roman"/>
                  <w:sz w:val="16"/>
                  <w:szCs w:val="16"/>
                  <w:color w:val="0000EE"/>
                  <w:w w:val="97"/>
                </w:rPr>
                <w:t>the Company’s Report on Form 20-F (File No. 001-38638), filed with the SEC on April 6, 2021)</w:t>
              </w:r>
            </w:hyperlink>
          </w:p>
        </w:tc>
        <w:tc>
          <w:tcPr>
            <w:tcW w:w="24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4860" w:type="dxa"/>
            <w:vAlign w:val="bottom"/>
            <w:tcBorders>
              <w:bottom w:val="single" w:sz="8" w:color="0000EE"/>
            </w:tcBorders>
            <w:gridSpan w:val="9"/>
          </w:tcPr>
          <w:p>
            <w:pPr>
              <w:spacing w:after="0" w:line="166" w:lineRule="exact"/>
              <w:rPr>
                <w:rFonts w:ascii="Times New Roman" w:cs="Times New Roman" w:eastAsia="Times New Roman" w:hAnsi="Times New Roman"/>
                <w:sz w:val="16"/>
                <w:szCs w:val="16"/>
                <w:color w:val="0000EE"/>
                <w:w w:val="97"/>
              </w:rPr>
            </w:pPr>
            <w:hyperlink r:id="rId219">
              <w:r>
                <w:rPr>
                  <w:rFonts w:ascii="Times New Roman" w:cs="Times New Roman" w:eastAsia="Times New Roman" w:hAnsi="Times New Roman"/>
                  <w:sz w:val="16"/>
                  <w:szCs w:val="16"/>
                  <w:color w:val="0000EE"/>
                  <w:w w:val="97"/>
                </w:rPr>
                <w:t>Form of 0.50% Convertible Senior Notes due 2027 (included in Exhibit 4.20)</w:t>
              </w:r>
            </w:hyperlink>
          </w:p>
        </w:tc>
        <w:tc>
          <w:tcPr>
            <w:tcW w:w="36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jc w:val="right"/>
              <w:ind w:right="1122"/>
              <w:spacing w:after="0" w:line="166" w:lineRule="exact"/>
              <w:rPr>
                <w:sz w:val="20"/>
                <w:szCs w:val="20"/>
                <w:color w:val="auto"/>
              </w:rPr>
            </w:pPr>
            <w:r>
              <w:rPr>
                <w:rFonts w:ascii="Times New Roman" w:cs="Times New Roman" w:eastAsia="Times New Roman" w:hAnsi="Times New Roman"/>
                <w:sz w:val="16"/>
                <w:szCs w:val="16"/>
                <w:color w:val="auto"/>
                <w:w w:val="92"/>
              </w:rPr>
              <w:t>4.22</w:t>
            </w: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English translation of NIO Park (Phase I) Assets Transfer Agreement and its supplementary agreement, each dated December 23,</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2022, executed by and between NIO (Anhui) Co., Ltd. and Anhui Jianghuai Automobile Co., Ltd. (incorporated by reference to</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4.23</w:t>
            </w:r>
          </w:p>
        </w:tc>
        <w:tc>
          <w:tcPr>
            <w:tcW w:w="7280" w:type="dxa"/>
            <w:vAlign w:val="bottom"/>
            <w:tcBorders>
              <w:bottom w:val="single" w:sz="8" w:color="0000EE"/>
            </w:tcBorders>
            <w:gridSpan w:val="12"/>
          </w:tcPr>
          <w:p>
            <w:pPr>
              <w:spacing w:after="0" w:line="166" w:lineRule="exact"/>
              <w:rPr>
                <w:rFonts w:ascii="Times New Roman" w:cs="Times New Roman" w:eastAsia="Times New Roman" w:hAnsi="Times New Roman"/>
                <w:sz w:val="16"/>
                <w:szCs w:val="16"/>
                <w:color w:val="0000EE"/>
                <w:w w:val="97"/>
              </w:rPr>
            </w:pPr>
            <w:hyperlink r:id="rId220">
              <w:r>
                <w:rPr>
                  <w:rFonts w:ascii="Times New Roman" w:cs="Times New Roman" w:eastAsia="Times New Roman" w:hAnsi="Times New Roman"/>
                  <w:sz w:val="16"/>
                  <w:szCs w:val="16"/>
                  <w:color w:val="0000EE"/>
                  <w:w w:val="97"/>
                </w:rPr>
                <w:t>Exhibit 4.47 of the Company’s Report on Form 20 - F (File No. 001 - 38638), filed with the SEC on April 28, 2023)</w:t>
              </w:r>
            </w:hyperlink>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21">
              <w:r>
                <w:rPr>
                  <w:rFonts w:ascii="Times New Roman" w:cs="Times New Roman" w:eastAsia="Times New Roman" w:hAnsi="Times New Roman"/>
                  <w:sz w:val="16"/>
                  <w:szCs w:val="16"/>
                  <w:color w:val="0000EE"/>
                  <w:w w:val="98"/>
                </w:rPr>
                <w:t>English translation of Power of Attorney, dated November 30, 2022, executed by the shareholders of Anhui NIO AT, Anhui NIO AT</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21">
              <w:r>
                <w:rPr>
                  <w:rFonts w:ascii="Times New Roman" w:cs="Times New Roman" w:eastAsia="Times New Roman" w:hAnsi="Times New Roman"/>
                  <w:sz w:val="16"/>
                  <w:szCs w:val="16"/>
                  <w:color w:val="0000EE"/>
                  <w:w w:val="98"/>
                </w:rPr>
                <w:t>and Anhui NIO AD. (incorporated by reference to Exhibit 4.48 of the Company’s Report on Form 20 - F (File No. 001 - 38638), filed</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4.24</w:t>
            </w:r>
          </w:p>
        </w:tc>
        <w:tc>
          <w:tcPr>
            <w:tcW w:w="2060" w:type="dxa"/>
            <w:vAlign w:val="bottom"/>
            <w:tcBorders>
              <w:bottom w:val="single" w:sz="8" w:color="0000EE"/>
            </w:tcBorders>
            <w:gridSpan w:val="6"/>
          </w:tcPr>
          <w:p>
            <w:pPr>
              <w:spacing w:after="0" w:line="166" w:lineRule="exact"/>
              <w:rPr>
                <w:rFonts w:ascii="Times New Roman" w:cs="Times New Roman" w:eastAsia="Times New Roman" w:hAnsi="Times New Roman"/>
                <w:sz w:val="16"/>
                <w:szCs w:val="16"/>
                <w:color w:val="0000EE"/>
                <w:w w:val="97"/>
              </w:rPr>
            </w:pPr>
            <w:hyperlink r:id="rId221">
              <w:r>
                <w:rPr>
                  <w:rFonts w:ascii="Times New Roman" w:cs="Times New Roman" w:eastAsia="Times New Roman" w:hAnsi="Times New Roman"/>
                  <w:sz w:val="16"/>
                  <w:szCs w:val="16"/>
                  <w:color w:val="0000EE"/>
                  <w:w w:val="97"/>
                </w:rPr>
                <w:t>with the SEC on April 28, 2023)</w:t>
              </w:r>
            </w:hyperlink>
          </w:p>
        </w:tc>
        <w:tc>
          <w:tcPr>
            <w:tcW w:w="64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English translation of Loan Agreements, dated November 30, 2022, between shareholders of Anhui NIO AT and Anhui NIO AD</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(incorporated by reference to Exhibit 4.49 of the Company’s Report on Form 20 - F (File No. 001 - 38638), filed with the SEC on</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4.25</w:t>
            </w:r>
          </w:p>
        </w:tc>
        <w:tc>
          <w:tcPr>
            <w:tcW w:w="980" w:type="dxa"/>
            <w:vAlign w:val="bottom"/>
            <w:tcBorders>
              <w:bottom w:val="single" w:sz="8" w:color="0000EE"/>
            </w:tcBorders>
            <w:gridSpan w:val="3"/>
          </w:tcPr>
          <w:p>
            <w:pPr>
              <w:spacing w:after="0" w:line="166" w:lineRule="exact"/>
              <w:rPr>
                <w:rFonts w:ascii="Times New Roman" w:cs="Times New Roman" w:eastAsia="Times New Roman" w:hAnsi="Times New Roman"/>
                <w:sz w:val="16"/>
                <w:szCs w:val="16"/>
                <w:color w:val="0000EE"/>
                <w:w w:val="96"/>
              </w:rPr>
            </w:pPr>
            <w:hyperlink r:id="rId222">
              <w:r>
                <w:rPr>
                  <w:rFonts w:ascii="Times New Roman" w:cs="Times New Roman" w:eastAsia="Times New Roman" w:hAnsi="Times New Roman"/>
                  <w:sz w:val="16"/>
                  <w:szCs w:val="16"/>
                  <w:color w:val="0000EE"/>
                  <w:w w:val="96"/>
                </w:rPr>
                <w:t>April 28, 2023)</w:t>
              </w:r>
            </w:hyperlink>
          </w:p>
        </w:tc>
        <w:tc>
          <w:tcPr>
            <w:tcW w:w="74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9"/>
              </w:rPr>
            </w:pPr>
            <w:hyperlink r:id="rId223">
              <w:r>
                <w:rPr>
                  <w:rFonts w:ascii="Times New Roman" w:cs="Times New Roman" w:eastAsia="Times New Roman" w:hAnsi="Times New Roman"/>
                  <w:sz w:val="16"/>
                  <w:szCs w:val="16"/>
                  <w:color w:val="0000EE"/>
                  <w:w w:val="99"/>
                </w:rPr>
                <w:t>English translation of Equity Pledge Agreements, dated November 30, 2022, among shareholders of Anhui NIO AT, Anhui NIO AT</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3"/>
          </w:tcPr>
          <w:p>
            <w:pPr>
              <w:spacing w:after="0" w:line="166" w:lineRule="exact"/>
              <w:rPr>
                <w:rFonts w:ascii="Times New Roman" w:cs="Times New Roman" w:eastAsia="Times New Roman" w:hAnsi="Times New Roman"/>
                <w:sz w:val="16"/>
                <w:szCs w:val="16"/>
                <w:color w:val="0000EE"/>
              </w:rPr>
            </w:pPr>
            <w:hyperlink r:id="rId223">
              <w:r>
                <w:rPr>
                  <w:rFonts w:ascii="Times New Roman" w:cs="Times New Roman" w:eastAsia="Times New Roman" w:hAnsi="Times New Roman"/>
                  <w:sz w:val="16"/>
                  <w:szCs w:val="16"/>
                  <w:color w:val="0000EE"/>
                </w:rPr>
                <w:t>and Anhui NIO AD (incorporated by reference to Exhibit 4.50 of the Company’s Report on Form 20-F (File No. 001-38638), filed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4.26</w:t>
            </w:r>
          </w:p>
        </w:tc>
        <w:tc>
          <w:tcPr>
            <w:tcW w:w="2040" w:type="dxa"/>
            <w:vAlign w:val="bottom"/>
            <w:tcBorders>
              <w:bottom w:val="single" w:sz="8" w:color="0000EE"/>
            </w:tcBorders>
            <w:gridSpan w:val="5"/>
          </w:tcPr>
          <w:p>
            <w:pPr>
              <w:spacing w:after="0" w:line="166" w:lineRule="exact"/>
              <w:rPr>
                <w:rFonts w:ascii="Times New Roman" w:cs="Times New Roman" w:eastAsia="Times New Roman" w:hAnsi="Times New Roman"/>
                <w:sz w:val="16"/>
                <w:szCs w:val="16"/>
                <w:color w:val="0000EE"/>
                <w:w w:val="96"/>
              </w:rPr>
            </w:pPr>
            <w:hyperlink r:id="rId223">
              <w:r>
                <w:rPr>
                  <w:rFonts w:ascii="Times New Roman" w:cs="Times New Roman" w:eastAsia="Times New Roman" w:hAnsi="Times New Roman"/>
                  <w:sz w:val="16"/>
                  <w:szCs w:val="16"/>
                  <w:color w:val="0000EE"/>
                  <w:w w:val="96"/>
                </w:rPr>
                <w:t>with the SEC on April 28, 2023)</w:t>
              </w:r>
            </w:hyperlink>
          </w:p>
        </w:tc>
        <w:tc>
          <w:tcPr>
            <w:tcW w:w="64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7"/>
              </w:rPr>
            </w:pPr>
            <w:hyperlink r:id="rId224">
              <w:r>
                <w:rPr>
                  <w:rFonts w:ascii="Times New Roman" w:cs="Times New Roman" w:eastAsia="Times New Roman" w:hAnsi="Times New Roman"/>
                  <w:sz w:val="16"/>
                  <w:szCs w:val="16"/>
                  <w:color w:val="0000EE"/>
                  <w:w w:val="97"/>
                </w:rPr>
                <w:t>English translation of Exclusive Business Cooperation Agreement, dated November 30, 2022, between Anhui NIO AT and Anhui NIO</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24">
              <w:r>
                <w:rPr>
                  <w:rFonts w:ascii="Times New Roman" w:cs="Times New Roman" w:eastAsia="Times New Roman" w:hAnsi="Times New Roman"/>
                  <w:sz w:val="16"/>
                  <w:szCs w:val="16"/>
                  <w:color w:val="0000EE"/>
                </w:rPr>
                <w:t>AD (incorporated by reference to Exhibit 4.51 of the Company’s Report on Form 20-F (File No. 001-38638), filed with the SEC on</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4.27</w:t>
            </w:r>
          </w:p>
        </w:tc>
        <w:tc>
          <w:tcPr>
            <w:tcW w:w="980" w:type="dxa"/>
            <w:vAlign w:val="bottom"/>
            <w:tcBorders>
              <w:bottom w:val="single" w:sz="8" w:color="0000EE"/>
            </w:tcBorders>
            <w:gridSpan w:val="3"/>
          </w:tcPr>
          <w:p>
            <w:pPr>
              <w:spacing w:after="0" w:line="166" w:lineRule="exact"/>
              <w:rPr>
                <w:rFonts w:ascii="Times New Roman" w:cs="Times New Roman" w:eastAsia="Times New Roman" w:hAnsi="Times New Roman"/>
                <w:sz w:val="16"/>
                <w:szCs w:val="16"/>
                <w:color w:val="0000EE"/>
                <w:w w:val="96"/>
              </w:rPr>
            </w:pPr>
            <w:hyperlink r:id="rId224">
              <w:r>
                <w:rPr>
                  <w:rFonts w:ascii="Times New Roman" w:cs="Times New Roman" w:eastAsia="Times New Roman" w:hAnsi="Times New Roman"/>
                  <w:sz w:val="16"/>
                  <w:szCs w:val="16"/>
                  <w:color w:val="0000EE"/>
                  <w:w w:val="96"/>
                </w:rPr>
                <w:t>April 28, 2023)</w:t>
              </w:r>
            </w:hyperlink>
          </w:p>
        </w:tc>
        <w:tc>
          <w:tcPr>
            <w:tcW w:w="74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9"/>
              </w:rPr>
            </w:pPr>
            <w:hyperlink r:id="rId225">
              <w:r>
                <w:rPr>
                  <w:rFonts w:ascii="Times New Roman" w:cs="Times New Roman" w:eastAsia="Times New Roman" w:hAnsi="Times New Roman"/>
                  <w:sz w:val="16"/>
                  <w:szCs w:val="16"/>
                  <w:color w:val="0000EE"/>
                  <w:w w:val="99"/>
                </w:rPr>
                <w:t>English translation of Exclusive Option Agreements, dated November 30, 2022, among shareholders of Anhui NIO AT, Anhui NIO</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3"/>
          </w:tcPr>
          <w:p>
            <w:pPr>
              <w:spacing w:after="0" w:line="166" w:lineRule="exact"/>
              <w:rPr>
                <w:rFonts w:ascii="Times New Roman" w:cs="Times New Roman" w:eastAsia="Times New Roman" w:hAnsi="Times New Roman"/>
                <w:sz w:val="16"/>
                <w:szCs w:val="16"/>
                <w:color w:val="0000EE"/>
                <w:w w:val="99"/>
              </w:rPr>
            </w:pPr>
            <w:hyperlink r:id="rId225">
              <w:r>
                <w:rPr>
                  <w:rFonts w:ascii="Times New Roman" w:cs="Times New Roman" w:eastAsia="Times New Roman" w:hAnsi="Times New Roman"/>
                  <w:sz w:val="16"/>
                  <w:szCs w:val="16"/>
                  <w:color w:val="0000EE"/>
                  <w:w w:val="99"/>
                </w:rPr>
                <w:t>AT and Anhui NIO AD (incorporated by reference to Exhibit 4.52 of the Company’s Report on Form 20 - F (File No. 001 - 38638),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4.28</w:t>
            </w:r>
          </w:p>
        </w:tc>
        <w:tc>
          <w:tcPr>
            <w:tcW w:w="2360" w:type="dxa"/>
            <w:vAlign w:val="bottom"/>
            <w:tcBorders>
              <w:bottom w:val="single" w:sz="8" w:color="0000EE"/>
            </w:tcBorders>
            <w:gridSpan w:val="7"/>
          </w:tcPr>
          <w:p>
            <w:pPr>
              <w:spacing w:after="0" w:line="166" w:lineRule="exact"/>
              <w:rPr>
                <w:rFonts w:ascii="Times New Roman" w:cs="Times New Roman" w:eastAsia="Times New Roman" w:hAnsi="Times New Roman"/>
                <w:sz w:val="16"/>
                <w:szCs w:val="16"/>
                <w:color w:val="0000EE"/>
                <w:w w:val="96"/>
              </w:rPr>
            </w:pPr>
            <w:hyperlink r:id="rId225">
              <w:r>
                <w:rPr>
                  <w:rFonts w:ascii="Times New Roman" w:cs="Times New Roman" w:eastAsia="Times New Roman" w:hAnsi="Times New Roman"/>
                  <w:sz w:val="16"/>
                  <w:szCs w:val="16"/>
                  <w:color w:val="0000EE"/>
                  <w:w w:val="96"/>
                </w:rPr>
                <w:t>filed with the SEC on April 28, 2023)</w:t>
              </w:r>
            </w:hyperlink>
          </w:p>
        </w:tc>
        <w:tc>
          <w:tcPr>
            <w:tcW w:w="61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9"/>
              </w:rPr>
            </w:pPr>
            <w:hyperlink r:id="rId226">
              <w:r>
                <w:rPr>
                  <w:rFonts w:ascii="Times New Roman" w:cs="Times New Roman" w:eastAsia="Times New Roman" w:hAnsi="Times New Roman"/>
                  <w:sz w:val="16"/>
                  <w:szCs w:val="16"/>
                  <w:color w:val="0000EE"/>
                  <w:w w:val="99"/>
                </w:rPr>
                <w:t>English translation of Confirmation and Undertaking Letters, dated November 30, 2022, executed by shareholders of Anhui NIO AT</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26">
              <w:r>
                <w:rPr>
                  <w:rFonts w:ascii="Times New Roman" w:cs="Times New Roman" w:eastAsia="Times New Roman" w:hAnsi="Times New Roman"/>
                  <w:sz w:val="16"/>
                  <w:szCs w:val="16"/>
                  <w:color w:val="0000EE"/>
                </w:rPr>
                <w:t>(incorporated by reference to Exhibit 4.53 of the Company’s Report on Form 20 - F (File No. 001 - 38638), filed with the SEC on</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4.29</w:t>
            </w:r>
          </w:p>
        </w:tc>
        <w:tc>
          <w:tcPr>
            <w:tcW w:w="980" w:type="dxa"/>
            <w:vAlign w:val="bottom"/>
            <w:tcBorders>
              <w:bottom w:val="single" w:sz="8" w:color="0000EE"/>
            </w:tcBorders>
            <w:gridSpan w:val="3"/>
          </w:tcPr>
          <w:p>
            <w:pPr>
              <w:spacing w:after="0" w:line="166" w:lineRule="exact"/>
              <w:rPr>
                <w:rFonts w:ascii="Times New Roman" w:cs="Times New Roman" w:eastAsia="Times New Roman" w:hAnsi="Times New Roman"/>
                <w:sz w:val="16"/>
                <w:szCs w:val="16"/>
                <w:color w:val="0000EE"/>
                <w:w w:val="96"/>
              </w:rPr>
            </w:pPr>
            <w:hyperlink r:id="rId226">
              <w:r>
                <w:rPr>
                  <w:rFonts w:ascii="Times New Roman" w:cs="Times New Roman" w:eastAsia="Times New Roman" w:hAnsi="Times New Roman"/>
                  <w:sz w:val="16"/>
                  <w:szCs w:val="16"/>
                  <w:color w:val="0000EE"/>
                  <w:w w:val="96"/>
                </w:rPr>
                <w:t>April 28, 2023)</w:t>
              </w:r>
            </w:hyperlink>
          </w:p>
        </w:tc>
        <w:tc>
          <w:tcPr>
            <w:tcW w:w="74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27">
              <w:r>
                <w:rPr>
                  <w:rFonts w:ascii="Times New Roman" w:cs="Times New Roman" w:eastAsia="Times New Roman" w:hAnsi="Times New Roman"/>
                  <w:sz w:val="16"/>
                  <w:szCs w:val="16"/>
                  <w:color w:val="0000EE"/>
                </w:rPr>
                <w:t>English translation of Consent Letters, dated November 30, 2022, executed by the spouses of the shareholders of Anhui NIO AT</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27">
              <w:r>
                <w:rPr>
                  <w:rFonts w:ascii="Times New Roman" w:cs="Times New Roman" w:eastAsia="Times New Roman" w:hAnsi="Times New Roman"/>
                  <w:sz w:val="16"/>
                  <w:szCs w:val="16"/>
                  <w:color w:val="0000EE"/>
                </w:rPr>
                <w:t>(incorporated by reference to Exhibit 4.54 of the Company’s Report on Form 20 - F (File No. 001 - 38638), filed with the SEC on</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4.30</w:t>
            </w:r>
          </w:p>
        </w:tc>
        <w:tc>
          <w:tcPr>
            <w:tcW w:w="980" w:type="dxa"/>
            <w:vAlign w:val="bottom"/>
            <w:tcBorders>
              <w:bottom w:val="single" w:sz="8" w:color="0000EE"/>
            </w:tcBorders>
            <w:gridSpan w:val="3"/>
          </w:tcPr>
          <w:p>
            <w:pPr>
              <w:spacing w:after="0" w:line="166" w:lineRule="exact"/>
              <w:rPr>
                <w:rFonts w:ascii="Times New Roman" w:cs="Times New Roman" w:eastAsia="Times New Roman" w:hAnsi="Times New Roman"/>
                <w:sz w:val="16"/>
                <w:szCs w:val="16"/>
                <w:color w:val="0000EE"/>
                <w:w w:val="96"/>
              </w:rPr>
            </w:pPr>
            <w:hyperlink r:id="rId227">
              <w:r>
                <w:rPr>
                  <w:rFonts w:ascii="Times New Roman" w:cs="Times New Roman" w:eastAsia="Times New Roman" w:hAnsi="Times New Roman"/>
                  <w:sz w:val="16"/>
                  <w:szCs w:val="16"/>
                  <w:color w:val="0000EE"/>
                  <w:w w:val="96"/>
                </w:rPr>
                <w:t>April 28, 2023)</w:t>
              </w:r>
            </w:hyperlink>
          </w:p>
        </w:tc>
        <w:tc>
          <w:tcPr>
            <w:tcW w:w="74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9"/>
              </w:rPr>
            </w:pPr>
            <w:hyperlink r:id="rId228">
              <w:r>
                <w:rPr>
                  <w:rFonts w:ascii="Times New Roman" w:cs="Times New Roman" w:eastAsia="Times New Roman" w:hAnsi="Times New Roman"/>
                  <w:sz w:val="16"/>
                  <w:szCs w:val="16"/>
                  <w:color w:val="0000EE"/>
                  <w:w w:val="99"/>
                </w:rPr>
                <w:t>English translation of Power of Attorney, dated December 12, 2022, executed by the shareholders of Anhui NIO DT, Anhui NIO DT</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28">
              <w:r>
                <w:rPr>
                  <w:rFonts w:ascii="Times New Roman" w:cs="Times New Roman" w:eastAsia="Times New Roman" w:hAnsi="Times New Roman"/>
                  <w:sz w:val="16"/>
                  <w:szCs w:val="16"/>
                  <w:color w:val="0000EE"/>
                  <w:w w:val="98"/>
                </w:rPr>
                <w:t>and NIO China (incorporated by reference to Exhibit 4.55 of the Company’s Report on Form 20 - F (File No. 001 - 38638), filed with</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4.31</w:t>
            </w:r>
          </w:p>
        </w:tc>
        <w:tc>
          <w:tcPr>
            <w:tcW w:w="1720" w:type="dxa"/>
            <w:vAlign w:val="bottom"/>
            <w:tcBorders>
              <w:bottom w:val="single" w:sz="8" w:color="0000EE"/>
            </w:tcBorders>
            <w:gridSpan w:val="4"/>
          </w:tcPr>
          <w:p>
            <w:pPr>
              <w:spacing w:after="0" w:line="166" w:lineRule="exact"/>
              <w:rPr>
                <w:rFonts w:ascii="Times New Roman" w:cs="Times New Roman" w:eastAsia="Times New Roman" w:hAnsi="Times New Roman"/>
                <w:sz w:val="16"/>
                <w:szCs w:val="16"/>
                <w:color w:val="0000EE"/>
                <w:w w:val="96"/>
              </w:rPr>
            </w:pPr>
            <w:hyperlink r:id="rId228">
              <w:r>
                <w:rPr>
                  <w:rFonts w:ascii="Times New Roman" w:cs="Times New Roman" w:eastAsia="Times New Roman" w:hAnsi="Times New Roman"/>
                  <w:sz w:val="16"/>
                  <w:szCs w:val="16"/>
                  <w:color w:val="0000EE"/>
                  <w:w w:val="96"/>
                </w:rPr>
                <w:t>the SEC on April 28, 2023)</w:t>
              </w:r>
            </w:hyperlink>
          </w:p>
        </w:tc>
        <w:tc>
          <w:tcPr>
            <w:tcW w:w="67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3"/>
          </w:tcPr>
          <w:p>
            <w:pPr>
              <w:spacing w:after="0" w:line="166" w:lineRule="exact"/>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English translation of Loan Agreements, dated December 12, 2022, between shareholders of Anhui NIO DT and NIO China</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(incorporated by reference to Exhibit 4.56 of the Company’s Report on Form 20 - F (File No. 001 - 38638), filed with the SEC on</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4.32</w:t>
            </w:r>
          </w:p>
        </w:tc>
        <w:tc>
          <w:tcPr>
            <w:tcW w:w="980" w:type="dxa"/>
            <w:vAlign w:val="bottom"/>
            <w:tcBorders>
              <w:bottom w:val="single" w:sz="8" w:color="0000EE"/>
            </w:tcBorders>
            <w:gridSpan w:val="3"/>
          </w:tcPr>
          <w:p>
            <w:pPr>
              <w:spacing w:after="0" w:line="166" w:lineRule="exact"/>
              <w:rPr>
                <w:rFonts w:ascii="Times New Roman" w:cs="Times New Roman" w:eastAsia="Times New Roman" w:hAnsi="Times New Roman"/>
                <w:sz w:val="16"/>
                <w:szCs w:val="16"/>
                <w:color w:val="0000EE"/>
                <w:w w:val="96"/>
              </w:rPr>
            </w:pPr>
            <w:hyperlink r:id="rId229">
              <w:r>
                <w:rPr>
                  <w:rFonts w:ascii="Times New Roman" w:cs="Times New Roman" w:eastAsia="Times New Roman" w:hAnsi="Times New Roman"/>
                  <w:sz w:val="16"/>
                  <w:szCs w:val="16"/>
                  <w:color w:val="0000EE"/>
                  <w:w w:val="96"/>
                </w:rPr>
                <w:t>April 28, 2023)</w:t>
              </w:r>
            </w:hyperlink>
          </w:p>
        </w:tc>
        <w:tc>
          <w:tcPr>
            <w:tcW w:w="74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9"/>
              </w:rPr>
            </w:pPr>
            <w:hyperlink r:id="rId230">
              <w:r>
                <w:rPr>
                  <w:rFonts w:ascii="Times New Roman" w:cs="Times New Roman" w:eastAsia="Times New Roman" w:hAnsi="Times New Roman"/>
                  <w:sz w:val="16"/>
                  <w:szCs w:val="16"/>
                  <w:color w:val="0000EE"/>
                  <w:w w:val="99"/>
                </w:rPr>
                <w:t>English translation of Equity Pledge Agreements, dated December 12, 2022, among shareholders of Anhui NIO DT, Anhui NIO DT</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30">
              <w:r>
                <w:rPr>
                  <w:rFonts w:ascii="Times New Roman" w:cs="Times New Roman" w:eastAsia="Times New Roman" w:hAnsi="Times New Roman"/>
                  <w:sz w:val="16"/>
                  <w:szCs w:val="16"/>
                  <w:color w:val="0000EE"/>
                  <w:w w:val="98"/>
                </w:rPr>
                <w:t>and NIO China (incorporated by reference to Exhibit 4.57 of the Company’s Report on Form 20 - F (File No. 001 - 38638), filed with</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jc w:val="right"/>
              <w:ind w:right="1122"/>
              <w:spacing w:after="0"/>
              <w:rPr>
                <w:sz w:val="20"/>
                <w:szCs w:val="20"/>
                <w:color w:val="auto"/>
              </w:rPr>
            </w:pPr>
            <w:r>
              <w:rPr>
                <w:rFonts w:ascii="Times New Roman" w:cs="Times New Roman" w:eastAsia="Times New Roman" w:hAnsi="Times New Roman"/>
                <w:sz w:val="16"/>
                <w:szCs w:val="16"/>
                <w:color w:val="auto"/>
                <w:w w:val="92"/>
              </w:rPr>
              <w:t>4.33</w:t>
            </w:r>
          </w:p>
        </w:tc>
        <w:tc>
          <w:tcPr>
            <w:tcW w:w="1720" w:type="dxa"/>
            <w:vAlign w:val="bottom"/>
            <w:tcBorders>
              <w:bottom w:val="single" w:sz="8" w:color="0000EE"/>
            </w:tcBorders>
            <w:gridSpan w:val="4"/>
          </w:tcPr>
          <w:p>
            <w:pPr>
              <w:spacing w:after="0" w:line="166" w:lineRule="exact"/>
              <w:rPr>
                <w:rFonts w:ascii="Times New Roman" w:cs="Times New Roman" w:eastAsia="Times New Roman" w:hAnsi="Times New Roman"/>
                <w:sz w:val="16"/>
                <w:szCs w:val="16"/>
                <w:color w:val="0000EE"/>
                <w:w w:val="96"/>
              </w:rPr>
            </w:pPr>
            <w:hyperlink r:id="rId230">
              <w:r>
                <w:rPr>
                  <w:rFonts w:ascii="Times New Roman" w:cs="Times New Roman" w:eastAsia="Times New Roman" w:hAnsi="Times New Roman"/>
                  <w:sz w:val="16"/>
                  <w:szCs w:val="16"/>
                  <w:color w:val="0000EE"/>
                  <w:w w:val="96"/>
                </w:rPr>
                <w:t>the SEC on April 28, 2023)</w:t>
              </w:r>
            </w:hyperlink>
          </w:p>
        </w:tc>
        <w:tc>
          <w:tcPr>
            <w:tcW w:w="67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3"/>
          </w:tcPr>
          <w:p>
            <w:pPr>
              <w:spacing w:after="0" w:line="166" w:lineRule="exact"/>
              <w:rPr>
                <w:rFonts w:ascii="Times New Roman" w:cs="Times New Roman" w:eastAsia="Times New Roman" w:hAnsi="Times New Roman"/>
                <w:sz w:val="16"/>
                <w:szCs w:val="16"/>
                <w:color w:val="0000EE"/>
                <w:w w:val="97"/>
              </w:rPr>
            </w:pPr>
            <w:hyperlink r:id="rId231">
              <w:r>
                <w:rPr>
                  <w:rFonts w:ascii="Times New Roman" w:cs="Times New Roman" w:eastAsia="Times New Roman" w:hAnsi="Times New Roman"/>
                  <w:sz w:val="16"/>
                  <w:szCs w:val="16"/>
                  <w:color w:val="0000EE"/>
                  <w:w w:val="97"/>
                </w:rPr>
                <w:t>English translation of Exclusive Business Cooperation Agreement, dated December 12, 2022, between Anhui NIO DT and NIO China</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31">
              <w:r>
                <w:rPr>
                  <w:rFonts w:ascii="Times New Roman" w:cs="Times New Roman" w:eastAsia="Times New Roman" w:hAnsi="Times New Roman"/>
                  <w:sz w:val="16"/>
                  <w:szCs w:val="16"/>
                  <w:color w:val="0000EE"/>
                </w:rPr>
                <w:t>(incorporated by reference to Exhibit 4.58 of the Company’s Report on Form 20 - F (File No. 001 - 38638), filed with the SEC on</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gridSpan w:val="14"/>
          </w:tcPr>
          <w:p>
            <w:pPr>
              <w:spacing w:after="0" w:line="166" w:lineRule="exact"/>
              <w:rPr>
                <w:rFonts w:ascii="Times New Roman" w:cs="Times New Roman" w:eastAsia="Times New Roman" w:hAnsi="Times New Roman"/>
                <w:sz w:val="16"/>
                <w:szCs w:val="16"/>
                <w:color w:val="0000EE"/>
              </w:rPr>
            </w:pPr>
            <w:hyperlink r:id="rId231">
              <w:r>
                <w:rPr>
                  <w:rFonts w:ascii="Times New Roman" w:cs="Times New Roman" w:eastAsia="Times New Roman" w:hAnsi="Times New Roman"/>
                  <w:sz w:val="16"/>
                  <w:szCs w:val="16"/>
                  <w:color w:val="0000EE"/>
                </w:rPr>
                <w:t>April 28, 2023)</w:t>
              </w:r>
            </w:hyperlink>
          </w:p>
        </w:tc>
        <w:tc>
          <w:tcPr>
            <w:tcW w:w="0" w:type="dxa"/>
            <w:vAlign w:val="bottom"/>
          </w:tcPr>
          <w:p>
            <w:pPr>
              <w:spacing w:after="0"/>
              <w:rPr>
                <w:sz w:val="1"/>
                <w:szCs w:val="1"/>
                <w:color w:val="auto"/>
              </w:rPr>
            </w:pPr>
          </w:p>
        </w:tc>
      </w:tr>
      <w:tr>
        <w:trPr>
          <w:trHeight w:val="612"/>
        </w:trPr>
        <w:tc>
          <w:tcPr>
            <w:tcW w:w="1480" w:type="dxa"/>
            <w:vAlign w:val="bottom"/>
          </w:tcPr>
          <w:p>
            <w:pPr>
              <w:spacing w:after="0"/>
              <w:rPr>
                <w:sz w:val="24"/>
                <w:szCs w:val="24"/>
                <w:color w:val="auto"/>
              </w:rPr>
            </w:pPr>
          </w:p>
        </w:tc>
        <w:tc>
          <w:tcPr>
            <w:tcW w:w="960" w:type="dxa"/>
            <w:vAlign w:val="bottom"/>
            <w:tcBorders>
              <w:top w:val="single" w:sz="8" w:color="0000EE"/>
            </w:tcBorders>
            <w:gridSpan w:val="2"/>
          </w:tcPr>
          <w:p>
            <w:pPr>
              <w:spacing w:after="0"/>
              <w:rPr>
                <w:sz w:val="24"/>
                <w:szCs w:val="24"/>
                <w:color w:val="auto"/>
              </w:rPr>
            </w:pPr>
          </w:p>
        </w:tc>
        <w:tc>
          <w:tcPr>
            <w:tcW w:w="3660" w:type="dxa"/>
            <w:vAlign w:val="bottom"/>
            <w:gridSpan w:val="6"/>
          </w:tcPr>
          <w:p>
            <w:pPr>
              <w:jc w:val="right"/>
              <w:ind w:right="1020"/>
              <w:spacing w:after="0"/>
              <w:rPr>
                <w:sz w:val="20"/>
                <w:szCs w:val="20"/>
                <w:color w:val="auto"/>
              </w:rPr>
            </w:pPr>
            <w:r>
              <w:rPr>
                <w:rFonts w:ascii="Times New Roman" w:cs="Times New Roman" w:eastAsia="Times New Roman" w:hAnsi="Times New Roman"/>
                <w:sz w:val="16"/>
                <w:szCs w:val="16"/>
                <w:color w:val="auto"/>
              </w:rPr>
              <w:t>178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4.34</w:t>
            </w:r>
          </w:p>
        </w:tc>
        <w:tc>
          <w:tcPr>
            <w:tcW w:w="846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r:id="rId232">
              <w:r>
                <w:rPr>
                  <w:rFonts w:ascii="Times New Roman" w:cs="Times New Roman" w:eastAsia="Times New Roman" w:hAnsi="Times New Roman"/>
                  <w:sz w:val="16"/>
                  <w:szCs w:val="16"/>
                  <w:color w:val="0000EE"/>
                </w:rPr>
                <w:t>English translation of Exclusive Option Agreements, dated December 12, 2022, among shareholders of Anhui NIO DT, Anhui NIO</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w w:val="99"/>
              </w:rPr>
            </w:pPr>
            <w:hyperlink r:id="rId232">
              <w:r>
                <w:rPr>
                  <w:rFonts w:ascii="Times New Roman" w:cs="Times New Roman" w:eastAsia="Times New Roman" w:hAnsi="Times New Roman"/>
                  <w:sz w:val="16"/>
                  <w:szCs w:val="16"/>
                  <w:color w:val="0000EE"/>
                  <w:w w:val="99"/>
                </w:rPr>
                <w:t>DT and NIO China (incorporated by reference to Exhibit 4.59 of the Company’s Report on Form 20 - F (File No. 001 - 38638), filed</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4.35</w:t>
            </w:r>
          </w:p>
        </w:tc>
        <w:tc>
          <w:tcPr>
            <w:tcW w:w="2040" w:type="dxa"/>
            <w:vAlign w:val="bottom"/>
            <w:tcBorders>
              <w:bottom w:val="single" w:sz="8" w:color="0000EE"/>
            </w:tcBorders>
            <w:gridSpan w:val="7"/>
          </w:tcPr>
          <w:p>
            <w:pPr>
              <w:spacing w:after="0" w:line="166" w:lineRule="exact"/>
              <w:rPr>
                <w:rFonts w:ascii="Times New Roman" w:cs="Times New Roman" w:eastAsia="Times New Roman" w:hAnsi="Times New Roman"/>
                <w:sz w:val="16"/>
                <w:szCs w:val="16"/>
                <w:color w:val="0000EE"/>
                <w:w w:val="96"/>
              </w:rPr>
            </w:pPr>
            <w:hyperlink r:id="rId232">
              <w:r>
                <w:rPr>
                  <w:rFonts w:ascii="Times New Roman" w:cs="Times New Roman" w:eastAsia="Times New Roman" w:hAnsi="Times New Roman"/>
                  <w:sz w:val="16"/>
                  <w:szCs w:val="16"/>
                  <w:color w:val="0000EE"/>
                  <w:w w:val="96"/>
                </w:rPr>
                <w:t>with the SEC on April 28, 2023)</w:t>
              </w:r>
            </w:hyperlink>
          </w:p>
        </w:tc>
        <w:tc>
          <w:tcPr>
            <w:tcW w:w="64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w w:val="99"/>
              </w:rPr>
            </w:pPr>
            <w:hyperlink r:id="rId233">
              <w:r>
                <w:rPr>
                  <w:rFonts w:ascii="Times New Roman" w:cs="Times New Roman" w:eastAsia="Times New Roman" w:hAnsi="Times New Roman"/>
                  <w:sz w:val="16"/>
                  <w:szCs w:val="16"/>
                  <w:color w:val="0000EE"/>
                  <w:w w:val="99"/>
                </w:rPr>
                <w:t>English translation of Confirmation and Undertaking Letters, dated December 12, 2022, executed by shareholders of Anhui NIO DT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33">
              <w:r>
                <w:rPr>
                  <w:rFonts w:ascii="Times New Roman" w:cs="Times New Roman" w:eastAsia="Times New Roman" w:hAnsi="Times New Roman"/>
                  <w:sz w:val="16"/>
                  <w:szCs w:val="16"/>
                  <w:color w:val="0000EE"/>
                </w:rPr>
                <w:t>(incorporated by reference to Exhibit 4.60 of the Company’s Report on Form 20 - F (File No. 001 - 38638), filed with the SEC on</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4.36</w:t>
            </w:r>
          </w:p>
        </w:tc>
        <w:tc>
          <w:tcPr>
            <w:tcW w:w="8460" w:type="dxa"/>
            <w:vAlign w:val="bottom"/>
            <w:gridSpan w:val="11"/>
          </w:tcPr>
          <w:p>
            <w:pPr>
              <w:spacing w:after="0" w:line="166" w:lineRule="exact"/>
              <w:rPr>
                <w:rFonts w:ascii="Times New Roman" w:cs="Times New Roman" w:eastAsia="Times New Roman" w:hAnsi="Times New Roman"/>
                <w:sz w:val="16"/>
                <w:szCs w:val="16"/>
                <w:color w:val="0000EE"/>
              </w:rPr>
            </w:pPr>
            <w:hyperlink r:id="rId233">
              <w:r>
                <w:rPr>
                  <w:rFonts w:ascii="Times New Roman" w:cs="Times New Roman" w:eastAsia="Times New Roman" w:hAnsi="Times New Roman"/>
                  <w:sz w:val="16"/>
                  <w:szCs w:val="16"/>
                  <w:color w:val="0000EE"/>
                </w:rPr>
                <w:t>April 28, 2023)</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rPr>
            </w:pPr>
            <w:hyperlink r:id="rId234">
              <w:r>
                <w:rPr>
                  <w:rFonts w:ascii="Times New Roman" w:cs="Times New Roman" w:eastAsia="Times New Roman" w:hAnsi="Times New Roman"/>
                  <w:sz w:val="16"/>
                  <w:szCs w:val="16"/>
                  <w:color w:val="0000EE"/>
                </w:rPr>
                <w:t>English translation of Consent Letters, dated December 12, 2022, executed by the spouses of the shareholders of Anhui NIO DT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34">
              <w:r>
                <w:rPr>
                  <w:rFonts w:ascii="Times New Roman" w:cs="Times New Roman" w:eastAsia="Times New Roman" w:hAnsi="Times New Roman"/>
                  <w:sz w:val="16"/>
                  <w:szCs w:val="16"/>
                  <w:color w:val="0000EE"/>
                </w:rPr>
                <w:t>(incorporated by reference to Exhibit 4.61 of the Company’s Report on Form 20 - F (File No. 001 - 38638), filed with the SEC on</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4.37</w:t>
            </w:r>
          </w:p>
        </w:tc>
        <w:tc>
          <w:tcPr>
            <w:tcW w:w="8460" w:type="dxa"/>
            <w:vAlign w:val="bottom"/>
            <w:gridSpan w:val="11"/>
          </w:tcPr>
          <w:p>
            <w:pPr>
              <w:spacing w:after="0" w:line="166" w:lineRule="exact"/>
              <w:rPr>
                <w:rFonts w:ascii="Times New Roman" w:cs="Times New Roman" w:eastAsia="Times New Roman" w:hAnsi="Times New Roman"/>
                <w:sz w:val="16"/>
                <w:szCs w:val="16"/>
                <w:color w:val="0000EE"/>
              </w:rPr>
            </w:pPr>
            <w:hyperlink r:id="rId234">
              <w:r>
                <w:rPr>
                  <w:rFonts w:ascii="Times New Roman" w:cs="Times New Roman" w:eastAsia="Times New Roman" w:hAnsi="Times New Roman"/>
                  <w:sz w:val="16"/>
                  <w:szCs w:val="16"/>
                  <w:color w:val="0000EE"/>
                </w:rPr>
                <w:t>April 28, 2023)</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rPr>
            </w:pPr>
            <w:hyperlink r:id="rId235">
              <w:r>
                <w:rPr>
                  <w:rFonts w:ascii="Times New Roman" w:cs="Times New Roman" w:eastAsia="Times New Roman" w:hAnsi="Times New Roman"/>
                  <w:sz w:val="16"/>
                  <w:szCs w:val="16"/>
                  <w:color w:val="0000EE"/>
                </w:rPr>
                <w:t>Share Subscription Agreement, dated June 20, 2023, by and between the Registrant and CYVN Holdings L.L.C. (incorporated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4.38</w:t>
            </w:r>
          </w:p>
        </w:tc>
        <w:tc>
          <w:tcPr>
            <w:tcW w:w="7820" w:type="dxa"/>
            <w:vAlign w:val="bottom"/>
            <w:tcBorders>
              <w:bottom w:val="single" w:sz="8" w:color="0000EE"/>
            </w:tcBorders>
            <w:gridSpan w:val="9"/>
          </w:tcPr>
          <w:p>
            <w:pPr>
              <w:spacing w:after="0" w:line="166" w:lineRule="exact"/>
              <w:rPr>
                <w:rFonts w:ascii="Times New Roman" w:cs="Times New Roman" w:eastAsia="Times New Roman" w:hAnsi="Times New Roman"/>
                <w:sz w:val="16"/>
                <w:szCs w:val="16"/>
                <w:color w:val="0000EE"/>
                <w:w w:val="97"/>
              </w:rPr>
            </w:pPr>
            <w:hyperlink r:id="rId235">
              <w:r>
                <w:rPr>
                  <w:rFonts w:ascii="Times New Roman" w:cs="Times New Roman" w:eastAsia="Times New Roman" w:hAnsi="Times New Roman"/>
                  <w:sz w:val="16"/>
                  <w:szCs w:val="16"/>
                  <w:color w:val="0000EE"/>
                  <w:w w:val="97"/>
                </w:rPr>
                <w:t>reference to Exhibit 4.44 of the Company’s Report on Form 20-F (File No. 001-38638), filed with the SEC on April 9, 2024)</w:t>
              </w:r>
            </w:hyperlink>
          </w:p>
        </w:tc>
        <w:tc>
          <w:tcPr>
            <w:tcW w:w="6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rPr>
            </w:pPr>
            <w:hyperlink r:id="rId236">
              <w:r>
                <w:rPr>
                  <w:rFonts w:ascii="Times New Roman" w:cs="Times New Roman" w:eastAsia="Times New Roman" w:hAnsi="Times New Roman"/>
                  <w:sz w:val="16"/>
                  <w:szCs w:val="16"/>
                  <w:color w:val="0000EE"/>
                </w:rPr>
                <w:t>Registration Rights Agreement, dated June 20, 2023, by and between the Registrant and CYVN Holdings L.L.C. (incorporated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4.39</w:t>
            </w:r>
          </w:p>
        </w:tc>
        <w:tc>
          <w:tcPr>
            <w:tcW w:w="7820" w:type="dxa"/>
            <w:vAlign w:val="bottom"/>
            <w:tcBorders>
              <w:bottom w:val="single" w:sz="8" w:color="0000EE"/>
            </w:tcBorders>
            <w:gridSpan w:val="9"/>
          </w:tcPr>
          <w:p>
            <w:pPr>
              <w:spacing w:after="0" w:line="166" w:lineRule="exact"/>
              <w:rPr>
                <w:rFonts w:ascii="Times New Roman" w:cs="Times New Roman" w:eastAsia="Times New Roman" w:hAnsi="Times New Roman"/>
                <w:sz w:val="16"/>
                <w:szCs w:val="16"/>
                <w:color w:val="0000EE"/>
                <w:w w:val="97"/>
              </w:rPr>
            </w:pPr>
            <w:hyperlink r:id="rId236">
              <w:r>
                <w:rPr>
                  <w:rFonts w:ascii="Times New Roman" w:cs="Times New Roman" w:eastAsia="Times New Roman" w:hAnsi="Times New Roman"/>
                  <w:sz w:val="16"/>
                  <w:szCs w:val="16"/>
                  <w:color w:val="0000EE"/>
                  <w:w w:val="97"/>
                </w:rPr>
                <w:t>reference to Exhibit 4.45 of the Company’s Report on Form 20-F (File No. 001-38638), filed with the SEC on April 9, 2024)</w:t>
              </w:r>
            </w:hyperlink>
          </w:p>
        </w:tc>
        <w:tc>
          <w:tcPr>
            <w:tcW w:w="6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w w:val="98"/>
              </w:rPr>
            </w:pPr>
            <w:hyperlink r:id="rId237">
              <w:r>
                <w:rPr>
                  <w:rFonts w:ascii="Times New Roman" w:cs="Times New Roman" w:eastAsia="Times New Roman" w:hAnsi="Times New Roman"/>
                  <w:sz w:val="16"/>
                  <w:szCs w:val="16"/>
                  <w:color w:val="0000EE"/>
                  <w:w w:val="98"/>
                </w:rPr>
                <w:t>Indenture, dated as of September 22, 2023, by and between the Registrant, as issuer, and Deutsche Bank Trust Company Americas,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37">
              <w:r>
                <w:rPr>
                  <w:rFonts w:ascii="Times New Roman" w:cs="Times New Roman" w:eastAsia="Times New Roman" w:hAnsi="Times New Roman"/>
                  <w:sz w:val="16"/>
                  <w:szCs w:val="16"/>
                  <w:color w:val="0000EE"/>
                </w:rPr>
                <w:t xml:space="preserve">trustee, constituting </w:t>
              </w:r>
              <w:r>
                <w:rPr>
                  <w:rFonts w:ascii="Times New Roman" w:cs="Times New Roman" w:eastAsia="Times New Roman" w:hAnsi="Times New Roman"/>
                  <w:sz w:val="16"/>
                  <w:szCs w:val="16"/>
                  <w:u w:val="single" w:color="auto"/>
                  <w:color w:val="0000EE"/>
                </w:rPr>
                <w:t>US$</w:t>
              </w:r>
              <w:r>
                <w:rPr>
                  <w:rFonts w:ascii="Times New Roman" w:cs="Times New Roman" w:eastAsia="Times New Roman" w:hAnsi="Times New Roman"/>
                  <w:sz w:val="16"/>
                  <w:szCs w:val="16"/>
                  <w:color w:val="0000EE"/>
                </w:rPr>
                <w:t>500 million 3.875% Convertible Senior Notes due 2029 (incorporated by reference to Exhibit 4.43 of the</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4.40</w:t>
            </w:r>
          </w:p>
        </w:tc>
        <w:tc>
          <w:tcPr>
            <w:tcW w:w="8460" w:type="dxa"/>
            <w:vAlign w:val="bottom"/>
            <w:gridSpan w:val="11"/>
          </w:tcPr>
          <w:p>
            <w:pPr>
              <w:spacing w:after="0" w:line="166" w:lineRule="exact"/>
              <w:rPr>
                <w:rFonts w:ascii="Times New Roman" w:cs="Times New Roman" w:eastAsia="Times New Roman" w:hAnsi="Times New Roman"/>
                <w:sz w:val="16"/>
                <w:szCs w:val="16"/>
                <w:color w:val="0000EE"/>
              </w:rPr>
            </w:pPr>
            <w:hyperlink r:id="rId237">
              <w:r>
                <w:rPr>
                  <w:rFonts w:ascii="Times New Roman" w:cs="Times New Roman" w:eastAsia="Times New Roman" w:hAnsi="Times New Roman"/>
                  <w:sz w:val="16"/>
                  <w:szCs w:val="16"/>
                  <w:color w:val="0000EE"/>
                </w:rPr>
                <w:t>Company’s Report on Form 20-F (File No. 001-38638), filed with the SEC on April 8, 2025)</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37">
              <w:r>
                <w:rPr>
                  <w:rFonts w:ascii="Times New Roman" w:cs="Times New Roman" w:eastAsia="Times New Roman" w:hAnsi="Times New Roman"/>
                  <w:sz w:val="16"/>
                  <w:szCs w:val="16"/>
                  <w:color w:val="0000EE"/>
                </w:rPr>
                <w:t>Form of 3.875% Convertible Senior Notes due 2029 (included in Exhibit 4.43) (incorporated by reference to Exhibit 4.44 of the</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4.41</w:t>
            </w:r>
          </w:p>
        </w:tc>
        <w:tc>
          <w:tcPr>
            <w:tcW w:w="8460" w:type="dxa"/>
            <w:vAlign w:val="bottom"/>
            <w:gridSpan w:val="11"/>
          </w:tcPr>
          <w:p>
            <w:pPr>
              <w:spacing w:after="0" w:line="166" w:lineRule="exact"/>
              <w:rPr>
                <w:rFonts w:ascii="Times New Roman" w:cs="Times New Roman" w:eastAsia="Times New Roman" w:hAnsi="Times New Roman"/>
                <w:sz w:val="16"/>
                <w:szCs w:val="16"/>
                <w:color w:val="0000EE"/>
              </w:rPr>
            </w:pPr>
            <w:hyperlink r:id="rId237">
              <w:r>
                <w:rPr>
                  <w:rFonts w:ascii="Times New Roman" w:cs="Times New Roman" w:eastAsia="Times New Roman" w:hAnsi="Times New Roman"/>
                  <w:sz w:val="16"/>
                  <w:szCs w:val="16"/>
                  <w:color w:val="0000EE"/>
                </w:rPr>
                <w:t>Company’s Report on Form 20-F (File No. 001-38638), filed with the SEC on April 8, 2025)</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w w:val="98"/>
              </w:rPr>
            </w:pPr>
            <w:hyperlink r:id="rId238">
              <w:r>
                <w:rPr>
                  <w:rFonts w:ascii="Times New Roman" w:cs="Times New Roman" w:eastAsia="Times New Roman" w:hAnsi="Times New Roman"/>
                  <w:sz w:val="16"/>
                  <w:szCs w:val="16"/>
                  <w:color w:val="0000EE"/>
                  <w:w w:val="98"/>
                </w:rPr>
                <w:t>Indenture, dated as of September 22, 2023, by and between the Registrant, as issuer, and Deutsche Bank Trust Company Americas,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38">
              <w:r>
                <w:rPr>
                  <w:rFonts w:ascii="Times New Roman" w:cs="Times New Roman" w:eastAsia="Times New Roman" w:hAnsi="Times New Roman"/>
                  <w:sz w:val="16"/>
                  <w:szCs w:val="16"/>
                  <w:color w:val="0000EE"/>
                </w:rPr>
                <w:t xml:space="preserve">trustee, constituting </w:t>
              </w:r>
              <w:r>
                <w:rPr>
                  <w:rFonts w:ascii="Times New Roman" w:cs="Times New Roman" w:eastAsia="Times New Roman" w:hAnsi="Times New Roman"/>
                  <w:sz w:val="16"/>
                  <w:szCs w:val="16"/>
                  <w:u w:val="single" w:color="auto"/>
                  <w:color w:val="0000EE"/>
                </w:rPr>
                <w:t>US$</w:t>
              </w:r>
              <w:r>
                <w:rPr>
                  <w:rFonts w:ascii="Times New Roman" w:cs="Times New Roman" w:eastAsia="Times New Roman" w:hAnsi="Times New Roman"/>
                  <w:sz w:val="16"/>
                  <w:szCs w:val="16"/>
                  <w:color w:val="0000EE"/>
                </w:rPr>
                <w:t>500 million 4.625% Convertible Senior Notes due 2030 (incorporated by reference to Exhibit 4.45 of the</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4.42</w:t>
            </w:r>
          </w:p>
        </w:tc>
        <w:tc>
          <w:tcPr>
            <w:tcW w:w="8460" w:type="dxa"/>
            <w:vAlign w:val="bottom"/>
            <w:gridSpan w:val="11"/>
          </w:tcPr>
          <w:p>
            <w:pPr>
              <w:spacing w:after="0" w:line="166" w:lineRule="exact"/>
              <w:rPr>
                <w:rFonts w:ascii="Times New Roman" w:cs="Times New Roman" w:eastAsia="Times New Roman" w:hAnsi="Times New Roman"/>
                <w:sz w:val="16"/>
                <w:szCs w:val="16"/>
                <w:color w:val="0000EE"/>
              </w:rPr>
            </w:pPr>
            <w:hyperlink r:id="rId238">
              <w:r>
                <w:rPr>
                  <w:rFonts w:ascii="Times New Roman" w:cs="Times New Roman" w:eastAsia="Times New Roman" w:hAnsi="Times New Roman"/>
                  <w:sz w:val="16"/>
                  <w:szCs w:val="16"/>
                  <w:color w:val="0000EE"/>
                </w:rPr>
                <w:t>Company’s Report on Form 20-F (File No. 001-38638), filed with the SEC on April 8, 2025)</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38">
              <w:r>
                <w:rPr>
                  <w:rFonts w:ascii="Times New Roman" w:cs="Times New Roman" w:eastAsia="Times New Roman" w:hAnsi="Times New Roman"/>
                  <w:sz w:val="16"/>
                  <w:szCs w:val="16"/>
                  <w:color w:val="0000EE"/>
                </w:rPr>
                <w:t>Form of 4.625% Convertible Senior Notes due 2030 (included in Exhibit 4.45) (incorporated by reference to Exhibit 4.46 of the</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4.43</w:t>
            </w:r>
          </w:p>
        </w:tc>
        <w:tc>
          <w:tcPr>
            <w:tcW w:w="8460" w:type="dxa"/>
            <w:vAlign w:val="bottom"/>
            <w:gridSpan w:val="11"/>
          </w:tcPr>
          <w:p>
            <w:pPr>
              <w:spacing w:after="0" w:line="166" w:lineRule="exact"/>
              <w:rPr>
                <w:rFonts w:ascii="Times New Roman" w:cs="Times New Roman" w:eastAsia="Times New Roman" w:hAnsi="Times New Roman"/>
                <w:sz w:val="16"/>
                <w:szCs w:val="16"/>
                <w:color w:val="0000EE"/>
              </w:rPr>
            </w:pPr>
            <w:hyperlink r:id="rId238">
              <w:r>
                <w:rPr>
                  <w:rFonts w:ascii="Times New Roman" w:cs="Times New Roman" w:eastAsia="Times New Roman" w:hAnsi="Times New Roman"/>
                  <w:sz w:val="16"/>
                  <w:szCs w:val="16"/>
                  <w:color w:val="0000EE"/>
                </w:rPr>
                <w:t>Company’s Report on Form 20-F (File No. 001-38638), filed with the SEC on April 8, 2025)</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39">
              <w:r>
                <w:rPr>
                  <w:rFonts w:ascii="Times New Roman" w:cs="Times New Roman" w:eastAsia="Times New Roman" w:hAnsi="Times New Roman"/>
                  <w:sz w:val="16"/>
                  <w:szCs w:val="16"/>
                  <w:color w:val="0000EE"/>
                </w:rPr>
                <w:t>Share Subscription Agreement, dated December 18, 2023, by and between the Registrant and CYVN Investments RSC Ltd</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gridSpan w:val="11"/>
          </w:tcPr>
          <w:p>
            <w:pPr>
              <w:spacing w:after="0" w:line="166" w:lineRule="exact"/>
              <w:rPr>
                <w:rFonts w:ascii="Times New Roman" w:cs="Times New Roman" w:eastAsia="Times New Roman" w:hAnsi="Times New Roman"/>
                <w:sz w:val="16"/>
                <w:szCs w:val="16"/>
                <w:color w:val="0000EE"/>
                <w:w w:val="98"/>
              </w:rPr>
            </w:pPr>
            <w:hyperlink r:id="rId239">
              <w:r>
                <w:rPr>
                  <w:rFonts w:ascii="Times New Roman" w:cs="Times New Roman" w:eastAsia="Times New Roman" w:hAnsi="Times New Roman"/>
                  <w:sz w:val="16"/>
                  <w:szCs w:val="16"/>
                  <w:color w:val="0000EE"/>
                  <w:w w:val="98"/>
                </w:rPr>
                <w:t>(incorporated by reference to Exhibit 4.46 of the Company’s Report on Form 20-F (File No. 001-38638), filed with the SEC on April</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4.44*</w:t>
            </w:r>
          </w:p>
        </w:tc>
        <w:tc>
          <w:tcPr>
            <w:tcW w:w="540" w:type="dxa"/>
            <w:vAlign w:val="bottom"/>
            <w:tcBorders>
              <w:top w:val="single" w:sz="8" w:color="0000EE"/>
              <w:bottom w:val="single" w:sz="8" w:color="0000EE"/>
            </w:tcBorders>
            <w:gridSpan w:val="2"/>
          </w:tcPr>
          <w:p>
            <w:pPr>
              <w:spacing w:after="0" w:line="166" w:lineRule="exact"/>
              <w:rPr>
                <w:rFonts w:ascii="Times New Roman" w:cs="Times New Roman" w:eastAsia="Times New Roman" w:hAnsi="Times New Roman"/>
                <w:sz w:val="16"/>
                <w:szCs w:val="16"/>
                <w:color w:val="0000EE"/>
                <w:w w:val="97"/>
              </w:rPr>
            </w:pPr>
            <w:hyperlink r:id="rId239">
              <w:r>
                <w:rPr>
                  <w:rFonts w:ascii="Times New Roman" w:cs="Times New Roman" w:eastAsia="Times New Roman" w:hAnsi="Times New Roman"/>
                  <w:sz w:val="16"/>
                  <w:szCs w:val="16"/>
                  <w:color w:val="0000EE"/>
                  <w:w w:val="97"/>
                </w:rPr>
                <w:t>9, 2024)</w:t>
              </w:r>
            </w:hyperlink>
          </w:p>
        </w:tc>
        <w:tc>
          <w:tcPr>
            <w:tcW w:w="4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780" w:type="dxa"/>
            <w:vAlign w:val="bottom"/>
            <w:tcBorders>
              <w:top w:val="single" w:sz="8" w:color="0000EE"/>
            </w:tcBorders>
          </w:tcPr>
          <w:p>
            <w:pPr>
              <w:spacing w:after="0"/>
              <w:rPr>
                <w:sz w:val="14"/>
                <w:szCs w:val="14"/>
                <w:color w:val="auto"/>
              </w:rPr>
            </w:pPr>
          </w:p>
        </w:tc>
        <w:tc>
          <w:tcPr>
            <w:tcW w:w="200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sz w:val="20"/>
                <w:szCs w:val="20"/>
                <w:color w:val="auto"/>
              </w:rPr>
            </w:pPr>
            <w:r>
              <w:rPr>
                <w:rFonts w:ascii="Times New Roman" w:cs="Times New Roman" w:eastAsia="Times New Roman" w:hAnsi="Times New Roman"/>
                <w:sz w:val="16"/>
                <w:szCs w:val="16"/>
                <w:color w:val="0000EE"/>
              </w:rPr>
              <w:t>Supplemental Agreement to Share Subscription Agreement, dated March 7, 2026, by and between the Registrant and CYVN</w:t>
            </w:r>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4.45†</w:t>
            </w:r>
          </w:p>
        </w:tc>
        <w:tc>
          <w:tcPr>
            <w:tcW w:w="8460" w:type="dxa"/>
            <w:vAlign w:val="bottom"/>
            <w:gridSpan w:val="11"/>
          </w:tcPr>
          <w:p>
            <w:pPr>
              <w:spacing w:after="0" w:line="166" w:lineRule="exact"/>
              <w:rPr>
                <w:sz w:val="20"/>
                <w:szCs w:val="20"/>
                <w:color w:val="auto"/>
              </w:rPr>
            </w:pPr>
            <w:r>
              <w:rPr>
                <w:rFonts w:ascii="Times New Roman" w:cs="Times New Roman" w:eastAsia="Times New Roman" w:hAnsi="Times New Roman"/>
                <w:sz w:val="16"/>
                <w:szCs w:val="16"/>
                <w:color w:val="0000EE"/>
              </w:rPr>
              <w:t>Investments RSC Ltd.</w:t>
            </w: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w w:val="98"/>
              </w:rPr>
            </w:pPr>
            <w:hyperlink r:id="rId240">
              <w:r>
                <w:rPr>
                  <w:rFonts w:ascii="Times New Roman" w:cs="Times New Roman" w:eastAsia="Times New Roman" w:hAnsi="Times New Roman"/>
                  <w:sz w:val="16"/>
                  <w:szCs w:val="16"/>
                  <w:color w:val="0000EE"/>
                  <w:w w:val="98"/>
                </w:rPr>
                <w:t>Technology License Agreement, dated February 26, 2024, by and between NIO Technology (Anhui) Co., Ltd. and Forseven Limited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gridSpan w:val="11"/>
          </w:tcPr>
          <w:p>
            <w:pPr>
              <w:spacing w:after="0" w:line="166" w:lineRule="exact"/>
              <w:rPr>
                <w:rFonts w:ascii="Times New Roman" w:cs="Times New Roman" w:eastAsia="Times New Roman" w:hAnsi="Times New Roman"/>
                <w:sz w:val="16"/>
                <w:szCs w:val="16"/>
                <w:color w:val="0000EE"/>
                <w:w w:val="98"/>
              </w:rPr>
            </w:pPr>
            <w:hyperlink r:id="rId240">
              <w:r>
                <w:rPr>
                  <w:rFonts w:ascii="Times New Roman" w:cs="Times New Roman" w:eastAsia="Times New Roman" w:hAnsi="Times New Roman"/>
                  <w:sz w:val="16"/>
                  <w:szCs w:val="16"/>
                  <w:color w:val="0000EE"/>
                  <w:w w:val="98"/>
                </w:rPr>
                <w:t>(incorporated by reference to Exhibit 4.48 of the Company’s Report on Form 20-F (File No. 001-38638), filed with the SEC on April</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4.46*</w:t>
            </w:r>
          </w:p>
        </w:tc>
        <w:tc>
          <w:tcPr>
            <w:tcW w:w="520" w:type="dxa"/>
            <w:vAlign w:val="bottom"/>
            <w:tcBorders>
              <w:top w:val="single" w:sz="8" w:color="0000EE"/>
              <w:bottom w:val="single" w:sz="8" w:color="0000EE"/>
            </w:tcBorders>
          </w:tcPr>
          <w:p>
            <w:pPr>
              <w:spacing w:after="0" w:line="166" w:lineRule="exact"/>
              <w:rPr>
                <w:rFonts w:ascii="Times New Roman" w:cs="Times New Roman" w:eastAsia="Times New Roman" w:hAnsi="Times New Roman"/>
                <w:sz w:val="16"/>
                <w:szCs w:val="16"/>
                <w:color w:val="0000EE"/>
                <w:w w:val="93"/>
              </w:rPr>
            </w:pPr>
            <w:hyperlink r:id="rId240">
              <w:r>
                <w:rPr>
                  <w:rFonts w:ascii="Times New Roman" w:cs="Times New Roman" w:eastAsia="Times New Roman" w:hAnsi="Times New Roman"/>
                  <w:sz w:val="16"/>
                  <w:szCs w:val="16"/>
                  <w:color w:val="0000EE"/>
                  <w:w w:val="93"/>
                </w:rPr>
                <w:t>9, 2024)</w:t>
              </w:r>
            </w:hyperlink>
          </w:p>
        </w:tc>
        <w:tc>
          <w:tcPr>
            <w:tcW w:w="2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780" w:type="dxa"/>
            <w:vAlign w:val="bottom"/>
            <w:tcBorders>
              <w:top w:val="single" w:sz="8" w:color="0000EE"/>
            </w:tcBorders>
          </w:tcPr>
          <w:p>
            <w:pPr>
              <w:spacing w:after="0"/>
              <w:rPr>
                <w:sz w:val="14"/>
                <w:szCs w:val="14"/>
                <w:color w:val="auto"/>
              </w:rPr>
            </w:pPr>
          </w:p>
        </w:tc>
        <w:tc>
          <w:tcPr>
            <w:tcW w:w="200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sz w:val="20"/>
                <w:szCs w:val="20"/>
                <w:color w:val="auto"/>
              </w:rPr>
            </w:pPr>
            <w:r>
              <w:rPr>
                <w:rFonts w:ascii="Times New Roman" w:cs="Times New Roman" w:eastAsia="Times New Roman" w:hAnsi="Times New Roman"/>
                <w:sz w:val="16"/>
                <w:szCs w:val="16"/>
                <w:color w:val="0000EE"/>
                <w:w w:val="99"/>
              </w:rPr>
              <w:t>Deed of Novation and Variation, dated August 11, 2026, by and between NIO Technology (Anhui) Co., Ltd., Forseven Limited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4.47</w:t>
            </w:r>
          </w:p>
        </w:tc>
        <w:tc>
          <w:tcPr>
            <w:tcW w:w="8460" w:type="dxa"/>
            <w:vAlign w:val="bottom"/>
            <w:gridSpan w:val="11"/>
          </w:tcPr>
          <w:p>
            <w:pPr>
              <w:spacing w:after="0" w:line="166" w:lineRule="exact"/>
              <w:rPr>
                <w:sz w:val="20"/>
                <w:szCs w:val="20"/>
                <w:color w:val="auto"/>
              </w:rPr>
            </w:pPr>
            <w:r>
              <w:rPr>
                <w:rFonts w:ascii="Times New Roman" w:cs="Times New Roman" w:eastAsia="Times New Roman" w:hAnsi="Times New Roman"/>
                <w:sz w:val="16"/>
                <w:szCs w:val="16"/>
                <w:color w:val="0000EE"/>
              </w:rPr>
              <w:t>McLaren Automotive Limited</w:t>
            </w: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41">
              <w:r>
                <w:rPr>
                  <w:rFonts w:ascii="Times New Roman" w:cs="Times New Roman" w:eastAsia="Times New Roman" w:hAnsi="Times New Roman"/>
                  <w:sz w:val="16"/>
                  <w:szCs w:val="16"/>
                  <w:color w:val="0000EE"/>
                </w:rPr>
                <w:t>English translation of NIO China Series B Investment Agreement, dated September 30, 2024, by and among Hefei Jianheng New</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w w:val="97"/>
              </w:rPr>
            </w:pPr>
            <w:hyperlink r:id="rId241">
              <w:r>
                <w:rPr>
                  <w:rFonts w:ascii="Times New Roman" w:cs="Times New Roman" w:eastAsia="Times New Roman" w:hAnsi="Times New Roman"/>
                  <w:sz w:val="16"/>
                  <w:szCs w:val="16"/>
                  <w:color w:val="0000EE"/>
                  <w:w w:val="97"/>
                </w:rPr>
                <w:t>Energy Automobile Investment Fund Partnership (Limited Partnership), Anhui Provincial Emerging Industry Investment Co., Ltd., CS</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41">
              <w:r>
                <w:rPr>
                  <w:rFonts w:ascii="Times New Roman" w:cs="Times New Roman" w:eastAsia="Times New Roman" w:hAnsi="Times New Roman"/>
                  <w:sz w:val="16"/>
                  <w:szCs w:val="16"/>
                  <w:color w:val="0000EE"/>
                </w:rPr>
                <w:t>Capital Co., Ltd., the Registrant, Nio Nextev Limited, NIO User Enterprise Limited, NIO Power Express Limited and NIO Holding</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w w:val="98"/>
              </w:rPr>
            </w:pPr>
            <w:hyperlink r:id="rId241">
              <w:r>
                <w:rPr>
                  <w:rFonts w:ascii="Times New Roman" w:cs="Times New Roman" w:eastAsia="Times New Roman" w:hAnsi="Times New Roman"/>
                  <w:sz w:val="16"/>
                  <w:szCs w:val="16"/>
                  <w:color w:val="0000EE"/>
                  <w:w w:val="98"/>
                </w:rPr>
                <w:t>Co., Ltd. (incorporated by reference to Exhibit 4.50 of the Company’s Report on Form 20-F (File No. 001-38638), filed with the SEC</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4.48</w:t>
            </w:r>
          </w:p>
        </w:tc>
        <w:tc>
          <w:tcPr>
            <w:tcW w:w="8460" w:type="dxa"/>
            <w:vAlign w:val="bottom"/>
            <w:gridSpan w:val="11"/>
          </w:tcPr>
          <w:p>
            <w:pPr>
              <w:spacing w:after="0" w:line="166" w:lineRule="exact"/>
              <w:rPr>
                <w:rFonts w:ascii="Times New Roman" w:cs="Times New Roman" w:eastAsia="Times New Roman" w:hAnsi="Times New Roman"/>
                <w:sz w:val="16"/>
                <w:szCs w:val="16"/>
                <w:color w:val="0000EE"/>
              </w:rPr>
            </w:pPr>
            <w:hyperlink r:id="rId241">
              <w:r>
                <w:rPr>
                  <w:rFonts w:ascii="Times New Roman" w:cs="Times New Roman" w:eastAsia="Times New Roman" w:hAnsi="Times New Roman"/>
                  <w:sz w:val="16"/>
                  <w:szCs w:val="16"/>
                  <w:color w:val="0000EE"/>
                </w:rPr>
                <w:t>on April 8, 2025)</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rPr>
            </w:pPr>
            <w:hyperlink r:id="rId242">
              <w:r>
                <w:rPr>
                  <w:rFonts w:ascii="Times New Roman" w:cs="Times New Roman" w:eastAsia="Times New Roman" w:hAnsi="Times New Roman"/>
                  <w:sz w:val="16"/>
                  <w:szCs w:val="16"/>
                  <w:color w:val="0000EE"/>
                </w:rPr>
                <w:t>English translation of NIO China Shareholders Agreement, dated September 30, 2024, by and among Hefei Jianheng New Energy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w w:val="97"/>
              </w:rPr>
            </w:pPr>
            <w:hyperlink r:id="rId242">
              <w:r>
                <w:rPr>
                  <w:rFonts w:ascii="Times New Roman" w:cs="Times New Roman" w:eastAsia="Times New Roman" w:hAnsi="Times New Roman"/>
                  <w:sz w:val="16"/>
                  <w:szCs w:val="16"/>
                  <w:color w:val="0000EE"/>
                  <w:w w:val="97"/>
                </w:rPr>
                <w:t>Automobile Investment Fund Partnership (Limited Partnership), CS Capital Co., Ltd., Anhui Provincial Emerging Industry Investment</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rPr>
            </w:pPr>
            <w:hyperlink r:id="rId242">
              <w:r>
                <w:rPr>
                  <w:rFonts w:ascii="Times New Roman" w:cs="Times New Roman" w:eastAsia="Times New Roman" w:hAnsi="Times New Roman"/>
                  <w:sz w:val="16"/>
                  <w:szCs w:val="16"/>
                  <w:color w:val="0000EE"/>
                </w:rPr>
                <w:t>Co., Ltd., Anhui Provincial Sanzhong Yichuang Industry Development Fund Co., Ltd., Anhui Jintong New Energy Automobile II</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w w:val="99"/>
              </w:rPr>
            </w:pPr>
            <w:hyperlink r:id="rId242">
              <w:r>
                <w:rPr>
                  <w:rFonts w:ascii="Times New Roman" w:cs="Times New Roman" w:eastAsia="Times New Roman" w:hAnsi="Times New Roman"/>
                  <w:sz w:val="16"/>
                  <w:szCs w:val="16"/>
                  <w:color w:val="0000EE"/>
                  <w:w w:val="99"/>
                </w:rPr>
                <w:t>Fund Partnership (Limited Partnership), Advanced Manufacturing Industry Investment Fund II (Limited Partnership), the Registrant,</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rPr>
            </w:pPr>
            <w:hyperlink r:id="rId242">
              <w:r>
                <w:rPr>
                  <w:rFonts w:ascii="Times New Roman" w:cs="Times New Roman" w:eastAsia="Times New Roman" w:hAnsi="Times New Roman"/>
                  <w:sz w:val="16"/>
                  <w:szCs w:val="16"/>
                  <w:color w:val="0000EE"/>
                </w:rPr>
                <w:t>Nio Nextev Limited, NIO User Enterprise Limited, NIO Power Express Limited and NIO Holding Co., Ltd. (incorporated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4.49</w:t>
            </w:r>
          </w:p>
        </w:tc>
        <w:tc>
          <w:tcPr>
            <w:tcW w:w="7820" w:type="dxa"/>
            <w:vAlign w:val="bottom"/>
            <w:tcBorders>
              <w:bottom w:val="single" w:sz="8" w:color="0000EE"/>
            </w:tcBorders>
            <w:gridSpan w:val="9"/>
          </w:tcPr>
          <w:p>
            <w:pPr>
              <w:spacing w:after="0" w:line="166" w:lineRule="exact"/>
              <w:rPr>
                <w:rFonts w:ascii="Times New Roman" w:cs="Times New Roman" w:eastAsia="Times New Roman" w:hAnsi="Times New Roman"/>
                <w:sz w:val="16"/>
                <w:szCs w:val="16"/>
                <w:color w:val="0000EE"/>
                <w:w w:val="97"/>
              </w:rPr>
            </w:pPr>
            <w:hyperlink r:id="rId242">
              <w:r>
                <w:rPr>
                  <w:rFonts w:ascii="Times New Roman" w:cs="Times New Roman" w:eastAsia="Times New Roman" w:hAnsi="Times New Roman"/>
                  <w:sz w:val="16"/>
                  <w:szCs w:val="16"/>
                  <w:color w:val="0000EE"/>
                  <w:w w:val="97"/>
                </w:rPr>
                <w:t>reference to Exhibit 4.51 of the Company’s Report on Form 20-F (File No. 001-38638), filed with the SEC on April 8, 2025)</w:t>
              </w:r>
            </w:hyperlink>
          </w:p>
        </w:tc>
        <w:tc>
          <w:tcPr>
            <w:tcW w:w="6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w w:val="99"/>
              </w:rPr>
            </w:pPr>
            <w:hyperlink r:id="rId243">
              <w:r>
                <w:rPr>
                  <w:rFonts w:ascii="Times New Roman" w:cs="Times New Roman" w:eastAsia="Times New Roman" w:hAnsi="Times New Roman"/>
                  <w:sz w:val="16"/>
                  <w:szCs w:val="16"/>
                  <w:color w:val="0000EE"/>
                  <w:w w:val="99"/>
                </w:rPr>
                <w:t>English translation of Amendment and Supplemental Agreement to NIO China Series B Investment Agreement, dated December 28,</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43">
              <w:r>
                <w:rPr>
                  <w:rFonts w:ascii="Times New Roman" w:cs="Times New Roman" w:eastAsia="Times New Roman" w:hAnsi="Times New Roman"/>
                  <w:sz w:val="16"/>
                  <w:szCs w:val="16"/>
                  <w:color w:val="0000EE"/>
                </w:rPr>
                <w:t>2024, by and among with Hefei Jianheng New Energy Automobile Investment Fund Partnership (Limited Partnership), Hefei</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43">
              <w:r>
                <w:rPr>
                  <w:rFonts w:ascii="Times New Roman" w:cs="Times New Roman" w:eastAsia="Times New Roman" w:hAnsi="Times New Roman"/>
                  <w:sz w:val="16"/>
                  <w:szCs w:val="16"/>
                  <w:color w:val="0000EE"/>
                </w:rPr>
                <w:t>Jianxiang Investment Co., Ltd., CS Capital Co., Ltd., Anhui Provincial Emerging Industry Investment Co., Ltd., Anhui Emerging</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rPr>
            </w:pPr>
            <w:hyperlink r:id="rId243">
              <w:r>
                <w:rPr>
                  <w:rFonts w:ascii="Times New Roman" w:cs="Times New Roman" w:eastAsia="Times New Roman" w:hAnsi="Times New Roman"/>
                  <w:sz w:val="16"/>
                  <w:szCs w:val="16"/>
                  <w:color w:val="0000EE"/>
                </w:rPr>
                <w:t>Industry Yuwen Weiyuan Technology Partnership Enterprise (Limited Partnership), the Registrant, Nio Nextev Limited, NIO User</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rPr>
            </w:pPr>
            <w:hyperlink r:id="rId243">
              <w:r>
                <w:rPr>
                  <w:rFonts w:ascii="Times New Roman" w:cs="Times New Roman" w:eastAsia="Times New Roman" w:hAnsi="Times New Roman"/>
                  <w:sz w:val="16"/>
                  <w:szCs w:val="16"/>
                  <w:color w:val="0000EE"/>
                </w:rPr>
                <w:t>Enterprise Limited, NIO Power Express Limited and NIO Holding Co., Ltd. (incorporated by reference to Exhibit 4.52 of the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60" w:type="dxa"/>
            <w:vAlign w:val="bottom"/>
            <w:gridSpan w:val="11"/>
          </w:tcPr>
          <w:p>
            <w:pPr>
              <w:spacing w:after="0" w:line="166" w:lineRule="exact"/>
              <w:rPr>
                <w:rFonts w:ascii="Times New Roman" w:cs="Times New Roman" w:eastAsia="Times New Roman" w:hAnsi="Times New Roman"/>
                <w:sz w:val="16"/>
                <w:szCs w:val="16"/>
                <w:color w:val="0000EE"/>
              </w:rPr>
            </w:pPr>
            <w:hyperlink r:id="rId243">
              <w:r>
                <w:rPr>
                  <w:rFonts w:ascii="Times New Roman" w:cs="Times New Roman" w:eastAsia="Times New Roman" w:hAnsi="Times New Roman"/>
                  <w:sz w:val="16"/>
                  <w:szCs w:val="16"/>
                  <w:color w:val="0000EE"/>
                </w:rPr>
                <w:t>Company’s Report on Form 20-F (File No. 001-38638), filed with the SEC on April 8, 2025)</w:t>
              </w:r>
            </w:hyperlink>
          </w:p>
        </w:tc>
        <w:tc>
          <w:tcPr>
            <w:tcW w:w="0" w:type="dxa"/>
            <w:vAlign w:val="bottom"/>
          </w:tcPr>
          <w:p>
            <w:pPr>
              <w:spacing w:after="0"/>
              <w:rPr>
                <w:sz w:val="1"/>
                <w:szCs w:val="1"/>
                <w:color w:val="auto"/>
              </w:rPr>
            </w:pPr>
          </w:p>
        </w:tc>
      </w:tr>
      <w:tr>
        <w:trPr>
          <w:trHeight w:val="612"/>
        </w:trPr>
        <w:tc>
          <w:tcPr>
            <w:tcW w:w="1480" w:type="dxa"/>
            <w:vAlign w:val="bottom"/>
          </w:tcPr>
          <w:p>
            <w:pPr>
              <w:spacing w:after="0"/>
              <w:rPr>
                <w:sz w:val="24"/>
                <w:szCs w:val="24"/>
                <w:color w:val="auto"/>
              </w:rPr>
            </w:pPr>
          </w:p>
        </w:tc>
        <w:tc>
          <w:tcPr>
            <w:tcW w:w="5820" w:type="dxa"/>
            <w:vAlign w:val="bottom"/>
            <w:tcBorders>
              <w:top w:val="single" w:sz="8" w:color="0000EE"/>
            </w:tcBorders>
            <w:gridSpan w:val="8"/>
          </w:tcPr>
          <w:p>
            <w:pPr>
              <w:ind w:left="3360"/>
              <w:spacing w:after="0"/>
              <w:rPr>
                <w:sz w:val="20"/>
                <w:szCs w:val="20"/>
                <w:color w:val="auto"/>
              </w:rPr>
            </w:pPr>
            <w:r>
              <w:rPr>
                <w:rFonts w:ascii="Times New Roman" w:cs="Times New Roman" w:eastAsia="Times New Roman" w:hAnsi="Times New Roman"/>
                <w:sz w:val="16"/>
                <w:szCs w:val="16"/>
                <w:color w:val="auto"/>
              </w:rPr>
              <w:t>179</w:t>
            </w:r>
          </w:p>
        </w:tc>
        <w:tc>
          <w:tcPr>
            <w:tcW w:w="2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4.50</w:t>
            </w:r>
          </w:p>
        </w:tc>
        <w:tc>
          <w:tcPr>
            <w:tcW w:w="844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w w:val="99"/>
              </w:rPr>
            </w:pPr>
            <w:hyperlink r:id="rId244">
              <w:r>
                <w:rPr>
                  <w:rFonts w:ascii="Times New Roman" w:cs="Times New Roman" w:eastAsia="Times New Roman" w:hAnsi="Times New Roman"/>
                  <w:sz w:val="16"/>
                  <w:szCs w:val="16"/>
                  <w:color w:val="0000EE"/>
                  <w:w w:val="99"/>
                </w:rPr>
                <w:t>English translation of Amendment and Supplemental Agreement to NIO China Shareholders Agreement, dated December 28, 2024,</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44">
              <w:r>
                <w:rPr>
                  <w:rFonts w:ascii="Times New Roman" w:cs="Times New Roman" w:eastAsia="Times New Roman" w:hAnsi="Times New Roman"/>
                  <w:sz w:val="16"/>
                  <w:szCs w:val="16"/>
                  <w:color w:val="0000EE"/>
                </w:rPr>
                <w:t>by and among Hefei Jianheng New Energy Automobile Investment Fund Partnership (Limited Partnership), Hefei Jianxiang</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44">
              <w:r>
                <w:rPr>
                  <w:rFonts w:ascii="Times New Roman" w:cs="Times New Roman" w:eastAsia="Times New Roman" w:hAnsi="Times New Roman"/>
                  <w:sz w:val="16"/>
                  <w:szCs w:val="16"/>
                  <w:color w:val="0000EE"/>
                </w:rPr>
                <w:t>Investment Co., Ltd., CS Capital Co., Ltd., Anhui Provincial Emerging Industry Investment Co., Ltd., Anhui Emerging Industry</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44">
              <w:r>
                <w:rPr>
                  <w:rFonts w:ascii="Times New Roman" w:cs="Times New Roman" w:eastAsia="Times New Roman" w:hAnsi="Times New Roman"/>
                  <w:sz w:val="16"/>
                  <w:szCs w:val="16"/>
                  <w:color w:val="0000EE"/>
                </w:rPr>
                <w:t>Yuwen  Weiyuan  Technology  Partnership  Enterprise  (Limited  Partnership),  Anhui  Provincial  Sanzhong  Yichuang  Industry</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rPr>
            </w:pPr>
            <w:hyperlink r:id="rId244">
              <w:r>
                <w:rPr>
                  <w:rFonts w:ascii="Times New Roman" w:cs="Times New Roman" w:eastAsia="Times New Roman" w:hAnsi="Times New Roman"/>
                  <w:sz w:val="16"/>
                  <w:szCs w:val="16"/>
                  <w:color w:val="0000EE"/>
                </w:rPr>
                <w:t>Development Fund Co., Ltd., Anhui Jintong New Energy Automobile II Fund Partnership (Limited Partnership), Advanced</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44">
              <w:r>
                <w:rPr>
                  <w:rFonts w:ascii="Times New Roman" w:cs="Times New Roman" w:eastAsia="Times New Roman" w:hAnsi="Times New Roman"/>
                  <w:sz w:val="16"/>
                  <w:szCs w:val="16"/>
                  <w:color w:val="0000EE"/>
                  <w:w w:val="98"/>
                </w:rPr>
                <w:t>Manufacturing Industry Investment Fund II (Limited Partnership), the Registrant, Nio Nextev Limited, NIO User Enterprise Limited,</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44">
              <w:r>
                <w:rPr>
                  <w:rFonts w:ascii="Times New Roman" w:cs="Times New Roman" w:eastAsia="Times New Roman" w:hAnsi="Times New Roman"/>
                  <w:sz w:val="16"/>
                  <w:szCs w:val="16"/>
                  <w:color w:val="0000EE"/>
                  <w:w w:val="98"/>
                </w:rPr>
                <w:t>NIO Power Express Limited and NIO Holding Co., Ltd. (incorporated by reference to Exhibit 4.53 of the Company’s Report on Form</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4.51*</w:t>
            </w:r>
          </w:p>
        </w:tc>
        <w:tc>
          <w:tcPr>
            <w:tcW w:w="4040" w:type="dxa"/>
            <w:vAlign w:val="bottom"/>
            <w:tcBorders>
              <w:bottom w:val="single" w:sz="8" w:color="0000EE"/>
            </w:tcBorders>
            <w:gridSpan w:val="6"/>
          </w:tcPr>
          <w:p>
            <w:pPr>
              <w:spacing w:after="0" w:line="166" w:lineRule="exact"/>
              <w:rPr>
                <w:rFonts w:ascii="Times New Roman" w:cs="Times New Roman" w:eastAsia="Times New Roman" w:hAnsi="Times New Roman"/>
                <w:sz w:val="16"/>
                <w:szCs w:val="16"/>
                <w:color w:val="0000EE"/>
                <w:w w:val="97"/>
              </w:rPr>
            </w:pPr>
            <w:hyperlink r:id="rId244">
              <w:r>
                <w:rPr>
                  <w:rFonts w:ascii="Times New Roman" w:cs="Times New Roman" w:eastAsia="Times New Roman" w:hAnsi="Times New Roman"/>
                  <w:sz w:val="16"/>
                  <w:szCs w:val="16"/>
                  <w:color w:val="0000EE"/>
                  <w:w w:val="97"/>
                </w:rPr>
                <w:t>20-F (File No. 001-38638), filed with the SEC on April 8, 2025)</w:t>
              </w:r>
            </w:hyperlink>
          </w:p>
        </w:tc>
        <w:tc>
          <w:tcPr>
            <w:tcW w:w="44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w w:val="97"/>
              </w:rPr>
              <w:t>English translation of Second Amendment and Supplemental Agreement to NIO China Series B Investment Agreement, dated July 11,</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rPr>
              <w:t>2025, by and among the Registrant, Hefei Jianxiang Investment Co., Ltd., CS Capital Co., Ltd., Anhui Emerging Industry Yuwen</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rPr>
              <w:t>Weiyuan Technology Partnership Enterprise (Limited Partnership), Nio Nextev Limited, NIO User Enterprise Limited, NIO Power</w:t>
            </w:r>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4.52*</w:t>
            </w:r>
          </w:p>
        </w:tc>
        <w:tc>
          <w:tcPr>
            <w:tcW w:w="2760" w:type="dxa"/>
            <w:vAlign w:val="bottom"/>
            <w:tcBorders>
              <w:bottom w:val="single" w:sz="8" w:color="0000EE"/>
            </w:tcBorders>
            <w:gridSpan w:val="3"/>
          </w:tcPr>
          <w:p>
            <w:pPr>
              <w:spacing w:after="0" w:line="166" w:lineRule="exact"/>
              <w:rPr>
                <w:sz w:val="20"/>
                <w:szCs w:val="20"/>
                <w:color w:val="auto"/>
              </w:rPr>
            </w:pPr>
            <w:r>
              <w:rPr>
                <w:rFonts w:ascii="Times New Roman" w:cs="Times New Roman" w:eastAsia="Times New Roman" w:hAnsi="Times New Roman"/>
                <w:sz w:val="16"/>
                <w:szCs w:val="16"/>
                <w:color w:val="0000EE"/>
                <w:w w:val="97"/>
              </w:rPr>
              <w:t>Express Limited and NIO Holding Co., Ltd.</w:t>
            </w:r>
          </w:p>
        </w:tc>
        <w:tc>
          <w:tcPr>
            <w:tcW w:w="56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w w:val="99"/>
              </w:rPr>
              <w:t>English translation of Second Amendment and Supplemental Agreement to NIO China Series B Shareholder Agreement, dated July</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w w:val="98"/>
              </w:rPr>
              <w:t>11, 2025, by and among the Registrant, Hefei Jianheng New Energy Automobile Investment Fund Partnership (Limited Partnership),</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rPr>
              <w:t>Hefei Jianxiang Investment Co., Ltd., CS Capital Co., Ltd., Advanced Manufacturing Industry Investment Fund II (Limited</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w w:val="99"/>
              </w:rPr>
              <w:t>Partnership), Anhui Emerging Industry Yuwen Weiyuan Technology Partnership Enterprise (Limited Partnership), Anhui Provincial</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rPr>
              <w:t>Sanzhong Yichuang Industry Development Fund Co., Ltd., Anhui Jintong New Energy Automobile II Fund Partnership (Limited</w:t>
            </w:r>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4.53*</w:t>
            </w:r>
          </w:p>
        </w:tc>
        <w:tc>
          <w:tcPr>
            <w:tcW w:w="8440" w:type="dxa"/>
            <w:vAlign w:val="bottom"/>
            <w:gridSpan w:val="14"/>
          </w:tcPr>
          <w:p>
            <w:pPr>
              <w:spacing w:after="0" w:line="166" w:lineRule="exact"/>
              <w:rPr>
                <w:sz w:val="20"/>
                <w:szCs w:val="20"/>
                <w:color w:val="auto"/>
              </w:rPr>
            </w:pPr>
            <w:r>
              <w:rPr>
                <w:rFonts w:ascii="Times New Roman" w:cs="Times New Roman" w:eastAsia="Times New Roman" w:hAnsi="Times New Roman"/>
                <w:sz w:val="16"/>
                <w:szCs w:val="16"/>
                <w:color w:val="0000EE"/>
              </w:rPr>
              <w:t>Partnership), Nio Nextev Limited, NIO User Enterprise Limited, NIO Power Express Limited and NIO Holding Co., Ltd.</w:t>
            </w: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rPr>
              <w:t>English translation of Subscription Agreement, dated February 26, 2026, by and among the Registrant, GeniTech Co., Ltd., NIO</w:t>
            </w:r>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4.54*</w:t>
            </w:r>
          </w:p>
        </w:tc>
        <w:tc>
          <w:tcPr>
            <w:tcW w:w="5420" w:type="dxa"/>
            <w:vAlign w:val="bottom"/>
            <w:tcBorders>
              <w:bottom w:val="single" w:sz="8" w:color="0000EE"/>
            </w:tcBorders>
            <w:gridSpan w:val="12"/>
          </w:tcPr>
          <w:p>
            <w:pPr>
              <w:spacing w:after="0" w:line="166" w:lineRule="exact"/>
              <w:rPr>
                <w:sz w:val="20"/>
                <w:szCs w:val="20"/>
                <w:color w:val="auto"/>
              </w:rPr>
            </w:pPr>
            <w:r>
              <w:rPr>
                <w:rFonts w:ascii="Times New Roman" w:cs="Times New Roman" w:eastAsia="Times New Roman" w:hAnsi="Times New Roman"/>
                <w:sz w:val="16"/>
                <w:szCs w:val="16"/>
                <w:color w:val="0000EE"/>
                <w:w w:val="97"/>
              </w:rPr>
              <w:t>Technology (Anhui) Co., Ltd., and certain ESOP shareholding platforms and investors</w:t>
            </w:r>
          </w:p>
        </w:tc>
        <w:tc>
          <w:tcPr>
            <w:tcW w:w="30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rPr>
              <w:t>English translation of Shareholders Agreement, dated February 26, 2026, by and among the Registrant, GeniTech Co., Ltd., NIO</w:t>
            </w:r>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8.1*</w:t>
            </w:r>
          </w:p>
        </w:tc>
        <w:tc>
          <w:tcPr>
            <w:tcW w:w="5420" w:type="dxa"/>
            <w:vAlign w:val="bottom"/>
            <w:tcBorders>
              <w:bottom w:val="single" w:sz="8" w:color="0000EE"/>
            </w:tcBorders>
            <w:gridSpan w:val="12"/>
          </w:tcPr>
          <w:p>
            <w:pPr>
              <w:spacing w:after="0" w:line="166" w:lineRule="exact"/>
              <w:rPr>
                <w:sz w:val="20"/>
                <w:szCs w:val="20"/>
                <w:color w:val="auto"/>
              </w:rPr>
            </w:pPr>
            <w:r>
              <w:rPr>
                <w:rFonts w:ascii="Times New Roman" w:cs="Times New Roman" w:eastAsia="Times New Roman" w:hAnsi="Times New Roman"/>
                <w:sz w:val="16"/>
                <w:szCs w:val="16"/>
                <w:color w:val="0000EE"/>
                <w:w w:val="97"/>
              </w:rPr>
              <w:t>Technology (Anhui) Co., Ltd., and certain ESOP shareholding platforms and investors</w:t>
            </w:r>
          </w:p>
        </w:tc>
        <w:tc>
          <w:tcPr>
            <w:tcW w:w="30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4540" w:type="dxa"/>
            <w:vAlign w:val="bottom"/>
            <w:tcBorders>
              <w:bottom w:val="single" w:sz="8" w:color="0000EE"/>
            </w:tcBorders>
            <w:gridSpan w:val="8"/>
          </w:tcPr>
          <w:p>
            <w:pPr>
              <w:spacing w:after="0" w:line="166" w:lineRule="exact"/>
              <w:rPr>
                <w:sz w:val="20"/>
                <w:szCs w:val="20"/>
                <w:color w:val="auto"/>
              </w:rPr>
            </w:pPr>
            <w:r>
              <w:rPr>
                <w:rFonts w:ascii="Times New Roman" w:cs="Times New Roman" w:eastAsia="Times New Roman" w:hAnsi="Times New Roman"/>
                <w:sz w:val="16"/>
                <w:szCs w:val="16"/>
                <w:color w:val="0000EE"/>
                <w:w w:val="97"/>
              </w:rPr>
              <w:t>List of Principal Subsidiaries and Consolidated Variable Interest Entities</w:t>
            </w:r>
          </w:p>
        </w:tc>
        <w:tc>
          <w:tcPr>
            <w:tcW w:w="39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11.1</w:t>
            </w:r>
          </w:p>
        </w:tc>
        <w:tc>
          <w:tcPr>
            <w:tcW w:w="84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45">
              <w:r>
                <w:rPr>
                  <w:rFonts w:ascii="Times New Roman" w:cs="Times New Roman" w:eastAsia="Times New Roman" w:hAnsi="Times New Roman"/>
                  <w:sz w:val="16"/>
                  <w:szCs w:val="16"/>
                  <w:color w:val="0000EE"/>
                  <w:w w:val="98"/>
                </w:rPr>
                <w:t>Global Code of Business Conduct and Ethics of the Registrant (incorporated by reference to Exhibit 11.1 of the Company’s Report on</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11.2</w:t>
            </w:r>
          </w:p>
        </w:tc>
        <w:tc>
          <w:tcPr>
            <w:tcW w:w="8440" w:type="dxa"/>
            <w:vAlign w:val="bottom"/>
            <w:gridSpan w:val="14"/>
          </w:tcPr>
          <w:p>
            <w:pPr>
              <w:spacing w:after="0" w:line="166" w:lineRule="exact"/>
              <w:rPr>
                <w:rFonts w:ascii="Times New Roman" w:cs="Times New Roman" w:eastAsia="Times New Roman" w:hAnsi="Times New Roman"/>
                <w:sz w:val="16"/>
                <w:szCs w:val="16"/>
                <w:color w:val="0000EE"/>
              </w:rPr>
            </w:pPr>
            <w:hyperlink r:id="rId245">
              <w:r>
                <w:rPr>
                  <w:rFonts w:ascii="Times New Roman" w:cs="Times New Roman" w:eastAsia="Times New Roman" w:hAnsi="Times New Roman"/>
                  <w:sz w:val="16"/>
                  <w:szCs w:val="16"/>
                  <w:color w:val="0000EE"/>
                </w:rPr>
                <w:t>Form 20-F (File No. 001-38638), filed with the SEC on April 9, 2024)</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9"/>
              </w:rPr>
            </w:pPr>
            <w:hyperlink r:id="rId246">
              <w:r>
                <w:rPr>
                  <w:rFonts w:ascii="Times New Roman" w:cs="Times New Roman" w:eastAsia="Times New Roman" w:hAnsi="Times New Roman"/>
                  <w:sz w:val="16"/>
                  <w:szCs w:val="16"/>
                  <w:color w:val="0000EE"/>
                  <w:w w:val="99"/>
                </w:rPr>
                <w:t>Amended and Restated Statement of Policies Governing Material, Non-Public Information and the Prevention of Insider Trading of</w:t>
              </w:r>
            </w:hyperlink>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84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8"/>
              </w:rPr>
            </w:pPr>
            <w:hyperlink r:id="rId246">
              <w:r>
                <w:rPr>
                  <w:rFonts w:ascii="Times New Roman" w:cs="Times New Roman" w:eastAsia="Times New Roman" w:hAnsi="Times New Roman"/>
                  <w:sz w:val="16"/>
                  <w:szCs w:val="16"/>
                  <w:color w:val="0000EE"/>
                  <w:w w:val="98"/>
                </w:rPr>
                <w:t>the Registrant (incorporated by reference to Exhibit 11.2 of the Company’s Report on Form 20-F (File No. 001-38638), filed with the</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12.1*</w:t>
            </w:r>
          </w:p>
        </w:tc>
        <w:tc>
          <w:tcPr>
            <w:tcW w:w="8440" w:type="dxa"/>
            <w:vAlign w:val="bottom"/>
            <w:gridSpan w:val="14"/>
          </w:tcPr>
          <w:p>
            <w:pPr>
              <w:spacing w:after="0" w:line="166" w:lineRule="exact"/>
              <w:rPr>
                <w:rFonts w:ascii="Times New Roman" w:cs="Times New Roman" w:eastAsia="Times New Roman" w:hAnsi="Times New Roman"/>
                <w:sz w:val="16"/>
                <w:szCs w:val="16"/>
                <w:color w:val="0000EE"/>
              </w:rPr>
            </w:pPr>
            <w:hyperlink r:id="rId246">
              <w:r>
                <w:rPr>
                  <w:rFonts w:ascii="Times New Roman" w:cs="Times New Roman" w:eastAsia="Times New Roman" w:hAnsi="Times New Roman"/>
                  <w:sz w:val="16"/>
                  <w:szCs w:val="16"/>
                  <w:color w:val="0000EE"/>
                </w:rPr>
                <w:t>SEC on April 8, 2025)</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4920" w:type="dxa"/>
            <w:vAlign w:val="bottom"/>
            <w:tcBorders>
              <w:bottom w:val="single" w:sz="8" w:color="0000EE"/>
            </w:tcBorders>
            <w:gridSpan w:val="11"/>
          </w:tcPr>
          <w:p>
            <w:pPr>
              <w:spacing w:after="0" w:line="166" w:lineRule="exact"/>
              <w:rPr>
                <w:sz w:val="20"/>
                <w:szCs w:val="20"/>
                <w:color w:val="auto"/>
              </w:rPr>
            </w:pPr>
            <w:r>
              <w:rPr>
                <w:rFonts w:ascii="Times New Roman" w:cs="Times New Roman" w:eastAsia="Times New Roman" w:hAnsi="Times New Roman"/>
                <w:sz w:val="16"/>
                <w:szCs w:val="16"/>
                <w:color w:val="0000EE"/>
                <w:w w:val="97"/>
              </w:rPr>
              <w:t>CEO Certification Pursuant to Section 302 of the Sarbanes-Oxley Act of 2002</w:t>
            </w:r>
          </w:p>
        </w:tc>
        <w:tc>
          <w:tcPr>
            <w:tcW w:w="35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12.2*</w:t>
            </w:r>
          </w:p>
        </w:tc>
        <w:tc>
          <w:tcPr>
            <w:tcW w:w="4900" w:type="dxa"/>
            <w:vAlign w:val="bottom"/>
            <w:tcBorders>
              <w:bottom w:val="single" w:sz="8" w:color="0000EE"/>
            </w:tcBorders>
            <w:gridSpan w:val="10"/>
          </w:tcPr>
          <w:p>
            <w:pPr>
              <w:spacing w:after="0" w:line="166" w:lineRule="exact"/>
              <w:rPr>
                <w:sz w:val="20"/>
                <w:szCs w:val="20"/>
                <w:color w:val="auto"/>
              </w:rPr>
            </w:pPr>
            <w:r>
              <w:rPr>
                <w:rFonts w:ascii="Times New Roman" w:cs="Times New Roman" w:eastAsia="Times New Roman" w:hAnsi="Times New Roman"/>
                <w:sz w:val="16"/>
                <w:szCs w:val="16"/>
                <w:color w:val="0000EE"/>
                <w:w w:val="97"/>
              </w:rPr>
              <w:t>CFO Certification Pursuant to Section 302 of the Sarbanes-Oxley Act of 2002</w:t>
            </w:r>
          </w:p>
        </w:tc>
        <w:tc>
          <w:tcPr>
            <w:tcW w:w="35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13.1**</w:t>
            </w:r>
          </w:p>
        </w:tc>
        <w:tc>
          <w:tcPr>
            <w:tcW w:w="4920" w:type="dxa"/>
            <w:vAlign w:val="bottom"/>
            <w:tcBorders>
              <w:bottom w:val="single" w:sz="8" w:color="0000EE"/>
            </w:tcBorders>
            <w:gridSpan w:val="11"/>
          </w:tcPr>
          <w:p>
            <w:pPr>
              <w:spacing w:after="0" w:line="166" w:lineRule="exact"/>
              <w:rPr>
                <w:sz w:val="20"/>
                <w:szCs w:val="20"/>
                <w:color w:val="auto"/>
              </w:rPr>
            </w:pPr>
            <w:r>
              <w:rPr>
                <w:rFonts w:ascii="Times New Roman" w:cs="Times New Roman" w:eastAsia="Times New Roman" w:hAnsi="Times New Roman"/>
                <w:sz w:val="16"/>
                <w:szCs w:val="16"/>
                <w:color w:val="0000EE"/>
                <w:w w:val="97"/>
              </w:rPr>
              <w:t>CEO Certification Pursuant to Section 906 of the Sarbanes-Oxley Act of 2002</w:t>
            </w:r>
          </w:p>
        </w:tc>
        <w:tc>
          <w:tcPr>
            <w:tcW w:w="35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13.2**</w:t>
            </w:r>
          </w:p>
        </w:tc>
        <w:tc>
          <w:tcPr>
            <w:tcW w:w="8440" w:type="dxa"/>
            <w:vAlign w:val="bottom"/>
            <w:gridSpan w:val="14"/>
          </w:tcPr>
          <w:p>
            <w:pPr>
              <w:spacing w:after="0" w:line="166" w:lineRule="exact"/>
              <w:rPr>
                <w:sz w:val="20"/>
                <w:szCs w:val="20"/>
                <w:color w:val="auto"/>
              </w:rPr>
            </w:pPr>
            <w:r>
              <w:rPr>
                <w:rFonts w:ascii="Times New Roman" w:cs="Times New Roman" w:eastAsia="Times New Roman" w:hAnsi="Times New Roman"/>
                <w:sz w:val="16"/>
                <w:szCs w:val="16"/>
                <w:color w:val="0000EE"/>
              </w:rPr>
              <w:t>CFO Certification Pursuant to Section 906 of the Sarbanes-Oxley Act of 2002</w:t>
            </w:r>
          </w:p>
        </w:tc>
        <w:tc>
          <w:tcPr>
            <w:tcW w:w="0" w:type="dxa"/>
            <w:vAlign w:val="bottom"/>
          </w:tcPr>
          <w:p>
            <w:pPr>
              <w:spacing w:after="0"/>
              <w:rPr>
                <w:sz w:val="1"/>
                <w:szCs w:val="1"/>
                <w:color w:val="auto"/>
              </w:rPr>
            </w:pPr>
          </w:p>
        </w:tc>
      </w:tr>
      <w:tr>
        <w:trPr>
          <w:trHeight w:val="166"/>
        </w:trPr>
        <w:tc>
          <w:tcPr>
            <w:tcW w:w="148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15.1*</w:t>
            </w:r>
          </w:p>
        </w:tc>
        <w:tc>
          <w:tcPr>
            <w:tcW w:w="3360" w:type="dxa"/>
            <w:vAlign w:val="bottom"/>
            <w:tcBorders>
              <w:top w:val="single" w:sz="8" w:color="0000EE"/>
              <w:bottom w:val="single" w:sz="8" w:color="0000EE"/>
            </w:tcBorders>
            <w:gridSpan w:val="5"/>
          </w:tcPr>
          <w:p>
            <w:pPr>
              <w:spacing w:after="0" w:line="166" w:lineRule="exact"/>
              <w:rPr>
                <w:sz w:val="20"/>
                <w:szCs w:val="20"/>
                <w:color w:val="auto"/>
              </w:rPr>
            </w:pPr>
            <w:r>
              <w:rPr>
                <w:rFonts w:ascii="Times New Roman" w:cs="Times New Roman" w:eastAsia="Times New Roman" w:hAnsi="Times New Roman"/>
                <w:sz w:val="16"/>
                <w:szCs w:val="16"/>
                <w:color w:val="0000EE"/>
                <w:w w:val="96"/>
              </w:rPr>
              <w:t>Consent of PricewaterhouseCoopers Zhong Tian LLP</w:t>
            </w:r>
          </w:p>
        </w:tc>
        <w:tc>
          <w:tcPr>
            <w:tcW w:w="1520" w:type="dxa"/>
            <w:vAlign w:val="bottom"/>
            <w:tcBorders>
              <w:top w:val="single" w:sz="8" w:color="0000EE"/>
            </w:tcBorders>
            <w:gridSpan w:val="4"/>
          </w:tcPr>
          <w:p>
            <w:pPr>
              <w:spacing w:after="0"/>
              <w:rPr>
                <w:sz w:val="14"/>
                <w:szCs w:val="14"/>
                <w:color w:val="auto"/>
              </w:rPr>
            </w:pPr>
          </w:p>
        </w:tc>
        <w:tc>
          <w:tcPr>
            <w:tcW w:w="35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15.2*</w:t>
            </w:r>
          </w:p>
        </w:tc>
        <w:tc>
          <w:tcPr>
            <w:tcW w:w="2100" w:type="dxa"/>
            <w:vAlign w:val="bottom"/>
            <w:tcBorders>
              <w:bottom w:val="single" w:sz="8" w:color="0000EE"/>
            </w:tcBorders>
            <w:gridSpan w:val="2"/>
          </w:tcPr>
          <w:p>
            <w:pPr>
              <w:spacing w:after="0" w:line="166" w:lineRule="exact"/>
              <w:rPr>
                <w:sz w:val="20"/>
                <w:szCs w:val="20"/>
                <w:color w:val="auto"/>
              </w:rPr>
            </w:pPr>
            <w:r>
              <w:rPr>
                <w:rFonts w:ascii="Times New Roman" w:cs="Times New Roman" w:eastAsia="Times New Roman" w:hAnsi="Times New Roman"/>
                <w:sz w:val="16"/>
                <w:szCs w:val="16"/>
                <w:color w:val="0000EE"/>
                <w:w w:val="96"/>
              </w:rPr>
              <w:t>Consent of Han Kun Law Offices</w:t>
            </w:r>
          </w:p>
        </w:tc>
        <w:tc>
          <w:tcPr>
            <w:tcW w:w="63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97.1</w:t>
            </w:r>
          </w:p>
        </w:tc>
        <w:tc>
          <w:tcPr>
            <w:tcW w:w="84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9"/>
              </w:rPr>
            </w:pPr>
            <w:hyperlink r:id="rId247">
              <w:r>
                <w:rPr>
                  <w:rFonts w:ascii="Times New Roman" w:cs="Times New Roman" w:eastAsia="Times New Roman" w:hAnsi="Times New Roman"/>
                  <w:sz w:val="16"/>
                  <w:szCs w:val="16"/>
                  <w:color w:val="0000EE"/>
                  <w:w w:val="99"/>
                </w:rPr>
                <w:t>Clawback Policy of the Registrant (incorporated by reference to Exhibit 97.1 of the Company’s Report on Form 20-F (File No. 001-</w:t>
              </w:r>
            </w:hyperlink>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101.INS*</w:t>
            </w:r>
          </w:p>
        </w:tc>
        <w:tc>
          <w:tcPr>
            <w:tcW w:w="8440" w:type="dxa"/>
            <w:vAlign w:val="bottom"/>
            <w:gridSpan w:val="14"/>
          </w:tcPr>
          <w:p>
            <w:pPr>
              <w:spacing w:after="0" w:line="166" w:lineRule="exact"/>
              <w:rPr>
                <w:rFonts w:ascii="Times New Roman" w:cs="Times New Roman" w:eastAsia="Times New Roman" w:hAnsi="Times New Roman"/>
                <w:sz w:val="16"/>
                <w:szCs w:val="16"/>
                <w:color w:val="0000EE"/>
              </w:rPr>
            </w:pPr>
            <w:hyperlink r:id="rId247">
              <w:r>
                <w:rPr>
                  <w:rFonts w:ascii="Times New Roman" w:cs="Times New Roman" w:eastAsia="Times New Roman" w:hAnsi="Times New Roman"/>
                  <w:sz w:val="16"/>
                  <w:szCs w:val="16"/>
                  <w:color w:val="0000EE"/>
                </w:rPr>
                <w:t>38638)</w:t>
              </w:r>
              <w:r>
                <w:rPr>
                  <w:rFonts w:ascii="Times New Roman" w:cs="Times New Roman" w:eastAsia="Times New Roman" w:hAnsi="Times New Roman"/>
                  <w:sz w:val="16"/>
                  <w:szCs w:val="16"/>
                  <w:u w:val="single" w:color="auto"/>
                  <w:color w:val="0000EE"/>
                </w:rPr>
                <w:t>,</w:t>
              </w:r>
              <w:r>
                <w:rPr>
                  <w:rFonts w:ascii="Times New Roman" w:cs="Times New Roman" w:eastAsia="Times New Roman" w:hAnsi="Times New Roman"/>
                  <w:sz w:val="16"/>
                  <w:szCs w:val="16"/>
                  <w:color w:val="0000EE"/>
                </w:rPr>
                <w:t xml:space="preserve"> filed with the SEC on April 9, 2024)</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6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80" w:type="dxa"/>
            <w:vAlign w:val="bottom"/>
            <w:vMerge w:val="continue"/>
          </w:tcPr>
          <w:p>
            <w:pPr>
              <w:spacing w:after="0"/>
              <w:rPr>
                <w:sz w:val="15"/>
                <w:szCs w:val="15"/>
                <w:color w:val="auto"/>
              </w:rPr>
            </w:pPr>
          </w:p>
        </w:tc>
        <w:tc>
          <w:tcPr>
            <w:tcW w:w="8440" w:type="dxa"/>
            <w:vAlign w:val="bottom"/>
            <w:gridSpan w:val="14"/>
          </w:tcPr>
          <w:p>
            <w:pPr>
              <w:spacing w:after="0" w:line="181" w:lineRule="exact"/>
              <w:rPr>
                <w:sz w:val="20"/>
                <w:szCs w:val="20"/>
                <w:color w:val="auto"/>
              </w:rPr>
            </w:pPr>
            <w:r>
              <w:rPr>
                <w:rFonts w:ascii="Times New Roman" w:cs="Times New Roman" w:eastAsia="Times New Roman" w:hAnsi="Times New Roman"/>
                <w:sz w:val="16"/>
                <w:szCs w:val="16"/>
                <w:color w:val="auto"/>
              </w:rPr>
              <w:t>Inline XBRL Instance Document—this instance document does not appear in the Interactive Data File because its XBRL tags are</w:t>
            </w: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84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0" w:type="dxa"/>
            <w:vAlign w:val="bottom"/>
          </w:tcPr>
          <w:p>
            <w:pPr>
              <w:spacing w:after="0"/>
              <w:rPr>
                <w:sz w:val="1"/>
                <w:szCs w:val="1"/>
                <w:color w:val="auto"/>
              </w:rPr>
            </w:pPr>
          </w:p>
        </w:tc>
      </w:tr>
      <w:tr>
        <w:trPr>
          <w:trHeight w:val="186"/>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84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186"/>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84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86"/>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84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86"/>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84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86"/>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84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0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84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65405</wp:posOffset>
            </wp:positionV>
            <wp:extent cx="157988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8">
                      <a:extLst>
                        <a:ext uri="{28A0092B-C50C-407E-A947-70E740481C1C}"/>
                      </a:extLst>
                    </a:blip>
                    <a:srcRect/>
                    <a:stretch>
                      <a:fillRect/>
                    </a:stretch>
                  </pic:blipFill>
                  <pic:spPr bwMode="auto">
                    <a:xfrm>
                      <a:off x="0" y="0"/>
                      <a:ext cx="1579880" cy="7620"/>
                    </a:xfrm>
                    <a:prstGeom prst="rect">
                      <a:avLst/>
                    </a:prstGeom>
                    <a:noFill/>
                  </pic:spPr>
                </pic:pic>
              </a:graphicData>
            </a:graphic>
          </wp:anchor>
        </w:drawing>
      </w:r>
    </w:p>
    <w:p>
      <w:pPr>
        <w:spacing w:after="0" w:line="161" w:lineRule="exact"/>
        <w:rPr>
          <w:sz w:val="20"/>
          <w:szCs w:val="20"/>
          <w:color w:val="auto"/>
        </w:rPr>
      </w:pPr>
    </w:p>
    <w:p>
      <w:pPr>
        <w:ind w:left="240" w:hanging="240"/>
        <w:spacing w:after="0"/>
        <w:tabs>
          <w:tab w:leader="none" w:pos="2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herewith.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Furnished herewith.</w:t>
      </w:r>
    </w:p>
    <w:p>
      <w:pPr>
        <w:spacing w:after="0" w:line="185" w:lineRule="exact"/>
        <w:rPr>
          <w:sz w:val="20"/>
          <w:szCs w:val="20"/>
          <w:color w:val="auto"/>
        </w:rPr>
      </w:pPr>
    </w:p>
    <w:p>
      <w:pPr>
        <w:ind w:left="300" w:right="160" w:hanging="295"/>
        <w:spacing w:after="0" w:line="253" w:lineRule="auto"/>
        <w:tabs>
          <w:tab w:leader="none" w:pos="239"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Confidential treatment has been requested for certain portions of this exhibit pursuant to Rule 406 under the Securities Act and Division of Corporation Finance Staff Legal Bulletin No. 1. In accordance with Rule 406 and Staff Legal Bulletin No. 1, these confidential portions have been omitted and filed separately with the SEC.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6" w:lineRule="exact"/>
        <w:rPr>
          <w:sz w:val="20"/>
          <w:szCs w:val="20"/>
          <w:color w:val="auto"/>
        </w:rPr>
      </w:pPr>
    </w:p>
    <w:p>
      <w:pPr>
        <w:ind w:firstLine="594"/>
        <w:spacing w:after="0" w:line="298"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its annual report on Form 20-F and that it has duly caused and authorized the undersigned to sign this annual report on its behalf.</w:t>
      </w:r>
    </w:p>
    <w:p>
      <w:pPr>
        <w:spacing w:after="0" w:line="1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NIO Inc.</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 /s/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19685</wp:posOffset>
            </wp:positionV>
            <wp:extent cx="295465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0">
                      <a:extLst>
                        <a:ext uri="{28A0092B-C50C-407E-A947-70E740481C1C}"/>
                      </a:extLst>
                    </a:blip>
                    <a:srcRect/>
                    <a:stretch>
                      <a:fillRect/>
                    </a:stretch>
                  </pic:blipFill>
                  <pic:spPr bwMode="auto">
                    <a:xfrm>
                      <a:off x="0" y="0"/>
                      <a:ext cx="2954655" cy="7620"/>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Name: Bin Li</w:t>
      </w:r>
    </w:p>
    <w:p>
      <w:pPr>
        <w:spacing w:after="0" w:line="26" w:lineRule="exact"/>
        <w:rPr>
          <w:sz w:val="20"/>
          <w:szCs w:val="20"/>
          <w:color w:val="auto"/>
        </w:rPr>
      </w:pPr>
    </w:p>
    <w:p>
      <w:pPr>
        <w:jc w:val="center"/>
        <w:ind w:left="5260"/>
        <w:spacing w:after="0"/>
        <w:tabs>
          <w:tab w:leader="none" w:pos="160" w:val="left"/>
        </w:tabs>
        <w:rPr>
          <w:sz w:val="20"/>
          <w:szCs w:val="20"/>
          <w:color w:val="auto"/>
        </w:rPr>
      </w:pPr>
      <w:r>
        <w:rPr>
          <w:rFonts w:ascii="Times New Roman" w:cs="Times New Roman" w:eastAsia="Times New Roman" w:hAnsi="Times New Roman"/>
          <w:sz w:val="16"/>
          <w:szCs w:val="16"/>
          <w:color w:val="auto"/>
        </w:rPr>
        <w:t>Title:</w:t>
        <w:tab/>
        <w:t>Chairman of the Board of Directors</w:t>
      </w:r>
    </w:p>
    <w:p>
      <w:pPr>
        <w:spacing w:after="0" w:line="14"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6"/>
          <w:szCs w:val="16"/>
          <w:color w:val="auto"/>
        </w:rPr>
        <w:t>and Chief Executive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90"/>
        </w:trPr>
        <w:tc>
          <w:tcPr>
            <w:tcW w:w="2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8"/>
        </w:trPr>
        <w:tc>
          <w:tcPr>
            <w:tcW w:w="9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tc>
        <w:tc>
          <w:tcPr>
            <w:tcW w:w="820" w:type="dxa"/>
            <w:vAlign w:val="bottom"/>
            <w:shd w:val="clear" w:color="auto" w:fill="CCEEFF"/>
          </w:tcPr>
          <w:p>
            <w:pPr>
              <w:spacing w:after="0"/>
              <w:rPr>
                <w:sz w:val="17"/>
                <w:szCs w:val="17"/>
                <w:color w:val="auto"/>
              </w:rPr>
            </w:pPr>
          </w:p>
        </w:tc>
      </w:tr>
      <w:tr>
        <w:trPr>
          <w:trHeight w:val="161"/>
        </w:trPr>
        <w:tc>
          <w:tcPr>
            <w:tcW w:w="9100" w:type="dxa"/>
            <w:vAlign w:val="bottom"/>
            <w:gridSpan w:val="7"/>
          </w:tcPr>
          <w:p>
            <w:pPr>
              <w:spacing w:after="0" w:line="161" w:lineRule="exact"/>
              <w:rPr>
                <w:sz w:val="20"/>
                <w:szCs w:val="20"/>
                <w:color w:val="auto"/>
              </w:rPr>
            </w:pPr>
            <w:r>
              <w:rPr>
                <w:rFonts w:ascii="Times New Roman" w:cs="Times New Roman" w:eastAsia="Times New Roman" w:hAnsi="Times New Roman"/>
                <w:sz w:val="16"/>
                <w:szCs w:val="16"/>
                <w:color w:val="0000EE"/>
              </w:rPr>
              <w:t xml:space="preserve">Reported of Independent Registered Public Accounting Firm </w:t>
            </w:r>
            <w:r>
              <w:rPr>
                <w:rFonts w:ascii="Times New Roman" w:cs="Times New Roman" w:eastAsia="Times New Roman" w:hAnsi="Times New Roman"/>
                <w:sz w:val="16"/>
                <w:szCs w:val="16"/>
                <w:color w:val="000000"/>
              </w:rPr>
              <w:t>(PCAOB ID: 1424)</w:t>
            </w:r>
          </w:p>
        </w:tc>
        <w:tc>
          <w:tcPr>
            <w:tcW w:w="820" w:type="dxa"/>
            <w:vAlign w:val="bottom"/>
          </w:tcPr>
          <w:p>
            <w:pPr>
              <w:ind w:left="300"/>
              <w:spacing w:after="0" w:line="161" w:lineRule="exact"/>
              <w:rPr>
                <w:sz w:val="20"/>
                <w:szCs w:val="20"/>
                <w:color w:val="auto"/>
              </w:rPr>
            </w:pPr>
            <w:r>
              <w:rPr>
                <w:rFonts w:ascii="Times New Roman" w:cs="Times New Roman" w:eastAsia="Times New Roman" w:hAnsi="Times New Roman"/>
                <w:sz w:val="16"/>
                <w:szCs w:val="16"/>
                <w:color w:val="auto"/>
              </w:rPr>
              <w:t>F-2</w:t>
            </w:r>
          </w:p>
        </w:tc>
      </w:tr>
      <w:tr>
        <w:trPr>
          <w:trHeight w:val="29"/>
        </w:trPr>
        <w:tc>
          <w:tcPr>
            <w:tcW w:w="28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9"/>
        </w:trPr>
        <w:tc>
          <w:tcPr>
            <w:tcW w:w="9100" w:type="dxa"/>
            <w:vAlign w:val="bottom"/>
            <w:gridSpan w:val="7"/>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Consolidated Balance Sheets as of December 31, 2024 and 2025</w:t>
            </w:r>
          </w:p>
        </w:tc>
        <w:tc>
          <w:tcPr>
            <w:tcW w:w="820" w:type="dxa"/>
            <w:vAlign w:val="bottom"/>
            <w:shd w:val="clear" w:color="auto" w:fill="CCEEFF"/>
          </w:tcPr>
          <w:p>
            <w:pPr>
              <w:ind w:left="300"/>
              <w:spacing w:after="0" w:line="170" w:lineRule="exact"/>
              <w:rPr>
                <w:sz w:val="20"/>
                <w:szCs w:val="20"/>
                <w:color w:val="auto"/>
              </w:rPr>
            </w:pPr>
            <w:r>
              <w:rPr>
                <w:rFonts w:ascii="Times New Roman" w:cs="Times New Roman" w:eastAsia="Times New Roman" w:hAnsi="Times New Roman"/>
                <w:sz w:val="16"/>
                <w:szCs w:val="16"/>
                <w:color w:val="auto"/>
              </w:rPr>
              <w:t>F-4</w:t>
            </w:r>
          </w:p>
        </w:tc>
      </w:tr>
      <w:tr>
        <w:trPr>
          <w:trHeight w:val="37"/>
        </w:trPr>
        <w:tc>
          <w:tcPr>
            <w:tcW w:w="2880" w:type="dxa"/>
            <w:vAlign w:val="bottom"/>
            <w:shd w:val="clear" w:color="auto" w:fill="0000EE"/>
          </w:tcPr>
          <w:p>
            <w:pPr>
              <w:spacing w:after="0"/>
              <w:rPr>
                <w:sz w:val="3"/>
                <w:szCs w:val="3"/>
                <w:color w:val="auto"/>
              </w:rPr>
            </w:pPr>
          </w:p>
        </w:tc>
        <w:tc>
          <w:tcPr>
            <w:tcW w:w="11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r>
        <w:trPr>
          <w:trHeight w:val="161"/>
        </w:trPr>
        <w:tc>
          <w:tcPr>
            <w:tcW w:w="9100" w:type="dxa"/>
            <w:vAlign w:val="bottom"/>
            <w:gridSpan w:val="7"/>
          </w:tcPr>
          <w:p>
            <w:pPr>
              <w:spacing w:after="0" w:line="161" w:lineRule="exact"/>
              <w:rPr>
                <w:sz w:val="20"/>
                <w:szCs w:val="20"/>
                <w:color w:val="auto"/>
              </w:rPr>
            </w:pPr>
            <w:r>
              <w:rPr>
                <w:rFonts w:ascii="Times New Roman" w:cs="Times New Roman" w:eastAsia="Times New Roman" w:hAnsi="Times New Roman"/>
                <w:sz w:val="16"/>
                <w:szCs w:val="16"/>
                <w:color w:val="0000EE"/>
              </w:rPr>
              <w:t>Consolidated Statements of Comprehensive Loss for the Years Ended December 31, 2023, 2024 and 2025</w:t>
            </w:r>
          </w:p>
        </w:tc>
        <w:tc>
          <w:tcPr>
            <w:tcW w:w="820" w:type="dxa"/>
            <w:vAlign w:val="bottom"/>
          </w:tcPr>
          <w:p>
            <w:pPr>
              <w:ind w:left="300"/>
              <w:spacing w:after="0" w:line="161" w:lineRule="exact"/>
              <w:rPr>
                <w:sz w:val="20"/>
                <w:szCs w:val="20"/>
                <w:color w:val="auto"/>
              </w:rPr>
            </w:pPr>
            <w:r>
              <w:rPr>
                <w:rFonts w:ascii="Times New Roman" w:cs="Times New Roman" w:eastAsia="Times New Roman" w:hAnsi="Times New Roman"/>
                <w:sz w:val="16"/>
                <w:szCs w:val="16"/>
                <w:color w:val="auto"/>
              </w:rPr>
              <w:t>F-6</w:t>
            </w:r>
          </w:p>
        </w:tc>
      </w:tr>
      <w:tr>
        <w:trPr>
          <w:trHeight w:val="29"/>
        </w:trPr>
        <w:tc>
          <w:tcPr>
            <w:tcW w:w="28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12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7"/>
        </w:trPr>
        <w:tc>
          <w:tcPr>
            <w:tcW w:w="7000" w:type="dxa"/>
            <w:vAlign w:val="bottom"/>
            <w:tcBorders>
              <w:bottom w:val="single" w:sz="8" w:color="0000EE"/>
            </w:tcBorders>
            <w:gridSpan w:val="6"/>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Consolidated Statements of Shareholders’ Equity for the Years Ended December 31, 2023, 2024 and 2025</w:t>
            </w:r>
          </w:p>
        </w:tc>
        <w:tc>
          <w:tcPr>
            <w:tcW w:w="2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300"/>
              <w:spacing w:after="0" w:line="170" w:lineRule="exact"/>
              <w:rPr>
                <w:sz w:val="20"/>
                <w:szCs w:val="20"/>
                <w:color w:val="auto"/>
              </w:rPr>
            </w:pPr>
            <w:r>
              <w:rPr>
                <w:rFonts w:ascii="Times New Roman" w:cs="Times New Roman" w:eastAsia="Times New Roman" w:hAnsi="Times New Roman"/>
                <w:sz w:val="16"/>
                <w:szCs w:val="16"/>
                <w:color w:val="auto"/>
              </w:rPr>
              <w:t>F-7</w:t>
            </w:r>
          </w:p>
        </w:tc>
      </w:tr>
      <w:tr>
        <w:trPr>
          <w:trHeight w:val="169"/>
        </w:trPr>
        <w:tc>
          <w:tcPr>
            <w:tcW w:w="6380" w:type="dxa"/>
            <w:vAlign w:val="bottom"/>
            <w:tcBorders>
              <w:bottom w:val="single" w:sz="8" w:color="0000EE"/>
            </w:tcBorders>
            <w:gridSpan w:val="4"/>
          </w:tcPr>
          <w:p>
            <w:pPr>
              <w:spacing w:after="0" w:line="161"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2023, 2024 and 2025</w:t>
            </w:r>
          </w:p>
        </w:tc>
        <w:tc>
          <w:tcPr>
            <w:tcW w:w="2720" w:type="dxa"/>
            <w:vAlign w:val="bottom"/>
            <w:gridSpan w:val="3"/>
          </w:tcPr>
          <w:p>
            <w:pPr>
              <w:spacing w:after="0"/>
              <w:rPr>
                <w:sz w:val="14"/>
                <w:szCs w:val="14"/>
                <w:color w:val="auto"/>
              </w:rPr>
            </w:pPr>
          </w:p>
        </w:tc>
        <w:tc>
          <w:tcPr>
            <w:tcW w:w="820" w:type="dxa"/>
            <w:vAlign w:val="bottom"/>
          </w:tcPr>
          <w:p>
            <w:pPr>
              <w:ind w:left="260"/>
              <w:spacing w:after="0" w:line="161" w:lineRule="exact"/>
              <w:rPr>
                <w:sz w:val="20"/>
                <w:szCs w:val="20"/>
                <w:color w:val="auto"/>
              </w:rPr>
            </w:pPr>
            <w:r>
              <w:rPr>
                <w:rFonts w:ascii="Times New Roman" w:cs="Times New Roman" w:eastAsia="Times New Roman" w:hAnsi="Times New Roman"/>
                <w:sz w:val="16"/>
                <w:szCs w:val="16"/>
                <w:color w:val="auto"/>
              </w:rPr>
              <w:t>F-10</w:t>
            </w:r>
          </w:p>
        </w:tc>
      </w:tr>
      <w:tr>
        <w:trPr>
          <w:trHeight w:val="169"/>
        </w:trPr>
        <w:tc>
          <w:tcPr>
            <w:tcW w:w="9100" w:type="dxa"/>
            <w:vAlign w:val="bottom"/>
            <w:gridSpan w:val="7"/>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820" w:type="dxa"/>
            <w:vAlign w:val="bottom"/>
            <w:shd w:val="clear" w:color="auto" w:fill="CCEEFF"/>
          </w:tcPr>
          <w:p>
            <w:pPr>
              <w:ind w:left="260"/>
              <w:spacing w:after="0" w:line="170" w:lineRule="exact"/>
              <w:rPr>
                <w:sz w:val="20"/>
                <w:szCs w:val="20"/>
                <w:color w:val="auto"/>
              </w:rPr>
            </w:pPr>
            <w:r>
              <w:rPr>
                <w:rFonts w:ascii="Times New Roman" w:cs="Times New Roman" w:eastAsia="Times New Roman" w:hAnsi="Times New Roman"/>
                <w:sz w:val="16"/>
                <w:szCs w:val="16"/>
                <w:color w:val="auto"/>
              </w:rPr>
              <w:t>F-11</w:t>
            </w:r>
          </w:p>
        </w:tc>
      </w:tr>
      <w:tr>
        <w:trPr>
          <w:trHeight w:val="37"/>
        </w:trPr>
        <w:tc>
          <w:tcPr>
            <w:tcW w:w="2880" w:type="dxa"/>
            <w:vAlign w:val="bottom"/>
            <w:shd w:val="clear" w:color="auto" w:fill="0000EE"/>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5"/>
          <w:szCs w:val="15"/>
          <w:b w:val="1"/>
          <w:bCs w:val="1"/>
          <w:i w:val="1"/>
          <w:iCs w:val="1"/>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Board of Directors and Shareholders of NIO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Opinions on the Financial Statements and Internal Control over Financial Reporting</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We have audited the accompanying consolidated balance sheets of NIO Inc. and its subsidiaries (the </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 as of December 31, 2025 and 2024, and the related consolidated statements of comprehensive loss, of shareholders</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 xml:space="preserve"> equity and of cash flows for each of the three years in the period ended December 31, 2025, including the related notes (collectively referred to as the </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consolidated financial statements</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 We also have audited 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 xml:space="preserve">s internal control over financial reporting as of December 31, 2025, based on criteria established in </w:t>
      </w:r>
      <w:r>
        <w:rPr>
          <w:rFonts w:ascii="Times New Roman" w:cs="Times New Roman" w:eastAsia="Times New Roman" w:hAnsi="Times New Roman"/>
          <w:sz w:val="15"/>
          <w:szCs w:val="15"/>
          <w:i w:val="1"/>
          <w:iCs w:val="1"/>
          <w:color w:val="auto"/>
        </w:rPr>
        <w:t>Internal Control - Integrated Framework</w:t>
      </w:r>
      <w:r>
        <w:rPr>
          <w:rFonts w:ascii="Times New Roman" w:cs="Times New Roman" w:eastAsia="Times New Roman" w:hAnsi="Times New Roman"/>
          <w:sz w:val="15"/>
          <w:szCs w:val="15"/>
          <w:color w:val="auto"/>
        </w:rPr>
        <w:t xml:space="preserve"> (2013) issued by the Committee of Sponsoring Organizations of the Treadway Commission (COSO).</w:t>
      </w:r>
    </w:p>
    <w:p>
      <w:pPr>
        <w:spacing w:after="0" w:line="1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5"/>
          <w:szCs w:val="15"/>
          <w:i w:val="1"/>
          <w:iCs w:val="1"/>
          <w:color w:val="auto"/>
        </w:rPr>
        <w:t>Internal Control - Integrated Framework</w:t>
      </w:r>
      <w:r>
        <w:rPr>
          <w:rFonts w:ascii="Times New Roman" w:cs="Times New Roman" w:eastAsia="Times New Roman" w:hAnsi="Times New Roman"/>
          <w:sz w:val="15"/>
          <w:szCs w:val="15"/>
          <w:color w:val="auto"/>
        </w:rPr>
        <w:t xml:space="preserve"> (2013) issued by the COSO.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for Opinions</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management is responsible for these consolidated financial statements, for maintaining effective internal control over financial reporting, and for its assessment of the effectiveness of internal control over financial reporting, included in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Annual Report on Internal Control over Financial Reporting appearing under Item 15. Our responsibility is to express opinions on 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consolidated financial statements and on 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Definition and Limitations of Internal Control over Financial Reporting</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assets that could have a material effect on the financial statements.</w:t>
      </w:r>
    </w:p>
    <w:p>
      <w:pPr>
        <w:spacing w:after="0" w:line="1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Critical Audit Matters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Going concern assessment</w:t>
      </w:r>
    </w:p>
    <w:p>
      <w:pPr>
        <w:spacing w:after="0" w:line="1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As described in Note 1 to the consolidated financial statements, the Company incurred net losses for each of the three years in the period ended December 31, 2025 and operating cash outflow for the years ended December 31, 2024 and 2023. As of December 31, 2025 and 2024, the Company had accumulated deficits, and the current liabilities exceeded current assets. 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ability to continue as a going concern is largely dependent on the successful implementation of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business plan to mitigate these adverse conditions, based on which, management prepared a cash flows forecast covering the twelve months from the date of issuance of the consolidated financial statements after giving consideration to its business plan and the evaluation of the probability of the successful implementation of such business plan. Management has assessed the uncertainties as to the successful execution of such business plan and concluded it is probable that the business plan will be effectively implemented, and 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available cash and cash equivalents, restricted cash and short-term investments, cash generated from operating activities and funds from available credit quotas and other sources will be sufficient to support its continuous operations and necessary capital expenditures, and to meet its payment obligations when liabilities fall due within the twelve months from the date of issuance of the consolidated financial statements. Such conclusion required management to make judgments related to its ability to successfully implement the business plan and the resulting growth in revenue, optimization of operation efficiency, working capital turnover rate and raising funds from banks under available credit quotas and other sources when needed when developing the cash flows forecast.</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principal considerations for our determination that performing procedures relating to the going concern assessment is a critical audit matter are the significant judgment by management when developing its business plan, assessing that the business plan will be effectively implemented, and developing the cash flows forecast included in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going concern assessment. This in turn led to a high degree of auditor judgment, subjectivity, and effort in performing procedures and evaluating audit evidence relating to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business plan,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assessment that the business plan will be effectively implemented and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cash flows forecast.</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Addressing the matter involved performing procedures and evaluating audit evidence in connection with forming our overall opinion on the consolidated financial statements. These procedures included testing the effectiveness of internal controls relating to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going concern assessment, including 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controls over the preparation of the business plan and the cash flows forecast. These procedures also included, among others, (i) testing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process for developing the business plan and the cash flows forecast included in the going concern assessment; (ii) testing the completeness, accuracy, and relevance of underlying data used in developing the business plan and the cash flows forecast; and (iii) evaluating the reasonableness of the judgments made by management in evaluating whether the business plan will be effectively implemented and in the cash flows forecast, by considering 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current and past performance, relevant industry forecasts and market developments.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Accrual of warranty liabilities</w:t>
      </w:r>
    </w:p>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As described in Notes 2(p), 11 and 13 to the consolidated financial statements, the Company provides warranty to its customers for all new vehicles it sold. For the year ended December 31, 2025, the Company accrued warranty costs of RMB1,118.8 million. As of December 31, 2025, the Company recorded warranty liabilities of RMB5,462.9 million. The warranty cost is accrued based on 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assumptions and judgments related to the nature and frequency of future claims and the estimate of the projected costs to repair or replace items under warranty. These estimates are based on actual claims incurred to date and an estimate of the nature, frequency and costs of future claims.</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principal considerations for our determination that performing procedures relating to the accrual of warranty liabilities is a critical audit matter are the significant judgment by management when developing the assumptions related to the nature, frequency and costs of future claims in determining the accrual of warranty liabilities; this in turn led to a high degree of auditor judgment, subjectivity, and effort in designing and performing procedures relating to evaluating the reasonableness of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assumptions. In addition, the audit effort included the involvement of professionals with specialized skills and knowledge to assist in performing these procedures.</w:t>
      </w:r>
    </w:p>
    <w:p>
      <w:pPr>
        <w:spacing w:after="0" w:line="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estimate of the accrual of warranty liabilities, including controls over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estimate of the nature, frequency and costs of future claims as well as the completeness and accuracy of actual claims incurred to date. These procedures also included, among others, testing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process for determining the accrual of warranty liabilities by (a) evaluating the appropriateness of the model applied by management for the accrual of warranty liabilities; (b) evaluating the reasonableness of significant assumptions and judgments related to the nature and frequency of future claims and the related projected costs to repair or replace items under warranty, by considering current and past performance, including a lookback analysis comparing prior period forecasted claims to actual claims incurred; and (c) testing the completeness, accuracy and relevance of underlying data used in the estimate of future claims. These procedures also included developing an independent estimate of the accrual of warranty liabilities and comparing this estimate to management</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estimate to evaluate its reasonableness. Professionals with specialized skill and knowledge were used to assist in evaluating the appropriateness of the model applied by management for the accrual of warranty liabilities and developing an independent estimate of the accrual of warranty liabilities. Developing the independent estimate involved using independently determined assumptions related to the nature, frequency and costs of future claims.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/s/PricewaterhouseCoopers Zhong Tian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Shanghai, the People</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Republic of China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10,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w:t>
      </w:r>
      <w:r>
        <w:rPr>
          <w:rFonts w:ascii="Georgia" w:cs="Georgia" w:eastAsia="Georgia" w:hAnsi="Georgia"/>
          <w:sz w:val="15"/>
          <w:szCs w:val="15"/>
          <w:color w:val="auto"/>
        </w:rPr>
        <w:t>’</w:t>
      </w:r>
      <w:r>
        <w:rPr>
          <w:rFonts w:ascii="Times New Roman" w:cs="Times New Roman" w:eastAsia="Times New Roman" w:hAnsi="Times New Roman"/>
          <w:sz w:val="15"/>
          <w:szCs w:val="15"/>
          <w:color w:val="auto"/>
        </w:rPr>
        <w:t>s auditor since 2016.</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20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7060" w:type="dxa"/>
            <w:vAlign w:val="bottom"/>
            <w:gridSpan w:val="2"/>
          </w:tcPr>
          <w:p>
            <w:pPr>
              <w:ind w:left="692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ind w:right="227"/>
              <w:spacing w:after="0" w:line="109" w:lineRule="exact"/>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Pr>
          <w:p>
            <w:pPr>
              <w:spacing w:after="0"/>
              <w:rPr>
                <w:sz w:val="9"/>
                <w:szCs w:val="9"/>
                <w:color w:val="auto"/>
              </w:rPr>
            </w:pPr>
          </w:p>
        </w:tc>
        <w:tc>
          <w:tcPr>
            <w:tcW w:w="20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ind w:right="227"/>
              <w:spacing w:after="0" w:line="109" w:lineRule="exact"/>
              <w:rPr>
                <w:sz w:val="20"/>
                <w:szCs w:val="20"/>
                <w:color w:val="auto"/>
              </w:rPr>
            </w:pPr>
            <w:r>
              <w:rPr>
                <w:rFonts w:ascii="Times New Roman" w:cs="Times New Roman" w:eastAsia="Times New Roman" w:hAnsi="Times New Roman"/>
                <w:sz w:val="12"/>
                <w:szCs w:val="12"/>
                <w:b w:val="1"/>
                <w:bCs w:val="1"/>
                <w:color w:val="auto"/>
              </w:rPr>
              <w:t>2025</w:t>
            </w:r>
          </w:p>
        </w:tc>
        <w:tc>
          <w:tcPr>
            <w:tcW w:w="40" w:type="dxa"/>
            <w:vAlign w:val="bottom"/>
          </w:tcPr>
          <w:p>
            <w:pPr>
              <w:spacing w:after="0"/>
              <w:rPr>
                <w:sz w:val="9"/>
                <w:szCs w:val="9"/>
                <w:color w:val="auto"/>
              </w:rPr>
            </w:pPr>
          </w:p>
        </w:tc>
        <w:tc>
          <w:tcPr>
            <w:tcW w:w="20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center"/>
              <w:ind w:right="7"/>
              <w:spacing w:after="0" w:line="109" w:lineRule="exact"/>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Pr>
          <w:p>
            <w:pPr>
              <w:spacing w:after="0"/>
              <w:rPr>
                <w:sz w:val="9"/>
                <w:szCs w:val="9"/>
                <w:color w:val="auto"/>
              </w:rPr>
            </w:pPr>
          </w:p>
        </w:tc>
      </w:tr>
      <w:tr>
        <w:trPr>
          <w:trHeight w:val="106"/>
        </w:trPr>
        <w:tc>
          <w:tcPr>
            <w:tcW w:w="69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ind w:right="207"/>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ind w:right="207"/>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7"/>
              <w:spacing w:after="0" w:line="106" w:lineRule="exact"/>
              <w:rPr>
                <w:sz w:val="20"/>
                <w:szCs w:val="20"/>
                <w:color w:val="auto"/>
              </w:rPr>
            </w:pPr>
            <w:r>
              <w:rPr>
                <w:rFonts w:ascii="Times New Roman" w:cs="Times New Roman" w:eastAsia="Times New Roman" w:hAnsi="Times New Roman"/>
                <w:sz w:val="12"/>
                <w:szCs w:val="12"/>
                <w:b w:val="1"/>
                <w:bCs w:val="1"/>
                <w:color w:val="auto"/>
              </w:rPr>
              <w:t>USD</w:t>
            </w:r>
          </w:p>
        </w:tc>
        <w:tc>
          <w:tcPr>
            <w:tcW w:w="20" w:type="dxa"/>
            <w:vAlign w:val="bottom"/>
          </w:tcPr>
          <w:p>
            <w:pPr>
              <w:spacing w:after="0"/>
              <w:rPr>
                <w:sz w:val="9"/>
                <w:szCs w:val="9"/>
                <w:color w:val="auto"/>
              </w:rPr>
            </w:pPr>
          </w:p>
        </w:tc>
      </w:tr>
      <w:tr>
        <w:trPr>
          <w:trHeight w:val="158"/>
        </w:trPr>
        <w:tc>
          <w:tcPr>
            <w:tcW w:w="6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9"/>
              </w:rPr>
              <w:t>Note 2(e)</w:t>
            </w: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8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6"/>
                <w:szCs w:val="16"/>
                <w:color w:val="auto"/>
              </w:rPr>
            </w:pP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820" w:type="dxa"/>
            <w:vAlign w:val="bottom"/>
          </w:tcPr>
          <w:p>
            <w:pPr>
              <w:spacing w:after="0"/>
              <w:rPr>
                <w:sz w:val="16"/>
                <w:szCs w:val="16"/>
                <w:color w:val="auto"/>
              </w:rPr>
            </w:pP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19,328,920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11,274,094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1,612,174</w:t>
            </w:r>
          </w:p>
        </w:tc>
        <w:tc>
          <w:tcPr>
            <w:tcW w:w="20" w:type="dxa"/>
            <w:vAlign w:val="bottom"/>
          </w:tcPr>
          <w:p>
            <w:pPr>
              <w:spacing w:after="0"/>
              <w:rPr>
                <w:sz w:val="16"/>
                <w:szCs w:val="16"/>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8,320,728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14,745,975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2,108,646</w:t>
            </w:r>
          </w:p>
        </w:tc>
        <w:tc>
          <w:tcPr>
            <w:tcW w:w="20" w:type="dxa"/>
            <w:vAlign w:val="bottom"/>
          </w:tcPr>
          <w:p>
            <w:pPr>
              <w:spacing w:after="0"/>
              <w:rPr>
                <w:sz w:val="16"/>
                <w:szCs w:val="16"/>
                <w:color w:val="auto"/>
              </w:rPr>
            </w:pP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investments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14,137,566</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19,755,809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2,825,043</w:t>
            </w:r>
          </w:p>
        </w:tc>
        <w:tc>
          <w:tcPr>
            <w:tcW w:w="20" w:type="dxa"/>
            <w:vAlign w:val="bottom"/>
          </w:tcPr>
          <w:p>
            <w:pPr>
              <w:spacing w:after="0"/>
              <w:rPr>
                <w:sz w:val="16"/>
                <w:szCs w:val="16"/>
                <w:color w:val="auto"/>
              </w:rPr>
            </w:pPr>
          </w:p>
        </w:tc>
      </w:tr>
      <w:tr>
        <w:trPr>
          <w:trHeight w:val="173"/>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Trade and notes receivables, net (Allowance for expected credit losses of RMB38.5 million and RMB26.6 million</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70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as of December 31, 2024 and 2025,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1,676,246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1,394,445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199,403</w:t>
            </w:r>
          </w:p>
        </w:tc>
        <w:tc>
          <w:tcPr>
            <w:tcW w:w="20" w:type="dxa"/>
            <w:vAlign w:val="bottom"/>
          </w:tcPr>
          <w:p>
            <w:pPr>
              <w:spacing w:after="0"/>
              <w:rPr>
                <w:sz w:val="16"/>
                <w:szCs w:val="16"/>
                <w:color w:val="auto"/>
              </w:rPr>
            </w:pPr>
          </w:p>
        </w:tc>
      </w:tr>
      <w:tr>
        <w:trPr>
          <w:trHeight w:val="179"/>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Amounts due from related parties, net (Allowance for expected credit losses of RMB10.1 million and RMB20.6</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7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million as of December 31, 2024 and 2025,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7,702,404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16,078,250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2,299,159</w:t>
            </w:r>
          </w:p>
        </w:tc>
        <w:tc>
          <w:tcPr>
            <w:tcW w:w="20" w:type="dxa"/>
            <w:vAlign w:val="bottom"/>
          </w:tcPr>
          <w:p>
            <w:pPr>
              <w:spacing w:after="0"/>
              <w:rPr>
                <w:sz w:val="17"/>
                <w:szCs w:val="17"/>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Inventory</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7,087,223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8,530,854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1,219,896</w:t>
            </w:r>
          </w:p>
        </w:tc>
        <w:tc>
          <w:tcPr>
            <w:tcW w:w="20" w:type="dxa"/>
            <w:vAlign w:val="bottom"/>
          </w:tcPr>
          <w:p>
            <w:pPr>
              <w:spacing w:after="0"/>
              <w:rPr>
                <w:sz w:val="16"/>
                <w:szCs w:val="16"/>
                <w:color w:val="auto"/>
              </w:rPr>
            </w:pPr>
          </w:p>
        </w:tc>
      </w:tr>
      <w:tr>
        <w:trPr>
          <w:trHeight w:val="173"/>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Prepayments and other current assets, net (Allowance for expected credit losses of RMB1.9 million and RMB1.5</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7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million as of December 31, 2024 and 2025,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3,632,956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4,853,610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694,057</w:t>
            </w:r>
          </w:p>
        </w:tc>
        <w:tc>
          <w:tcPr>
            <w:tcW w:w="20" w:type="dxa"/>
            <w:vAlign w:val="bottom"/>
          </w:tcPr>
          <w:p>
            <w:pPr>
              <w:spacing w:after="0"/>
              <w:rPr>
                <w:sz w:val="17"/>
                <w:szCs w:val="17"/>
                <w:color w:val="auto"/>
              </w:rPr>
            </w:pPr>
          </w:p>
        </w:tc>
      </w:tr>
      <w:tr>
        <w:trPr>
          <w:trHeight w:val="178"/>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61,886,043</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76,633,037</w:t>
            </w: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10,958,378</w:t>
            </w:r>
          </w:p>
        </w:tc>
        <w:tc>
          <w:tcPr>
            <w:tcW w:w="20" w:type="dxa"/>
            <w:vAlign w:val="bottom"/>
          </w:tcPr>
          <w:p>
            <w:pPr>
              <w:spacing w:after="0"/>
              <w:rPr>
                <w:sz w:val="15"/>
                <w:szCs w:val="15"/>
                <w:color w:val="auto"/>
              </w:rPr>
            </w:pPr>
          </w:p>
        </w:tc>
      </w:tr>
      <w:tr>
        <w:trPr>
          <w:trHeight w:val="17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Non-current assets: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restricted cash</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97,720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88,325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12,630</w:t>
            </w:r>
          </w:p>
        </w:tc>
        <w:tc>
          <w:tcPr>
            <w:tcW w:w="20" w:type="dxa"/>
            <w:vAlign w:val="bottom"/>
          </w:tcPr>
          <w:p>
            <w:pPr>
              <w:spacing w:after="0"/>
              <w:rPr>
                <w:sz w:val="16"/>
                <w:szCs w:val="16"/>
                <w:color w:val="auto"/>
              </w:rPr>
            </w:pP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25,892,904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25,827,968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3,693,350</w:t>
            </w:r>
          </w:p>
        </w:tc>
        <w:tc>
          <w:tcPr>
            <w:tcW w:w="20" w:type="dxa"/>
            <w:vAlign w:val="bottom"/>
          </w:tcPr>
          <w:p>
            <w:pPr>
              <w:spacing w:after="0"/>
              <w:rPr>
                <w:sz w:val="16"/>
                <w:szCs w:val="16"/>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29,648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29,648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4,240</w:t>
            </w:r>
          </w:p>
        </w:tc>
        <w:tc>
          <w:tcPr>
            <w:tcW w:w="20" w:type="dxa"/>
            <w:vAlign w:val="bottom"/>
          </w:tcPr>
          <w:p>
            <w:pPr>
              <w:spacing w:after="0"/>
              <w:rPr>
                <w:sz w:val="16"/>
                <w:szCs w:val="16"/>
                <w:color w:val="auto"/>
              </w:rPr>
            </w:pP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Land use rights,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201,995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196,691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28,126</w:t>
            </w:r>
          </w:p>
        </w:tc>
        <w:tc>
          <w:tcPr>
            <w:tcW w:w="20" w:type="dxa"/>
            <w:vAlign w:val="bottom"/>
          </w:tcPr>
          <w:p>
            <w:pPr>
              <w:spacing w:after="0"/>
              <w:rPr>
                <w:sz w:val="16"/>
                <w:szCs w:val="16"/>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3,126,007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2,480,518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354,709</w:t>
            </w:r>
          </w:p>
        </w:tc>
        <w:tc>
          <w:tcPr>
            <w:tcW w:w="20" w:type="dxa"/>
            <w:vAlign w:val="bottom"/>
          </w:tcPr>
          <w:p>
            <w:pPr>
              <w:spacing w:after="0"/>
              <w:rPr>
                <w:sz w:val="16"/>
                <w:szCs w:val="16"/>
                <w:color w:val="auto"/>
              </w:rPr>
            </w:pP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Right-of-use assets – operating lease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12,797,158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11,711,306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1,674,694</w:t>
            </w:r>
          </w:p>
        </w:tc>
        <w:tc>
          <w:tcPr>
            <w:tcW w:w="20" w:type="dxa"/>
            <w:vAlign w:val="bottom"/>
          </w:tcPr>
          <w:p>
            <w:pPr>
              <w:spacing w:after="0"/>
              <w:rPr>
                <w:sz w:val="16"/>
                <w:szCs w:val="16"/>
                <w:color w:val="auto"/>
              </w:rPr>
            </w:pPr>
          </w:p>
        </w:tc>
      </w:tr>
      <w:tr>
        <w:trPr>
          <w:trHeight w:val="173"/>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non-current assets, net (Allowance for expected credit losses of RMB59.4 million and RMB14.7 million as</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70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of December 31, 2024 and 2025,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3,573,137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7,433,585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1,062,989</w:t>
            </w:r>
          </w:p>
        </w:tc>
        <w:tc>
          <w:tcPr>
            <w:tcW w:w="20" w:type="dxa"/>
            <w:vAlign w:val="bottom"/>
          </w:tcPr>
          <w:p>
            <w:pPr>
              <w:spacing w:after="0"/>
              <w:rPr>
                <w:sz w:val="16"/>
                <w:szCs w:val="16"/>
                <w:color w:val="auto"/>
              </w:rPr>
            </w:pPr>
          </w:p>
        </w:tc>
      </w:tr>
      <w:tr>
        <w:trPr>
          <w:trHeight w:val="191"/>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45,718,569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47,768,041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6,830,738</w:t>
            </w:r>
          </w:p>
        </w:tc>
        <w:tc>
          <w:tcPr>
            <w:tcW w:w="20" w:type="dxa"/>
            <w:vAlign w:val="bottom"/>
          </w:tcPr>
          <w:p>
            <w:pPr>
              <w:spacing w:after="0"/>
              <w:rPr>
                <w:sz w:val="16"/>
                <w:szCs w:val="16"/>
                <w:color w:val="auto"/>
              </w:rPr>
            </w:pPr>
          </w:p>
        </w:tc>
      </w:tr>
      <w:tr>
        <w:trPr>
          <w:trHeight w:val="218"/>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107,604,612</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124,401,078</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17,789,116</w:t>
            </w:r>
          </w:p>
        </w:tc>
        <w:tc>
          <w:tcPr>
            <w:tcW w:w="20" w:type="dxa"/>
            <w:vAlign w:val="bottom"/>
          </w:tcPr>
          <w:p>
            <w:pPr>
              <w:spacing w:after="0"/>
              <w:rPr>
                <w:sz w:val="18"/>
                <w:szCs w:val="18"/>
                <w:color w:val="auto"/>
              </w:rPr>
            </w:pPr>
          </w:p>
        </w:tc>
      </w:tr>
      <w:tr>
        <w:trPr>
          <w:trHeight w:val="163"/>
        </w:trPr>
        <w:tc>
          <w:tcPr>
            <w:tcW w:w="69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borrowings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5,729,561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4,691,910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670,934</w:t>
            </w:r>
          </w:p>
        </w:tc>
        <w:tc>
          <w:tcPr>
            <w:tcW w:w="20" w:type="dxa"/>
            <w:vAlign w:val="bottom"/>
          </w:tcPr>
          <w:p>
            <w:pPr>
              <w:spacing w:after="0"/>
              <w:rPr>
                <w:sz w:val="16"/>
                <w:szCs w:val="16"/>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Trade and notes payable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34,387,266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53,309,727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7,623,190</w:t>
            </w:r>
          </w:p>
        </w:tc>
        <w:tc>
          <w:tcPr>
            <w:tcW w:w="20" w:type="dxa"/>
            <w:vAlign w:val="bottom"/>
          </w:tcPr>
          <w:p>
            <w:pPr>
              <w:spacing w:after="0"/>
              <w:rPr>
                <w:sz w:val="16"/>
                <w:szCs w:val="16"/>
                <w:color w:val="auto"/>
              </w:rPr>
            </w:pP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Amounts due to related parties, current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409,363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625,903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89,503</w:t>
            </w:r>
          </w:p>
        </w:tc>
        <w:tc>
          <w:tcPr>
            <w:tcW w:w="20" w:type="dxa"/>
            <w:vAlign w:val="bottom"/>
          </w:tcPr>
          <w:p>
            <w:pPr>
              <w:spacing w:after="0"/>
              <w:rPr>
                <w:sz w:val="16"/>
                <w:szCs w:val="16"/>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Taxes payable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400,146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439,240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62,810</w:t>
            </w:r>
          </w:p>
        </w:tc>
        <w:tc>
          <w:tcPr>
            <w:tcW w:w="20" w:type="dxa"/>
            <w:vAlign w:val="bottom"/>
          </w:tcPr>
          <w:p>
            <w:pPr>
              <w:spacing w:after="0"/>
              <w:rPr>
                <w:sz w:val="16"/>
                <w:szCs w:val="16"/>
                <w:color w:val="auto"/>
              </w:rPr>
            </w:pP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1,945,987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2,163,768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309,415</w:t>
            </w:r>
          </w:p>
        </w:tc>
        <w:tc>
          <w:tcPr>
            <w:tcW w:w="20" w:type="dxa"/>
            <w:vAlign w:val="bottom"/>
          </w:tcPr>
          <w:p>
            <w:pPr>
              <w:spacing w:after="0"/>
              <w:rPr>
                <w:sz w:val="16"/>
                <w:szCs w:val="16"/>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3,397,622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655,971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93,803</w:t>
            </w:r>
          </w:p>
        </w:tc>
        <w:tc>
          <w:tcPr>
            <w:tcW w:w="20" w:type="dxa"/>
            <w:vAlign w:val="bottom"/>
          </w:tcPr>
          <w:p>
            <w:pPr>
              <w:spacing w:after="0"/>
              <w:rPr>
                <w:sz w:val="16"/>
                <w:szCs w:val="16"/>
                <w:color w:val="auto"/>
              </w:rPr>
            </w:pP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Accruals and other liabilities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16,041,079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16,696,044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2,387,502</w:t>
            </w:r>
          </w:p>
        </w:tc>
        <w:tc>
          <w:tcPr>
            <w:tcW w:w="20" w:type="dxa"/>
            <w:vAlign w:val="bottom"/>
          </w:tcPr>
          <w:p>
            <w:pPr>
              <w:spacing w:after="0"/>
              <w:rPr>
                <w:sz w:val="16"/>
                <w:szCs w:val="16"/>
                <w:color w:val="auto"/>
              </w:rPr>
            </w:pPr>
          </w:p>
        </w:tc>
      </w:tr>
      <w:tr>
        <w:trPr>
          <w:trHeight w:val="178"/>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62,311,024</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78,582,563</w:t>
            </w: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11,237,157</w:t>
            </w:r>
          </w:p>
        </w:tc>
        <w:tc>
          <w:tcPr>
            <w:tcW w:w="20" w:type="dxa"/>
            <w:vAlign w:val="bottom"/>
          </w:tcPr>
          <w:p>
            <w:pPr>
              <w:spacing w:after="0"/>
              <w:rPr>
                <w:sz w:val="15"/>
                <w:szCs w:val="15"/>
                <w:color w:val="auto"/>
              </w:rPr>
            </w:pPr>
          </w:p>
        </w:tc>
      </w:tr>
      <w:tr>
        <w:trPr>
          <w:trHeight w:val="17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Non-current liabilities: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borrowings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11,440,755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8,626,272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1,233,540</w:t>
            </w:r>
          </w:p>
        </w:tc>
        <w:tc>
          <w:tcPr>
            <w:tcW w:w="20" w:type="dxa"/>
            <w:vAlign w:val="bottom"/>
          </w:tcPr>
          <w:p>
            <w:pPr>
              <w:spacing w:after="0"/>
              <w:rPr>
                <w:sz w:val="16"/>
                <w:szCs w:val="16"/>
                <w:color w:val="auto"/>
              </w:rPr>
            </w:pP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Non-current operating lease liabilities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11,260,735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10,092,039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1,443,142</w:t>
            </w:r>
          </w:p>
        </w:tc>
        <w:tc>
          <w:tcPr>
            <w:tcW w:w="20" w:type="dxa"/>
            <w:vAlign w:val="bottom"/>
          </w:tcPr>
          <w:p>
            <w:pPr>
              <w:spacing w:after="0"/>
              <w:rPr>
                <w:sz w:val="16"/>
                <w:szCs w:val="16"/>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Amounts due to related parties, non-current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329,492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604,178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86,396</w:t>
            </w:r>
          </w:p>
        </w:tc>
        <w:tc>
          <w:tcPr>
            <w:tcW w:w="20" w:type="dxa"/>
            <w:vAlign w:val="bottom"/>
          </w:tcPr>
          <w:p>
            <w:pPr>
              <w:spacing w:after="0"/>
              <w:rPr>
                <w:sz w:val="16"/>
                <w:szCs w:val="16"/>
                <w:color w:val="auto"/>
              </w:rPr>
            </w:pPr>
          </w:p>
        </w:tc>
      </w:tr>
      <w:tr>
        <w:trPr>
          <w:trHeight w:val="18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127,467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112,691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16,115</w:t>
            </w:r>
          </w:p>
        </w:tc>
        <w:tc>
          <w:tcPr>
            <w:tcW w:w="20" w:type="dxa"/>
            <w:vAlign w:val="bottom"/>
          </w:tcPr>
          <w:p>
            <w:pPr>
              <w:spacing w:after="0"/>
              <w:rPr>
                <w:sz w:val="16"/>
                <w:szCs w:val="16"/>
                <w:color w:val="auto"/>
              </w:rPr>
            </w:pPr>
          </w:p>
        </w:tc>
      </w:tr>
      <w:tr>
        <w:trPr>
          <w:trHeight w:val="186"/>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8,628,596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13,690,778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1,957,754</w:t>
            </w:r>
          </w:p>
        </w:tc>
        <w:tc>
          <w:tcPr>
            <w:tcW w:w="20" w:type="dxa"/>
            <w:vAlign w:val="bottom"/>
          </w:tcPr>
          <w:p>
            <w:pPr>
              <w:spacing w:after="0"/>
              <w:rPr>
                <w:sz w:val="16"/>
                <w:szCs w:val="16"/>
                <w:color w:val="auto"/>
              </w:rPr>
            </w:pPr>
          </w:p>
        </w:tc>
      </w:tr>
      <w:tr>
        <w:trPr>
          <w:trHeight w:val="178"/>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31,787,045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33,125,958</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4,736,947</w:t>
            </w:r>
          </w:p>
        </w:tc>
        <w:tc>
          <w:tcPr>
            <w:tcW w:w="20" w:type="dxa"/>
            <w:vAlign w:val="bottom"/>
          </w:tcPr>
          <w:p>
            <w:pPr>
              <w:spacing w:after="0"/>
              <w:rPr>
                <w:sz w:val="15"/>
                <w:szCs w:val="15"/>
                <w:color w:val="auto"/>
              </w:rPr>
            </w:pPr>
          </w:p>
        </w:tc>
      </w:tr>
      <w:tr>
        <w:trPr>
          <w:trHeight w:val="218"/>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94,098,069</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111,708,521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15,974,104</w:t>
            </w:r>
          </w:p>
        </w:tc>
        <w:tc>
          <w:tcPr>
            <w:tcW w:w="20" w:type="dxa"/>
            <w:vAlign w:val="bottom"/>
          </w:tcPr>
          <w:p>
            <w:pPr>
              <w:spacing w:after="0"/>
              <w:rPr>
                <w:sz w:val="18"/>
                <w:szCs w:val="18"/>
                <w:color w:val="auto"/>
              </w:rPr>
            </w:pPr>
          </w:p>
        </w:tc>
      </w:tr>
      <w:tr>
        <w:trPr>
          <w:trHeight w:val="188"/>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 (Note 26)</w:t>
            </w: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60"/>
          </w:cols>
          <w:pgMar w:left="980" w:top="482" w:right="9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gridSpan w:val="2"/>
          </w:tcPr>
          <w:p>
            <w:pPr>
              <w:ind w:left="64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ind w:right="21"/>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300"/>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320"/>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21"/>
              <w:spacing w:after="0" w:line="106" w:lineRule="exact"/>
              <w:rPr>
                <w:sz w:val="20"/>
                <w:szCs w:val="20"/>
                <w:color w:val="auto"/>
              </w:rPr>
            </w:pPr>
            <w:r>
              <w:rPr>
                <w:rFonts w:ascii="Times New Roman" w:cs="Times New Roman" w:eastAsia="Times New Roman" w:hAnsi="Times New Roman"/>
                <w:sz w:val="12"/>
                <w:szCs w:val="12"/>
                <w:b w:val="1"/>
                <w:bCs w:val="1"/>
                <w:color w:val="auto"/>
              </w:rPr>
              <w:t>USD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Note 2(e)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7,441,997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8,551,854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1,222,899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mezzanine equity</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7,441,997</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8,551,854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1,222,899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Class A Ordinary Shares (US$0.00025 par value; 2,632,030,222 and 2,632,030,222 shares</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authorized; 1,946,478,828 and 2,328,724,852 shares issued; 1,943,005,895 and 2,325,773,324</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shares outstanding as of December 31, 2024 and 2025, respectively)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Class C Ordinary Shares (US$0.00025 par value; 148,500,000 shares authorized, issued and</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outstanding as of December 31, 2024 and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Less: Treasury shares (3,472,933 and 2,951,528 shares as of December 31, 2024 and 2025,</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118,688,242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131,728,259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18,836,891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579,799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(113,068,210)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(128,029,031)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(18,307,908)</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NIO Inc. shareholders’ equity</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5,967,023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4,159,460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594,795</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6,064,546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592,113</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equity</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107,604,612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124,401,078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17,789,116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29"/>
        </w:trPr>
        <w:tc>
          <w:tcPr>
            <w:tcW w:w="5400" w:type="dxa"/>
            <w:vAlign w:val="bottom"/>
            <w:gridSpan w:val="2"/>
          </w:tcPr>
          <w:p>
            <w:pPr>
              <w:ind w:left="52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306"/>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32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326"/>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center"/>
              <w:ind w:right="2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06"/>
        </w:trPr>
        <w:tc>
          <w:tcPr>
            <w:tcW w:w="5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286"/>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307"/>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306"/>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27"/>
              <w:spacing w:after="0" w:line="106" w:lineRule="exact"/>
              <w:rPr>
                <w:sz w:val="20"/>
                <w:szCs w:val="20"/>
                <w:color w:val="auto"/>
              </w:rPr>
            </w:pPr>
            <w:r>
              <w:rPr>
                <w:rFonts w:ascii="Times New Roman" w:cs="Times New Roman" w:eastAsia="Times New Roman" w:hAnsi="Times New Roman"/>
                <w:sz w:val="12"/>
                <w:szCs w:val="12"/>
                <w:b w:val="1"/>
                <w:bCs w:val="1"/>
                <w:color w:val="auto"/>
              </w:rPr>
              <w:t>USD</w:t>
            </w:r>
          </w:p>
        </w:tc>
      </w:tr>
      <w:tr>
        <w:trPr>
          <w:trHeight w:val="158"/>
        </w:trPr>
        <w:tc>
          <w:tcPr>
            <w:tcW w:w="5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Note 2(e)</w:t>
            </w:r>
          </w:p>
        </w:tc>
      </w:tr>
      <w:tr>
        <w:trPr>
          <w:trHeight w:val="18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3"/>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Vehicle sales (including revenues from related parties of RMB1,456,388,</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6"/>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RMB9,915,540 and RMB16,113,630 for the years ended December 31, 2023, 2024</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and 2025, respectively)</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49,257,270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58,234,086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76,883,876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10,994,248</w:t>
            </w:r>
          </w:p>
        </w:tc>
      </w:tr>
      <w:tr>
        <w:trPr>
          <w:trHeight w:val="179"/>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sales (including revenues from related parties of RMB113,544, RMB305,807</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6"/>
        </w:trPr>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and RMB1,009,600 for the years ended December 31, 2023, 2024 and 2025,</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8"/>
        </w:trPr>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respectively)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6,360,663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7,497,473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10,603,634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1,516,299</w:t>
            </w:r>
          </w:p>
        </w:tc>
      </w:tr>
      <w:tr>
        <w:trPr>
          <w:trHeight w:val="178"/>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55,617,933</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65,731,559</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87,487,510</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12,510,547</w:t>
            </w:r>
          </w:p>
        </w:tc>
      </w:tr>
      <w:tr>
        <w:trPr>
          <w:trHeight w:val="17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Vehicle sales</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(44,587,572)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(51,094,616)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(65,670,810)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(9,390,801)</w:t>
            </w:r>
          </w:p>
        </w:tc>
      </w:tr>
      <w:tr>
        <w:trPr>
          <w:trHeight w:val="18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sales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(7,978,565)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(8,144,181)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(9,900,995)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(1,415,823)</w:t>
            </w:r>
          </w:p>
        </w:tc>
      </w:tr>
      <w:tr>
        <w:trPr>
          <w:trHeight w:val="178"/>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cost of sales</w:t>
            </w: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(52,566,137)</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(59,238,797)</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(75,571,805)</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(10,806,624)</w:t>
            </w:r>
          </w:p>
        </w:tc>
      </w:tr>
      <w:tr>
        <w:trPr>
          <w:trHeight w:val="17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3,051,796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6,492,762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11,915,705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1,703,923</w:t>
            </w: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(13,431,399)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(13,037,304)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(10,604,993)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(1,516,494)</w:t>
            </w: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(12,884,556)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(15,741,057)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(16,087,747)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(2,300,517)</w:t>
            </w:r>
          </w:p>
        </w:tc>
      </w:tr>
      <w:tr>
        <w:trPr>
          <w:trHeight w:val="17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operating income, net (including income from related parties of nil, nil and</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8"/>
        </w:trPr>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RMB150,000 for the years ended December 31, 2023, 2024 and 2025, respectively)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608,975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411,526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735,797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105,218</w:t>
            </w:r>
          </w:p>
        </w:tc>
      </w:tr>
      <w:tr>
        <w:trPr>
          <w:trHeight w:val="178"/>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(25,706,980)</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(28,366,835)</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(25,956,943)</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(3,711,793)</w:t>
            </w:r>
          </w:p>
        </w:tc>
      </w:tr>
      <w:tr>
        <w:trPr>
          <w:trHeight w:val="17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from operations</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(22,655,184)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(21,874,073)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(14,041,238)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(2,007,870)</w:t>
            </w: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and investment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2,210,018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853,728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761,658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108,916</w:t>
            </w:r>
          </w:p>
        </w:tc>
      </w:tr>
      <w:tr>
        <w:trPr>
          <w:trHeight w:val="18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(403,530)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(798,363)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(885,248)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(126,589)</w:t>
            </w: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Gain/(loss) on extinguishment of debt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170,193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(2,096)</w:t>
            </w:r>
          </w:p>
        </w:tc>
      </w:tr>
      <w:tr>
        <w:trPr>
          <w:trHeight w:val="18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of income/(loss) of equity investees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64,394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(503,193)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(1,092,184)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(156,180)</w:t>
            </w: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income/(loss), net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155,191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(98,143)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450,953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64,485</w:t>
            </w:r>
          </w:p>
        </w:tc>
      </w:tr>
      <w:tr>
        <w:trPr>
          <w:trHeight w:val="178"/>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before income tax expense</w:t>
            </w: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(20,458,918)</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(22,424,524)</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(14,820,719)</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(2,119,334)</w:t>
            </w: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(expense)/benefit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(260,835)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(121,882)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(17,429)</w:t>
            </w:r>
          </w:p>
        </w:tc>
      </w:tr>
      <w:tr>
        <w:trPr>
          <w:trHeight w:val="178"/>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(20,719,753)</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(22,401,709)</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(14,942,601)</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(2,136,763)</w:t>
            </w: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Accretion on redeemable non-controlling interests to redemption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(303,163)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(347,516)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(609,857)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(87,208)</w:t>
            </w:r>
          </w:p>
        </w:tc>
      </w:tr>
      <w:tr>
        <w:trPr>
          <w:trHeight w:val="18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(profit)/loss attributable to non-controlling interests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(124,051)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91,533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(18,220)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(2,605)</w:t>
            </w:r>
          </w:p>
        </w:tc>
      </w:tr>
      <w:tr>
        <w:trPr>
          <w:trHeight w:val="178"/>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Net loss attributable to ordinary shareholders of NIO Inc.</w:t>
            </w: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(21,146,967)</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(22,657,692)</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(15,570,678)</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(2,226,576)</w:t>
            </w:r>
          </w:p>
        </w:tc>
      </w:tr>
      <w:tr>
        <w:trPr>
          <w:trHeight w:val="17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(20,719,753)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(22,401,709)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(14,942,601)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(2,136,763)</w:t>
            </w: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Other comprehensive (loss)/income</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unrealized losses related to available-for-sale debt securities, net of tax</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(770,560)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Foreign currency translation adjustment, net of nil tax</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149,668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w:t>
            </w:r>
          </w:p>
        </w:tc>
      </w:tr>
      <w:tr>
        <w:trPr>
          <w:trHeight w:val="178"/>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other comprehensive (loss)/income</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(759,046)</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149,668</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(2,860)</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w:t>
            </w:r>
          </w:p>
        </w:tc>
      </w:tr>
      <w:tr>
        <w:trPr>
          <w:trHeight w:val="178"/>
        </w:trPr>
        <w:tc>
          <w:tcPr>
            <w:tcW w:w="5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comprehensive loss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(21,478,799)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(22,252,041)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(14,945,461)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(2,137,172)</w:t>
            </w:r>
          </w:p>
        </w:tc>
      </w:tr>
      <w:tr>
        <w:trPr>
          <w:trHeight w:val="18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Accretion on redeemable non-controlling interests to redemption value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(303,163)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(347,516)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(609,857)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(87,208)</w:t>
            </w: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(profit)/loss attributable to non-controlling interests</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(124,051)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91,533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(2,605)</w:t>
            </w:r>
          </w:p>
        </w:tc>
      </w:tr>
      <w:tr>
        <w:trPr>
          <w:trHeight w:val="18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loss attributable to non-controlling interests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156,026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8"/>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Comprehensive loss attributable to ordinary shareholders of NIO Inc</w:t>
            </w: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(21,749,987)</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(22,508,024)</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(15,573,538)</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(2,226,985)</w:t>
            </w:r>
          </w:p>
        </w:tc>
      </w:tr>
      <w:tr>
        <w:trPr>
          <w:trHeight w:val="149"/>
        </w:trPr>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Weighted average number of ordinary shares/ADS used in computing net loss per</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02"/>
        </w:trPr>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6"/>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and diluted</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1,700,203,886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2,054,614,522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2,272,635,997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2,272,635,997</w:t>
            </w:r>
          </w:p>
        </w:tc>
      </w:tr>
      <w:tr>
        <w:trPr>
          <w:trHeight w:val="18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 per share/ADS attributable to ordinary shareholders</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2"/>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and diluted</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(0.98)</w:t>
            </w:r>
          </w:p>
        </w:tc>
      </w:tr>
    </w:tbl>
    <w:p>
      <w:pPr>
        <w:spacing w:after="0" w:line="17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2"/>
                <w:szCs w:val="12"/>
                <w:color w:val="auto"/>
              </w:rPr>
            </w:pPr>
          </w:p>
        </w:tc>
        <w:tc>
          <w:tcPr>
            <w:tcW w:w="6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vMerge w:val="restart"/>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40" w:type="dxa"/>
            <w:vAlign w:val="bottom"/>
          </w:tcPr>
          <w:p>
            <w:pPr>
              <w:spacing w:after="0"/>
              <w:rPr>
                <w:sz w:val="11"/>
                <w:szCs w:val="11"/>
                <w:color w:val="auto"/>
              </w:rPr>
            </w:pPr>
          </w:p>
        </w:tc>
        <w:tc>
          <w:tcPr>
            <w:tcW w:w="1440" w:type="dxa"/>
            <w:vAlign w:val="bottom"/>
            <w:gridSpan w:val="3"/>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Other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94"/>
              <w:spacing w:after="0" w:line="136"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020" w:type="dxa"/>
            <w:vAlign w:val="bottom"/>
            <w:gridSpan w:val="2"/>
          </w:tcPr>
          <w:p>
            <w:pPr>
              <w:jc w:val="center"/>
              <w:ind w:left="74"/>
              <w:spacing w:after="0" w:line="13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00" w:type="dxa"/>
            <w:vAlign w:val="bottom"/>
            <w:gridSpan w:val="2"/>
            <w:vMerge w:val="continue"/>
          </w:tcPr>
          <w:p>
            <w:pPr>
              <w:spacing w:after="0"/>
              <w:rPr>
                <w:sz w:val="11"/>
                <w:szCs w:val="11"/>
                <w:color w:val="auto"/>
              </w:rPr>
            </w:pPr>
          </w:p>
        </w:tc>
        <w:tc>
          <w:tcPr>
            <w:tcW w:w="9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4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  Capital</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​​​(Loss)/Income</w:t>
            </w:r>
          </w:p>
        </w:tc>
        <w:tc>
          <w:tcPr>
            <w:tcW w:w="900" w:type="dxa"/>
            <w:vAlign w:val="bottom"/>
            <w:gridSpan w:val="2"/>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   Deficit</w:t>
            </w:r>
          </w:p>
        </w:tc>
        <w:tc>
          <w:tcPr>
            <w:tcW w:w="92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   Equity</w:t>
            </w:r>
          </w:p>
        </w:tc>
        <w:tc>
          <w:tcPr>
            <w:tcW w:w="80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 Interests</w:t>
            </w:r>
          </w:p>
        </w:tc>
        <w:tc>
          <w:tcPr>
            <w:tcW w:w="82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Equity</w:t>
            </w: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940" w:type="dxa"/>
            <w:vAlign w:val="bottom"/>
            <w:gridSpan w:val="2"/>
          </w:tcPr>
          <w:p>
            <w:pPr>
              <w:jc w:val="right"/>
              <w:ind w:right="154"/>
              <w:spacing w:after="0" w:line="129" w:lineRule="exact"/>
              <w:rPr>
                <w:sz w:val="20"/>
                <w:szCs w:val="20"/>
                <w:color w:val="auto"/>
              </w:rPr>
            </w:pPr>
            <w:r>
              <w:rPr>
                <w:rFonts w:ascii="Times New Roman" w:cs="Times New Roman" w:eastAsia="Times New Roman" w:hAnsi="Times New Roman"/>
                <w:sz w:val="13"/>
                <w:szCs w:val="13"/>
                <w:b w:val="1"/>
                <w:bCs w:val="1"/>
                <w:color w:val="auto"/>
              </w:rPr>
              <w:t>​​​   Shares</w:t>
            </w: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820" w:type="dxa"/>
            <w:vAlign w:val="bottom"/>
            <w:gridSpan w:val="2"/>
          </w:tcPr>
          <w:p>
            <w:pPr>
              <w:jc w:val="right"/>
              <w:ind w:right="94"/>
              <w:spacing w:after="0" w:line="129" w:lineRule="exact"/>
              <w:rPr>
                <w:sz w:val="20"/>
                <w:szCs w:val="20"/>
                <w:color w:val="auto"/>
              </w:rPr>
            </w:pPr>
            <w:r>
              <w:rPr>
                <w:rFonts w:ascii="Times New Roman" w:cs="Times New Roman" w:eastAsia="Times New Roman" w:hAnsi="Times New Roman"/>
                <w:sz w:val="13"/>
                <w:szCs w:val="13"/>
                <w:b w:val="1"/>
                <w:bCs w:val="1"/>
                <w:color w:val="auto"/>
              </w:rPr>
              <w:t>​​​  Shares</w:t>
            </w:r>
          </w:p>
        </w:tc>
        <w:tc>
          <w:tcPr>
            <w:tcW w:w="760" w:type="dxa"/>
            <w:vAlign w:val="bottom"/>
            <w:gridSpan w:val="2"/>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 Amount</w:t>
            </w: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720" w:type="dxa"/>
            <w:vAlign w:val="bottom"/>
            <w:tcBorders>
              <w:top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120" w:type="dxa"/>
            <w:vAlign w:val="bottom"/>
            <w:tcBorders>
              <w:top w:val="single" w:sz="8" w:color="CCEEFF"/>
            </w:tcBorders>
            <w:vMerge w:val="restart"/>
            <w:shd w:val="clear" w:color="auto" w:fill="CCEEFF"/>
          </w:tcPr>
          <w:p>
            <w:pPr>
              <w:spacing w:after="0"/>
              <w:rPr>
                <w:sz w:val="8"/>
                <w:szCs w:val="8"/>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1,680,220,892</w:t>
            </w:r>
          </w:p>
        </w:tc>
        <w:tc>
          <w:tcPr>
            <w:tcW w:w="140" w:type="dxa"/>
            <w:vAlign w:val="bottom"/>
            <w:tcBorders>
              <w:top w:val="single" w:sz="8" w:color="CCEEFF"/>
            </w:tcBorders>
            <w:vMerge w:val="restart"/>
            <w:shd w:val="clear" w:color="auto" w:fill="CCEEFF"/>
          </w:tcPr>
          <w:p>
            <w:pPr>
              <w:spacing w:after="0"/>
              <w:rPr>
                <w:sz w:val="8"/>
                <w:szCs w:val="8"/>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2,922</w:t>
            </w:r>
          </w:p>
        </w:tc>
        <w:tc>
          <w:tcPr>
            <w:tcW w:w="140" w:type="dxa"/>
            <w:vAlign w:val="bottom"/>
            <w:tcBorders>
              <w:top w:val="single" w:sz="8" w:color="CCEEFF"/>
            </w:tcBorders>
            <w:vMerge w:val="restart"/>
            <w:shd w:val="clear" w:color="auto" w:fill="CCEEFF"/>
          </w:tcPr>
          <w:p>
            <w:pPr>
              <w:spacing w:after="0"/>
              <w:rPr>
                <w:sz w:val="8"/>
                <w:szCs w:val="8"/>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(18,061,024)</w:t>
            </w:r>
          </w:p>
        </w:tc>
        <w:tc>
          <w:tcPr>
            <w:tcW w:w="140" w:type="dxa"/>
            <w:vAlign w:val="bottom"/>
            <w:tcBorders>
              <w:top w:val="single" w:sz="8" w:color="CCEEFF"/>
            </w:tcBorders>
            <w:vMerge w:val="restart"/>
            <w:shd w:val="clear" w:color="auto" w:fill="CCEEFF"/>
          </w:tcPr>
          <w:p>
            <w:pPr>
              <w:spacing w:after="0"/>
              <w:rPr>
                <w:sz w:val="8"/>
                <w:szCs w:val="8"/>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(1,849,600)</w:t>
            </w:r>
          </w:p>
        </w:tc>
        <w:tc>
          <w:tcPr>
            <w:tcW w:w="140" w:type="dxa"/>
            <w:vAlign w:val="bottom"/>
            <w:tcBorders>
              <w:top w:val="single" w:sz="8" w:color="CCEEFF"/>
            </w:tcBorders>
            <w:vMerge w:val="restart"/>
            <w:shd w:val="clear" w:color="auto" w:fill="CCEEFF"/>
          </w:tcPr>
          <w:p>
            <w:pPr>
              <w:spacing w:after="0"/>
              <w:rPr>
                <w:sz w:val="8"/>
                <w:szCs w:val="8"/>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94,593,062</w:t>
            </w:r>
          </w:p>
        </w:tc>
        <w:tc>
          <w:tcPr>
            <w:tcW w:w="140" w:type="dxa"/>
            <w:vAlign w:val="bottom"/>
            <w:tcBorders>
              <w:top w:val="single" w:sz="8" w:color="CCEEFF"/>
            </w:tcBorders>
            <w:vMerge w:val="restart"/>
            <w:shd w:val="clear" w:color="auto" w:fill="CCEEFF"/>
          </w:tcPr>
          <w:p>
            <w:pPr>
              <w:spacing w:after="0"/>
              <w:rPr>
                <w:sz w:val="8"/>
                <w:szCs w:val="8"/>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1,036,011</w:t>
            </w:r>
          </w:p>
        </w:tc>
        <w:tc>
          <w:tcPr>
            <w:tcW w:w="140" w:type="dxa"/>
            <w:vAlign w:val="bottom"/>
            <w:tcBorders>
              <w:top w:val="single" w:sz="8" w:color="CCEEFF"/>
            </w:tcBorders>
            <w:vMerge w:val="restart"/>
            <w:shd w:val="clear" w:color="auto" w:fill="CCEEFF"/>
          </w:tcPr>
          <w:p>
            <w:pPr>
              <w:spacing w:after="0"/>
              <w:rPr>
                <w:sz w:val="8"/>
                <w:szCs w:val="8"/>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(69,914,230)</w:t>
            </w:r>
          </w:p>
        </w:tc>
        <w:tc>
          <w:tcPr>
            <w:tcW w:w="120" w:type="dxa"/>
            <w:vAlign w:val="bottom"/>
            <w:tcBorders>
              <w:top w:val="single" w:sz="8" w:color="CCEEFF"/>
            </w:tcBorders>
            <w:vMerge w:val="restart"/>
            <w:shd w:val="clear" w:color="auto" w:fill="CCEEFF"/>
          </w:tcPr>
          <w:p>
            <w:pPr>
              <w:spacing w:after="0"/>
              <w:rPr>
                <w:sz w:val="8"/>
                <w:szCs w:val="8"/>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23,868,165</w:t>
            </w:r>
          </w:p>
        </w:tc>
        <w:tc>
          <w:tcPr>
            <w:tcW w:w="140" w:type="dxa"/>
            <w:vAlign w:val="bottom"/>
            <w:tcBorders>
              <w:top w:val="single" w:sz="8" w:color="CCEEFF"/>
            </w:tcBorders>
            <w:vMerge w:val="restart"/>
            <w:shd w:val="clear" w:color="auto" w:fill="CCEEFF"/>
          </w:tcPr>
          <w:p>
            <w:pPr>
              <w:spacing w:after="0"/>
              <w:rPr>
                <w:sz w:val="8"/>
                <w:szCs w:val="8"/>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221,374</w:t>
            </w:r>
          </w:p>
        </w:tc>
        <w:tc>
          <w:tcPr>
            <w:tcW w:w="120" w:type="dxa"/>
            <w:vAlign w:val="bottom"/>
            <w:tcBorders>
              <w:top w:val="single" w:sz="8" w:color="CCEEFF"/>
            </w:tcBorders>
            <w:vMerge w:val="restart"/>
            <w:shd w:val="clear" w:color="auto" w:fill="CCEEFF"/>
          </w:tcPr>
          <w:p>
            <w:pPr>
              <w:spacing w:after="0"/>
              <w:rPr>
                <w:sz w:val="8"/>
                <w:szCs w:val="8"/>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24,089,539</w:t>
            </w:r>
          </w:p>
        </w:tc>
        <w:tc>
          <w:tcPr>
            <w:tcW w:w="0" w:type="dxa"/>
            <w:vAlign w:val="bottom"/>
          </w:tcPr>
          <w:p>
            <w:pPr>
              <w:spacing w:after="0"/>
              <w:rPr>
                <w:sz w:val="1"/>
                <w:szCs w:val="1"/>
                <w:color w:val="auto"/>
              </w:rPr>
            </w:pPr>
          </w:p>
        </w:tc>
      </w:tr>
      <w:tr>
        <w:trPr>
          <w:trHeight w:val="158"/>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Accretion on redeemable non-</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controlling interests to</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(303,163)</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(303,163)</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(303,163)</w:t>
            </w:r>
          </w:p>
        </w:tc>
        <w:tc>
          <w:tcPr>
            <w:tcW w:w="0" w:type="dxa"/>
            <w:vAlign w:val="bottom"/>
          </w:tcPr>
          <w:p>
            <w:pPr>
              <w:spacing w:after="0"/>
              <w:rPr>
                <w:sz w:val="1"/>
                <w:szCs w:val="1"/>
                <w:color w:val="auto"/>
              </w:rPr>
            </w:pPr>
          </w:p>
        </w:tc>
      </w:tr>
      <w:tr>
        <w:trPr>
          <w:trHeight w:val="156"/>
        </w:trPr>
        <w:tc>
          <w:tcPr>
            <w:tcW w:w="1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redemption value</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Issuance of ordinary shares</w:t>
            </w:r>
          </w:p>
        </w:tc>
        <w:tc>
          <w:tcPr>
            <w:tcW w:w="9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378,695,543</w:t>
            </w:r>
          </w:p>
        </w:tc>
        <w:tc>
          <w:tcPr>
            <w:tcW w:w="6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674</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20,961,615</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20,962,289</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20,962,289</w:t>
            </w:r>
          </w:p>
        </w:tc>
        <w:tc>
          <w:tcPr>
            <w:tcW w:w="0" w:type="dxa"/>
            <w:vAlign w:val="bottom"/>
          </w:tcPr>
          <w:p>
            <w:pPr>
              <w:spacing w:after="0"/>
              <w:rPr>
                <w:sz w:val="1"/>
                <w:szCs w:val="1"/>
                <w:color w:val="auto"/>
              </w:rPr>
            </w:pPr>
          </w:p>
        </w:tc>
      </w:tr>
      <w:tr>
        <w:trPr>
          <w:trHeight w:val="136"/>
        </w:trPr>
        <w:tc>
          <w:tcPr>
            <w:tcW w:w="1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Exercise of share options</w:t>
            </w:r>
          </w:p>
        </w:tc>
        <w:tc>
          <w:tcPr>
            <w:tcW w:w="9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4,242,054</w:t>
            </w:r>
          </w:p>
        </w:tc>
        <w:tc>
          <w:tcPr>
            <w:tcW w:w="6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96,699</w:t>
            </w: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96,707</w:t>
            </w: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96,707</w:t>
            </w:r>
          </w:p>
        </w:tc>
        <w:tc>
          <w:tcPr>
            <w:tcW w:w="0" w:type="dxa"/>
            <w:vAlign w:val="bottom"/>
          </w:tcPr>
          <w:p>
            <w:pPr>
              <w:spacing w:after="0"/>
              <w:rPr>
                <w:sz w:val="1"/>
                <w:szCs w:val="1"/>
                <w:color w:val="auto"/>
              </w:rPr>
            </w:pPr>
          </w:p>
        </w:tc>
      </w:tr>
      <w:tr>
        <w:trPr>
          <w:trHeight w:val="116"/>
        </w:trPr>
        <w:tc>
          <w:tcPr>
            <w:tcW w:w="1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Share based compensation of</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10,363,629</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2,089,401</w:t>
            </w: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2,089,419</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2,089,419</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the restricted shares</w:t>
            </w:r>
          </w:p>
        </w:tc>
        <w:tc>
          <w:tcPr>
            <w:tcW w:w="94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Share based compensation of</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279,640</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279,640</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279,640</w:t>
            </w:r>
          </w:p>
        </w:tc>
        <w:tc>
          <w:tcPr>
            <w:tcW w:w="0" w:type="dxa"/>
            <w:vAlign w:val="bottom"/>
          </w:tcPr>
          <w:p>
            <w:pPr>
              <w:spacing w:after="0"/>
              <w:rPr>
                <w:sz w:val="1"/>
                <w:szCs w:val="1"/>
                <w:color w:val="auto"/>
              </w:rPr>
            </w:pPr>
          </w:p>
        </w:tc>
      </w:tr>
      <w:tr>
        <w:trPr>
          <w:trHeight w:val="156"/>
        </w:trPr>
        <w:tc>
          <w:tcPr>
            <w:tcW w:w="1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the share options</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11,514</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11,514</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11,514</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w:t>
            </w: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Recycling of unrealized gain of</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available-for-sale debt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(614,534)</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(614,534)</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(156,026)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(770,560)</w:t>
            </w:r>
          </w:p>
        </w:tc>
        <w:tc>
          <w:tcPr>
            <w:tcW w:w="0" w:type="dxa"/>
            <w:vAlign w:val="bottom"/>
          </w:tcPr>
          <w:p>
            <w:pPr>
              <w:spacing w:after="0"/>
              <w:rPr>
                <w:sz w:val="1"/>
                <w:szCs w:val="1"/>
                <w:color w:val="auto"/>
              </w:rPr>
            </w:pPr>
          </w:p>
        </w:tc>
      </w:tr>
      <w:tr>
        <w:trPr>
          <w:trHeight w:val="156"/>
        </w:trPr>
        <w:tc>
          <w:tcPr>
            <w:tcW w:w="1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security (Note 9)</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(20,843,804)</w:t>
            </w:r>
          </w:p>
        </w:tc>
        <w:tc>
          <w:tcPr>
            <w:tcW w:w="12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(20,843,804)</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124,051</w:t>
            </w:r>
          </w:p>
        </w:tc>
        <w:tc>
          <w:tcPr>
            <w:tcW w:w="12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(20,719,753)</w:t>
            </w:r>
          </w:p>
        </w:tc>
        <w:tc>
          <w:tcPr>
            <w:tcW w:w="0" w:type="dxa"/>
            <w:vAlign w:val="bottom"/>
          </w:tcPr>
          <w:p>
            <w:pPr>
              <w:spacing w:after="0"/>
              <w:rPr>
                <w:sz w:val="1"/>
                <w:szCs w:val="1"/>
                <w:color w:val="auto"/>
              </w:rPr>
            </w:pPr>
          </w:p>
        </w:tc>
      </w:tr>
      <w:tr>
        <w:trPr>
          <w:trHeight w:val="94"/>
        </w:trPr>
        <w:tc>
          <w:tcPr>
            <w:tcW w:w="1720" w:type="dxa"/>
            <w:vAlign w:val="bottom"/>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2,073,522,118</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(18,061,024)</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(1,849,600)</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117,717,254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432,991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(90,758,034)</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25,546,233</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189,399</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25,735,632</w:t>
            </w:r>
          </w:p>
        </w:tc>
        <w:tc>
          <w:tcPr>
            <w:tcW w:w="0" w:type="dxa"/>
            <w:vAlign w:val="bottom"/>
          </w:tcPr>
          <w:p>
            <w:pPr>
              <w:spacing w:after="0"/>
              <w:rPr>
                <w:sz w:val="1"/>
                <w:szCs w:val="1"/>
                <w:color w:val="auto"/>
              </w:rPr>
            </w:pPr>
          </w:p>
        </w:tc>
      </w:tr>
      <w:tr>
        <w:trPr>
          <w:trHeight w:val="146"/>
        </w:trPr>
        <w:tc>
          <w:tcPr>
            <w:tcW w:w="172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9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334010</wp:posOffset>
            </wp:positionV>
            <wp:extent cx="649922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8">
                      <a:extLst>
                        <a:ext uri="{28A0092B-C50C-407E-A947-70E740481C1C}"/>
                      </a:extLst>
                    </a:blip>
                    <a:srcRect/>
                    <a:stretch>
                      <a:fillRect/>
                    </a:stretch>
                  </pic:blipFill>
                  <pic:spPr bwMode="auto">
                    <a:xfrm>
                      <a:off x="0" y="0"/>
                      <a:ext cx="6499225" cy="15875"/>
                    </a:xfrm>
                    <a:prstGeom prst="rect">
                      <a:avLst/>
                    </a:prstGeom>
                    <a:noFill/>
                  </pic:spPr>
                </pic:pic>
              </a:graphicData>
            </a:graphic>
          </wp:anchor>
        </w:drawing>
      </w:r>
    </w:p>
    <w:p>
      <w:pPr>
        <w:sectPr>
          <w:pgSz w:w="11900" w:h="16838" w:orient="portrait"/>
          <w:cols w:equalWidth="0" w:num="1">
            <w:col w:w="10220"/>
          </w:cols>
          <w:pgMar w:left="840" w:top="482" w:right="8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2"/>
                <w:szCs w:val="12"/>
                <w:color w:val="auto"/>
              </w:rPr>
            </w:pPr>
          </w:p>
        </w:tc>
        <w:tc>
          <w:tcPr>
            <w:tcW w:w="6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vMerge w:val="restart"/>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40" w:type="dxa"/>
            <w:vAlign w:val="bottom"/>
          </w:tcPr>
          <w:p>
            <w:pPr>
              <w:spacing w:after="0"/>
              <w:rPr>
                <w:sz w:val="11"/>
                <w:szCs w:val="11"/>
                <w:color w:val="auto"/>
              </w:rPr>
            </w:pPr>
          </w:p>
        </w:tc>
        <w:tc>
          <w:tcPr>
            <w:tcW w:w="1440" w:type="dxa"/>
            <w:vAlign w:val="bottom"/>
            <w:gridSpan w:val="3"/>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Other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94"/>
              <w:spacing w:after="0" w:line="136"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020" w:type="dxa"/>
            <w:vAlign w:val="bottom"/>
            <w:gridSpan w:val="2"/>
          </w:tcPr>
          <w:p>
            <w:pPr>
              <w:jc w:val="center"/>
              <w:ind w:left="74"/>
              <w:spacing w:after="0" w:line="13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00" w:type="dxa"/>
            <w:vAlign w:val="bottom"/>
            <w:gridSpan w:val="2"/>
            <w:vMerge w:val="continue"/>
          </w:tcPr>
          <w:p>
            <w:pPr>
              <w:spacing w:after="0"/>
              <w:rPr>
                <w:sz w:val="11"/>
                <w:szCs w:val="11"/>
                <w:color w:val="auto"/>
              </w:rPr>
            </w:pPr>
          </w:p>
        </w:tc>
        <w:tc>
          <w:tcPr>
            <w:tcW w:w="9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4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  Capital</w:t>
            </w:r>
          </w:p>
        </w:tc>
        <w:tc>
          <w:tcPr>
            <w:tcW w:w="102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   Income</w:t>
            </w:r>
          </w:p>
        </w:tc>
        <w:tc>
          <w:tcPr>
            <w:tcW w:w="900" w:type="dxa"/>
            <w:vAlign w:val="bottom"/>
            <w:gridSpan w:val="2"/>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   Deficit</w:t>
            </w:r>
          </w:p>
        </w:tc>
        <w:tc>
          <w:tcPr>
            <w:tcW w:w="92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   Equity</w:t>
            </w:r>
          </w:p>
        </w:tc>
        <w:tc>
          <w:tcPr>
            <w:tcW w:w="80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 Interests</w:t>
            </w:r>
          </w:p>
        </w:tc>
        <w:tc>
          <w:tcPr>
            <w:tcW w:w="82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Equity</w:t>
            </w: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960" w:type="dxa"/>
            <w:vAlign w:val="bottom"/>
            <w:gridSpan w:val="2"/>
          </w:tcPr>
          <w:p>
            <w:pPr>
              <w:jc w:val="right"/>
              <w:ind w:right="154"/>
              <w:spacing w:after="0" w:line="129" w:lineRule="exact"/>
              <w:rPr>
                <w:sz w:val="20"/>
                <w:szCs w:val="20"/>
                <w:color w:val="auto"/>
              </w:rPr>
            </w:pPr>
            <w:r>
              <w:rPr>
                <w:rFonts w:ascii="Times New Roman" w:cs="Times New Roman" w:eastAsia="Times New Roman" w:hAnsi="Times New Roman"/>
                <w:sz w:val="13"/>
                <w:szCs w:val="13"/>
                <w:b w:val="1"/>
                <w:bCs w:val="1"/>
                <w:color w:val="auto"/>
              </w:rPr>
              <w:t>​​​   Shares</w:t>
            </w: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820" w:type="dxa"/>
            <w:vAlign w:val="bottom"/>
            <w:gridSpan w:val="2"/>
          </w:tcPr>
          <w:p>
            <w:pPr>
              <w:jc w:val="right"/>
              <w:ind w:right="94"/>
              <w:spacing w:after="0" w:line="129" w:lineRule="exact"/>
              <w:rPr>
                <w:sz w:val="20"/>
                <w:szCs w:val="20"/>
                <w:color w:val="auto"/>
              </w:rPr>
            </w:pPr>
            <w:r>
              <w:rPr>
                <w:rFonts w:ascii="Times New Roman" w:cs="Times New Roman" w:eastAsia="Times New Roman" w:hAnsi="Times New Roman"/>
                <w:sz w:val="13"/>
                <w:szCs w:val="13"/>
                <w:b w:val="1"/>
                <w:bCs w:val="1"/>
                <w:color w:val="auto"/>
              </w:rPr>
              <w:t>​​​  Shares</w:t>
            </w:r>
          </w:p>
        </w:tc>
        <w:tc>
          <w:tcPr>
            <w:tcW w:w="760" w:type="dxa"/>
            <w:vAlign w:val="bottom"/>
            <w:gridSpan w:val="2"/>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 Amount</w:t>
            </w: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700" w:type="dxa"/>
            <w:vAlign w:val="bottom"/>
            <w:vMerge w:val="continue"/>
            <w:shd w:val="clear" w:color="auto" w:fill="CCEEFF"/>
          </w:tcPr>
          <w:p>
            <w:pPr>
              <w:spacing w:after="0"/>
              <w:rPr>
                <w:sz w:val="8"/>
                <w:szCs w:val="8"/>
                <w:color w:val="auto"/>
              </w:rPr>
            </w:pPr>
          </w:p>
        </w:tc>
        <w:tc>
          <w:tcPr>
            <w:tcW w:w="140" w:type="dxa"/>
            <w:vAlign w:val="bottom"/>
            <w:vMerge w:val="restart"/>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2,073,522,118</w:t>
            </w:r>
          </w:p>
        </w:tc>
        <w:tc>
          <w:tcPr>
            <w:tcW w:w="140" w:type="dxa"/>
            <w:vAlign w:val="bottom"/>
            <w:vMerge w:val="restart"/>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40" w:type="dxa"/>
            <w:vAlign w:val="bottom"/>
            <w:vMerge w:val="restart"/>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(18,061,024)</w:t>
            </w:r>
          </w:p>
        </w:tc>
        <w:tc>
          <w:tcPr>
            <w:tcW w:w="140" w:type="dxa"/>
            <w:vAlign w:val="bottom"/>
            <w:vMerge w:val="restart"/>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(1,849,600)</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117,717,254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432,991</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(90,758,034)</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25,546,233</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189,399</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25,735,632</w:t>
            </w: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Accretion on redeemable non-</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controlling interests to</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(347,516)</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(347,516)</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(347,516)</w:t>
            </w:r>
          </w:p>
        </w:tc>
        <w:tc>
          <w:tcPr>
            <w:tcW w:w="0" w:type="dxa"/>
            <w:vAlign w:val="bottom"/>
          </w:tcPr>
          <w:p>
            <w:pPr>
              <w:spacing w:after="0"/>
              <w:rPr>
                <w:sz w:val="1"/>
                <w:szCs w:val="1"/>
                <w:color w:val="auto"/>
              </w:rPr>
            </w:pPr>
          </w:p>
        </w:tc>
      </w:tr>
      <w:tr>
        <w:trPr>
          <w:trHeight w:val="156"/>
        </w:trPr>
        <w:tc>
          <w:tcPr>
            <w:tcW w:w="1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redemption value</w:t>
            </w: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Exchange of convertible senior</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notes to ordinary shares with</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cancellation of the same</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amount of treasury shares</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27,690,071</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2,214,029</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(1,311,200)</w:t>
            </w: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902,829</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902,829</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 12 (iv))</w:t>
            </w:r>
          </w:p>
        </w:tc>
        <w:tc>
          <w:tcPr>
            <w:tcW w:w="1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Exercise of share options</w:t>
            </w:r>
          </w:p>
        </w:tc>
        <w:tc>
          <w:tcPr>
            <w:tcW w:w="9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7,102,713</w:t>
            </w:r>
          </w:p>
        </w:tc>
        <w:tc>
          <w:tcPr>
            <w:tcW w:w="6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97,460</w:t>
            </w: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97,473</w:t>
            </w: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97,473</w:t>
            </w:r>
          </w:p>
        </w:tc>
        <w:tc>
          <w:tcPr>
            <w:tcW w:w="0" w:type="dxa"/>
            <w:vAlign w:val="bottom"/>
          </w:tcPr>
          <w:p>
            <w:pPr>
              <w:spacing w:after="0"/>
              <w:rPr>
                <w:sz w:val="1"/>
                <w:szCs w:val="1"/>
                <w:color w:val="auto"/>
              </w:rPr>
            </w:pPr>
          </w:p>
        </w:tc>
      </w:tr>
      <w:tr>
        <w:trPr>
          <w:trHeight w:val="116"/>
        </w:trPr>
        <w:tc>
          <w:tcPr>
            <w:tcW w:w="17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Share based compensation of</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14,353,997</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1,918,768</w:t>
            </w: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1,918,793</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1,918,793</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the restricted shares</w:t>
            </w:r>
          </w:p>
        </w:tc>
        <w:tc>
          <w:tcPr>
            <w:tcW w:w="9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Share based compensation of</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9,719</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9,719</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9,719</w:t>
            </w:r>
          </w:p>
        </w:tc>
        <w:tc>
          <w:tcPr>
            <w:tcW w:w="0" w:type="dxa"/>
            <w:vAlign w:val="bottom"/>
          </w:tcPr>
          <w:p>
            <w:pPr>
              <w:spacing w:after="0"/>
              <w:rPr>
                <w:sz w:val="1"/>
                <w:szCs w:val="1"/>
                <w:color w:val="auto"/>
              </w:rPr>
            </w:pPr>
          </w:p>
        </w:tc>
      </w:tr>
      <w:tr>
        <w:trPr>
          <w:trHeight w:val="156"/>
        </w:trPr>
        <w:tc>
          <w:tcPr>
            <w:tcW w:w="1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the share options</w:t>
            </w: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149,668</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149,668</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149,668</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w:t>
            </w:r>
          </w:p>
        </w:tc>
        <w:tc>
          <w:tcPr>
            <w:tcW w:w="1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Settlement of capped call</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options and zero strike call</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(13,404,825)</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(709,490)</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709,490</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(Note 12 (iv))</w:t>
            </w: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Capital withdrawal by non-</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controlling interests</w:t>
            </w:r>
          </w:p>
        </w:tc>
        <w:tc>
          <w:tcPr>
            <w:tcW w:w="1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Share lending arrangement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302,845</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105,733</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(105,733)</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 21)</w:t>
            </w: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Net loss</w:t>
            </w:r>
          </w:p>
        </w:tc>
        <w:tc>
          <w:tcPr>
            <w:tcW w:w="14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(22,310,176)</w:t>
            </w:r>
          </w:p>
        </w:tc>
        <w:tc>
          <w:tcPr>
            <w:tcW w:w="12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(22,310,176)</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(91,533)</w:t>
            </w:r>
          </w:p>
        </w:tc>
        <w:tc>
          <w:tcPr>
            <w:tcW w:w="12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(22,401,709)</w:t>
            </w:r>
          </w:p>
        </w:tc>
        <w:tc>
          <w:tcPr>
            <w:tcW w:w="0" w:type="dxa"/>
            <w:vAlign w:val="bottom"/>
          </w:tcPr>
          <w:p>
            <w:pPr>
              <w:spacing w:after="0"/>
              <w:rPr>
                <w:sz w:val="1"/>
                <w:szCs w:val="1"/>
                <w:color w:val="auto"/>
              </w:rPr>
            </w:pPr>
          </w:p>
        </w:tc>
      </w:tr>
      <w:tr>
        <w:trPr>
          <w:trHeight w:val="94"/>
        </w:trPr>
        <w:tc>
          <w:tcPr>
            <w:tcW w:w="1700" w:type="dxa"/>
            <w:vAlign w:val="bottom"/>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2,094,978,828</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3,660</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(3,472,933)</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(239,328)</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118,688,242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582,659</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(113,068,210)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5,967,023</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97,523</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6,064,546</w:t>
            </w:r>
          </w:p>
        </w:tc>
        <w:tc>
          <w:tcPr>
            <w:tcW w:w="0" w:type="dxa"/>
            <w:vAlign w:val="bottom"/>
          </w:tcPr>
          <w:p>
            <w:pPr>
              <w:spacing w:after="0"/>
              <w:rPr>
                <w:sz w:val="1"/>
                <w:szCs w:val="1"/>
                <w:color w:val="auto"/>
              </w:rPr>
            </w:pPr>
          </w:p>
        </w:tc>
      </w:tr>
      <w:tr>
        <w:trPr>
          <w:trHeight w:val="146"/>
        </w:trPr>
        <w:tc>
          <w:tcPr>
            <w:tcW w:w="170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9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334010</wp:posOffset>
            </wp:positionV>
            <wp:extent cx="6499225"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9">
                      <a:extLst>
                        <a:ext uri="{28A0092B-C50C-407E-A947-70E740481C1C}"/>
                      </a:extLst>
                    </a:blip>
                    <a:srcRect/>
                    <a:stretch>
                      <a:fillRect/>
                    </a:stretch>
                  </pic:blipFill>
                  <pic:spPr bwMode="auto">
                    <a:xfrm>
                      <a:off x="0" y="0"/>
                      <a:ext cx="6499225" cy="15875"/>
                    </a:xfrm>
                    <a:prstGeom prst="rect">
                      <a:avLst/>
                    </a:prstGeom>
                    <a:noFill/>
                  </pic:spPr>
                </pic:pic>
              </a:graphicData>
            </a:graphic>
          </wp:anchor>
        </w:drawing>
      </w:r>
    </w:p>
    <w:p>
      <w:pPr>
        <w:sectPr>
          <w:pgSz w:w="11900" w:h="16838" w:orient="portrait"/>
          <w:cols w:equalWidth="0" w:num="1">
            <w:col w:w="10220"/>
          </w:cols>
          <w:pgMar w:left="840" w:top="482" w:right="8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2"/>
                <w:szCs w:val="12"/>
                <w:color w:val="auto"/>
              </w:rPr>
            </w:pPr>
          </w:p>
        </w:tc>
        <w:tc>
          <w:tcPr>
            <w:tcW w:w="6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vMerge w:val="restart"/>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40" w:type="dxa"/>
            <w:vAlign w:val="bottom"/>
          </w:tcPr>
          <w:p>
            <w:pPr>
              <w:spacing w:after="0"/>
              <w:rPr>
                <w:sz w:val="11"/>
                <w:szCs w:val="11"/>
                <w:color w:val="auto"/>
              </w:rPr>
            </w:pPr>
          </w:p>
        </w:tc>
        <w:tc>
          <w:tcPr>
            <w:tcW w:w="1300" w:type="dxa"/>
            <w:vAlign w:val="bottom"/>
            <w:gridSpan w:val="3"/>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Other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1020" w:type="dxa"/>
            <w:vAlign w:val="bottom"/>
            <w:gridSpan w:val="2"/>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00" w:type="dxa"/>
            <w:vAlign w:val="bottom"/>
            <w:gridSpan w:val="2"/>
            <w:vMerge w:val="continue"/>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940" w:type="dxa"/>
            <w:vAlign w:val="bottom"/>
            <w:gridSpan w:val="2"/>
          </w:tcPr>
          <w:p>
            <w:pPr>
              <w:jc w:val="right"/>
              <w:ind w:right="154"/>
              <w:spacing w:after="0" w:line="129" w:lineRule="exact"/>
              <w:rPr>
                <w:sz w:val="20"/>
                <w:szCs w:val="20"/>
                <w:color w:val="auto"/>
              </w:rPr>
            </w:pPr>
            <w:r>
              <w:rPr>
                <w:rFonts w:ascii="Times New Roman" w:cs="Times New Roman" w:eastAsia="Times New Roman" w:hAnsi="Times New Roman"/>
                <w:sz w:val="13"/>
                <w:szCs w:val="13"/>
                <w:b w:val="1"/>
                <w:bCs w:val="1"/>
                <w:color w:val="auto"/>
              </w:rPr>
              <w:t>​​​   Shares</w:t>
            </w:r>
          </w:p>
        </w:tc>
        <w:tc>
          <w:tcPr>
            <w:tcW w:w="1440" w:type="dxa"/>
            <w:vAlign w:val="bottom"/>
            <w:gridSpan w:val="4"/>
          </w:tcPr>
          <w:p>
            <w:pPr>
              <w:jc w:val="right"/>
              <w:ind w:right="74"/>
              <w:spacing w:after="0" w:line="129" w:lineRule="exact"/>
              <w:rPr>
                <w:sz w:val="20"/>
                <w:szCs w:val="20"/>
                <w:color w:val="auto"/>
              </w:rPr>
            </w:pPr>
            <w:r>
              <w:rPr>
                <w:rFonts w:ascii="Times New Roman" w:cs="Times New Roman" w:eastAsia="Times New Roman" w:hAnsi="Times New Roman"/>
                <w:sz w:val="13"/>
                <w:szCs w:val="13"/>
                <w:b w:val="1"/>
                <w:bCs w:val="1"/>
                <w:color w:val="auto"/>
              </w:rPr>
              <w:t>​​​Par value ​​​  Shares</w:t>
            </w: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jc w:val="right"/>
              <w:ind w:right="94"/>
              <w:spacing w:after="0" w:line="129" w:lineRule="exact"/>
              <w:rPr>
                <w:sz w:val="20"/>
                <w:szCs w:val="20"/>
                <w:color w:val="auto"/>
              </w:rPr>
            </w:pPr>
            <w:r>
              <w:rPr>
                <w:rFonts w:ascii="Times New Roman" w:cs="Times New Roman" w:eastAsia="Times New Roman" w:hAnsi="Times New Roman"/>
                <w:sz w:val="13"/>
                <w:szCs w:val="13"/>
                <w:b w:val="1"/>
                <w:bCs w:val="1"/>
                <w:color w:val="auto"/>
              </w:rPr>
              <w:t>​​​  Capital</w:t>
            </w:r>
          </w:p>
        </w:tc>
        <w:tc>
          <w:tcPr>
            <w:tcW w:w="1020" w:type="dxa"/>
            <w:vAlign w:val="bottom"/>
            <w:gridSpan w:val="2"/>
          </w:tcPr>
          <w:p>
            <w:pPr>
              <w:jc w:val="right"/>
              <w:ind w:right="174"/>
              <w:spacing w:after="0" w:line="129" w:lineRule="exact"/>
              <w:rPr>
                <w:sz w:val="20"/>
                <w:szCs w:val="20"/>
                <w:color w:val="auto"/>
              </w:rPr>
            </w:pPr>
            <w:r>
              <w:rPr>
                <w:rFonts w:ascii="Times New Roman" w:cs="Times New Roman" w:eastAsia="Times New Roman" w:hAnsi="Times New Roman"/>
                <w:sz w:val="13"/>
                <w:szCs w:val="13"/>
                <w:b w:val="1"/>
                <w:bCs w:val="1"/>
                <w:color w:val="auto"/>
              </w:rPr>
              <w:t>​​​   Income</w:t>
            </w:r>
          </w:p>
        </w:tc>
        <w:tc>
          <w:tcPr>
            <w:tcW w:w="900" w:type="dxa"/>
            <w:vAlign w:val="bottom"/>
            <w:gridSpan w:val="2"/>
          </w:tcPr>
          <w:p>
            <w:pPr>
              <w:jc w:val="right"/>
              <w:ind w:right="134"/>
              <w:spacing w:after="0" w:line="129" w:lineRule="exact"/>
              <w:rPr>
                <w:sz w:val="20"/>
                <w:szCs w:val="20"/>
                <w:color w:val="auto"/>
              </w:rPr>
            </w:pPr>
            <w:r>
              <w:rPr>
                <w:rFonts w:ascii="Times New Roman" w:cs="Times New Roman" w:eastAsia="Times New Roman" w:hAnsi="Times New Roman"/>
                <w:sz w:val="13"/>
                <w:szCs w:val="13"/>
                <w:b w:val="1"/>
                <w:bCs w:val="1"/>
                <w:color w:val="auto"/>
              </w:rPr>
              <w:t>​​​   Deficit</w:t>
            </w:r>
          </w:p>
        </w:tc>
        <w:tc>
          <w:tcPr>
            <w:tcW w:w="920" w:type="dxa"/>
            <w:vAlign w:val="bottom"/>
            <w:gridSpan w:val="2"/>
          </w:tcPr>
          <w:p>
            <w:pPr>
              <w:jc w:val="right"/>
              <w:ind w:right="154"/>
              <w:spacing w:after="0" w:line="129" w:lineRule="exact"/>
              <w:rPr>
                <w:sz w:val="20"/>
                <w:szCs w:val="20"/>
                <w:color w:val="auto"/>
              </w:rPr>
            </w:pPr>
            <w:r>
              <w:rPr>
                <w:rFonts w:ascii="Times New Roman" w:cs="Times New Roman" w:eastAsia="Times New Roman" w:hAnsi="Times New Roman"/>
                <w:sz w:val="13"/>
                <w:szCs w:val="13"/>
                <w:b w:val="1"/>
                <w:bCs w:val="1"/>
                <w:color w:val="auto"/>
              </w:rPr>
              <w:t>​​​   Equity</w:t>
            </w:r>
          </w:p>
        </w:tc>
        <w:tc>
          <w:tcPr>
            <w:tcW w:w="800" w:type="dxa"/>
            <w:vAlign w:val="bottom"/>
            <w:gridSpan w:val="2"/>
          </w:tcPr>
          <w:p>
            <w:pPr>
              <w:jc w:val="right"/>
              <w:ind w:right="34"/>
              <w:spacing w:after="0" w:line="129" w:lineRule="exact"/>
              <w:rPr>
                <w:sz w:val="20"/>
                <w:szCs w:val="20"/>
                <w:color w:val="auto"/>
              </w:rPr>
            </w:pPr>
            <w:r>
              <w:rPr>
                <w:rFonts w:ascii="Times New Roman" w:cs="Times New Roman" w:eastAsia="Times New Roman" w:hAnsi="Times New Roman"/>
                <w:sz w:val="13"/>
                <w:szCs w:val="13"/>
                <w:b w:val="1"/>
                <w:bCs w:val="1"/>
                <w:color w:val="auto"/>
              </w:rPr>
              <w:t>​​​ Interests</w:t>
            </w:r>
          </w:p>
        </w:tc>
        <w:tc>
          <w:tcPr>
            <w:tcW w:w="820" w:type="dxa"/>
            <w:vAlign w:val="bottom"/>
            <w:gridSpan w:val="2"/>
          </w:tcPr>
          <w:p>
            <w:pPr>
              <w:jc w:val="right"/>
              <w:ind w:right="94"/>
              <w:spacing w:after="0" w:line="129" w:lineRule="exact"/>
              <w:rPr>
                <w:sz w:val="20"/>
                <w:szCs w:val="20"/>
                <w:color w:val="auto"/>
              </w:rPr>
            </w:pPr>
            <w:r>
              <w:rPr>
                <w:rFonts w:ascii="Times New Roman" w:cs="Times New Roman" w:eastAsia="Times New Roman" w:hAnsi="Times New Roman"/>
                <w:sz w:val="13"/>
                <w:szCs w:val="13"/>
                <w:b w:val="1"/>
                <w:bCs w:val="1"/>
                <w:color w:val="auto"/>
              </w:rPr>
              <w:t>​​​  Equity</w:t>
            </w:r>
          </w:p>
        </w:tc>
        <w:tc>
          <w:tcPr>
            <w:tcW w:w="0" w:type="dxa"/>
            <w:vAlign w:val="bottom"/>
          </w:tcPr>
          <w:p>
            <w:pPr>
              <w:spacing w:after="0"/>
              <w:rPr>
                <w:sz w:val="1"/>
                <w:szCs w:val="1"/>
                <w:color w:val="auto"/>
              </w:rPr>
            </w:pPr>
          </w:p>
        </w:tc>
      </w:tr>
      <w:tr>
        <w:trPr>
          <w:trHeight w:val="129"/>
        </w:trPr>
        <w:tc>
          <w:tcPr>
            <w:tcW w:w="18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2,094,978,828</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3,660</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(3,472,933)</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(239,328)</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118,688,242</w:t>
            </w:r>
          </w:p>
        </w:tc>
        <w:tc>
          <w:tcPr>
            <w:tcW w:w="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582,659</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(113,068,210)</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5,967,023</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97,523</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6,064,546</w:t>
            </w:r>
          </w:p>
        </w:tc>
        <w:tc>
          <w:tcPr>
            <w:tcW w:w="0" w:type="dxa"/>
            <w:vAlign w:val="bottom"/>
          </w:tcPr>
          <w:p>
            <w:pPr>
              <w:spacing w:after="0"/>
              <w:rPr>
                <w:sz w:val="1"/>
                <w:szCs w:val="1"/>
                <w:color w:val="auto"/>
              </w:rPr>
            </w:pPr>
          </w:p>
        </w:tc>
      </w:tr>
      <w:tr>
        <w:trPr>
          <w:trHeight w:val="116"/>
        </w:trPr>
        <w:tc>
          <w:tcPr>
            <w:tcW w:w="18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Accretion on redeemable non-</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controlling interests to</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(609,857)</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(609,857)</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(609,857)</w:t>
            </w:r>
          </w:p>
        </w:tc>
        <w:tc>
          <w:tcPr>
            <w:tcW w:w="0" w:type="dxa"/>
            <w:vAlign w:val="bottom"/>
          </w:tcPr>
          <w:p>
            <w:pPr>
              <w:spacing w:after="0"/>
              <w:rPr>
                <w:sz w:val="1"/>
                <w:szCs w:val="1"/>
                <w:color w:val="auto"/>
              </w:rPr>
            </w:pPr>
          </w:p>
        </w:tc>
      </w:tr>
      <w:tr>
        <w:trPr>
          <w:trHeight w:val="156"/>
        </w:trPr>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redemption value</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Issuance of ordinary shares</w:t>
            </w:r>
          </w:p>
        </w:tc>
        <w:tc>
          <w:tcPr>
            <w:tcW w:w="9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345,890,918</w:t>
            </w:r>
          </w:p>
        </w:tc>
        <w:tc>
          <w:tcPr>
            <w:tcW w:w="6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11,854,098</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11,854,716</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11,854,716</w:t>
            </w:r>
          </w:p>
        </w:tc>
        <w:tc>
          <w:tcPr>
            <w:tcW w:w="0" w:type="dxa"/>
            <w:vAlign w:val="bottom"/>
          </w:tcPr>
          <w:p>
            <w:pPr>
              <w:spacing w:after="0"/>
              <w:rPr>
                <w:sz w:val="1"/>
                <w:szCs w:val="1"/>
                <w:color w:val="auto"/>
              </w:rPr>
            </w:pPr>
          </w:p>
        </w:tc>
      </w:tr>
      <w:tr>
        <w:trPr>
          <w:trHeight w:val="136"/>
        </w:trPr>
        <w:tc>
          <w:tcPr>
            <w:tcW w:w="18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Exercise of share options</w:t>
            </w:r>
          </w:p>
        </w:tc>
        <w:tc>
          <w:tcPr>
            <w:tcW w:w="9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7,965,157</w:t>
            </w:r>
          </w:p>
        </w:tc>
        <w:tc>
          <w:tcPr>
            <w:tcW w:w="6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120,518</w:t>
            </w: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120,532</w:t>
            </w: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120,532</w:t>
            </w:r>
          </w:p>
        </w:tc>
        <w:tc>
          <w:tcPr>
            <w:tcW w:w="0" w:type="dxa"/>
            <w:vAlign w:val="bottom"/>
          </w:tcPr>
          <w:p>
            <w:pPr>
              <w:spacing w:after="0"/>
              <w:rPr>
                <w:sz w:val="1"/>
                <w:szCs w:val="1"/>
                <w:color w:val="auto"/>
              </w:rPr>
            </w:pPr>
          </w:p>
        </w:tc>
      </w:tr>
      <w:tr>
        <w:trPr>
          <w:trHeight w:val="116"/>
        </w:trPr>
        <w:tc>
          <w:tcPr>
            <w:tcW w:w="18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Share based compensation of the</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restricted shares and share</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28,389,949</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1,790,676</w:t>
            </w: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1,790,727</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1,790,727</w:t>
            </w:r>
          </w:p>
        </w:tc>
        <w:tc>
          <w:tcPr>
            <w:tcW w:w="0" w:type="dxa"/>
            <w:vAlign w:val="bottom"/>
          </w:tcPr>
          <w:p>
            <w:pPr>
              <w:spacing w:after="0"/>
              <w:rPr>
                <w:sz w:val="1"/>
                <w:szCs w:val="1"/>
                <w:color w:val="auto"/>
              </w:rPr>
            </w:pPr>
          </w:p>
        </w:tc>
      </w:tr>
      <w:tr>
        <w:trPr>
          <w:trHeight w:val="15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94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(2,860)</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(2,860)</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(2,860)</w:t>
            </w:r>
          </w:p>
        </w:tc>
        <w:tc>
          <w:tcPr>
            <w:tcW w:w="0" w:type="dxa"/>
            <w:vAlign w:val="bottom"/>
          </w:tcPr>
          <w:p>
            <w:pPr>
              <w:spacing w:after="0"/>
              <w:rPr>
                <w:sz w:val="1"/>
                <w:szCs w:val="1"/>
                <w:color w:val="auto"/>
              </w:rPr>
            </w:pPr>
          </w:p>
        </w:tc>
      </w:tr>
      <w:tr>
        <w:trPr>
          <w:trHeight w:val="156"/>
        </w:trPr>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Capital withdrawal by non-</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(61,778)</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(61,778)</w:t>
            </w:r>
          </w:p>
        </w:tc>
        <w:tc>
          <w:tcPr>
            <w:tcW w:w="0" w:type="dxa"/>
            <w:vAlign w:val="bottom"/>
          </w:tcPr>
          <w:p>
            <w:pPr>
              <w:spacing w:after="0"/>
              <w:rPr>
                <w:sz w:val="1"/>
                <w:szCs w:val="1"/>
                <w:color w:val="auto"/>
              </w:rPr>
            </w:pPr>
          </w:p>
        </w:tc>
      </w:tr>
      <w:tr>
        <w:trPr>
          <w:trHeight w:val="15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controlling interests</w:t>
            </w: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Distribution to non-controlling</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(72,722)</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(72,722)</w:t>
            </w:r>
          </w:p>
        </w:tc>
        <w:tc>
          <w:tcPr>
            <w:tcW w:w="0" w:type="dxa"/>
            <w:vAlign w:val="bottom"/>
          </w:tcPr>
          <w:p>
            <w:pPr>
              <w:spacing w:after="0"/>
              <w:rPr>
                <w:sz w:val="1"/>
                <w:szCs w:val="1"/>
                <w:color w:val="auto"/>
              </w:rPr>
            </w:pPr>
          </w:p>
        </w:tc>
      </w:tr>
      <w:tr>
        <w:trPr>
          <w:trHeight w:val="156"/>
        </w:trPr>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Share lending arrangement (Note</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521,405</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115,418</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(115,418)</w:t>
            </w: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(14,960,821)</w:t>
            </w:r>
          </w:p>
        </w:tc>
        <w:tc>
          <w:tcPr>
            <w:tcW w:w="9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(14,960,821)</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18,220</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(14,942,601)</w:t>
            </w:r>
          </w:p>
        </w:tc>
        <w:tc>
          <w:tcPr>
            <w:tcW w:w="0" w:type="dxa"/>
            <w:vAlign w:val="bottom"/>
          </w:tcPr>
          <w:p>
            <w:pPr>
              <w:spacing w:after="0"/>
              <w:rPr>
                <w:sz w:val="1"/>
                <w:szCs w:val="1"/>
                <w:color w:val="auto"/>
              </w:rPr>
            </w:pPr>
          </w:p>
        </w:tc>
      </w:tr>
      <w:tr>
        <w:trPr>
          <w:trHeight w:val="129"/>
        </w:trPr>
        <w:tc>
          <w:tcPr>
            <w:tcW w:w="18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2,477,224,852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4,343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(2,951,528)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(123,910)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131,728,259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579,799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(128,029,031)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4,159,460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(18,757)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4,140,703</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334010</wp:posOffset>
            </wp:positionV>
            <wp:extent cx="6499225"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0">
                      <a:extLst>
                        <a:ext uri="{28A0092B-C50C-407E-A947-70E740481C1C}"/>
                      </a:extLst>
                    </a:blip>
                    <a:srcRect/>
                    <a:stretch>
                      <a:fillRect/>
                    </a:stretch>
                  </pic:blipFill>
                  <pic:spPr bwMode="auto">
                    <a:xfrm>
                      <a:off x="0" y="0"/>
                      <a:ext cx="6499225" cy="15875"/>
                    </a:xfrm>
                    <a:prstGeom prst="rect">
                      <a:avLst/>
                    </a:prstGeom>
                    <a:noFill/>
                  </pic:spPr>
                </pic:pic>
              </a:graphicData>
            </a:graphic>
          </wp:anchor>
        </w:drawing>
      </w:r>
    </w:p>
    <w:p>
      <w:pPr>
        <w:sectPr>
          <w:pgSz w:w="11900" w:h="16838" w:orient="portrait"/>
          <w:cols w:equalWidth="0" w:num="1">
            <w:col w:w="10220"/>
          </w:cols>
          <w:pgMar w:left="840" w:top="482" w:right="8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b w:val="1"/>
          <w:bCs w:val="1"/>
          <w:color w:val="auto"/>
        </w:rPr>
        <w:t>NIO INC.</w:t>
      </w:r>
    </w:p>
    <w:p>
      <w:pPr>
        <w:spacing w:after="0" w:line="1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(All amounts in thousands, except for share and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520" w:type="dxa"/>
            <w:vAlign w:val="bottom"/>
            <w:vMerge w:val="restart"/>
          </w:tcPr>
          <w:p>
            <w:pPr>
              <w:ind w:left="5340"/>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520" w:type="dxa"/>
            <w:vAlign w:val="bottom"/>
            <w:vMerge w:val="continue"/>
          </w:tcPr>
          <w:p>
            <w:pPr>
              <w:spacing w:after="0"/>
              <w:rPr>
                <w:sz w:val="9"/>
                <w:szCs w:val="9"/>
                <w:color w:val="auto"/>
              </w:rPr>
            </w:pPr>
          </w:p>
        </w:tc>
        <w:tc>
          <w:tcPr>
            <w:tcW w:w="920" w:type="dxa"/>
            <w:vAlign w:val="bottom"/>
            <w:tcBorders>
              <w:bottom w:val="single" w:sz="8" w:color="auto"/>
            </w:tcBorders>
          </w:tcPr>
          <w:p>
            <w:pPr>
              <w:jc w:val="right"/>
              <w:ind w:right="310"/>
              <w:spacing w:after="0" w:line="104"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bottom w:val="single" w:sz="8" w:color="auto"/>
            </w:tcBorders>
          </w:tcPr>
          <w:p>
            <w:pPr>
              <w:spacing w:after="0"/>
              <w:rPr>
                <w:sz w:val="9"/>
                <w:szCs w:val="9"/>
                <w:color w:val="auto"/>
              </w:rPr>
            </w:pPr>
          </w:p>
        </w:tc>
        <w:tc>
          <w:tcPr>
            <w:tcW w:w="240" w:type="dxa"/>
            <w:vAlign w:val="bottom"/>
          </w:tcPr>
          <w:p>
            <w:pPr>
              <w:jc w:val="right"/>
              <w:ind w:right="92"/>
              <w:spacing w:after="0" w:line="104" w:lineRule="exact"/>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tcBorders>
              <w:bottom w:val="single" w:sz="8" w:color="auto"/>
            </w:tcBorders>
          </w:tcPr>
          <w:p>
            <w:pPr>
              <w:jc w:val="right"/>
              <w:ind w:right="330"/>
              <w:spacing w:after="0" w:line="104" w:lineRule="exact"/>
              <w:rPr>
                <w:sz w:val="20"/>
                <w:szCs w:val="20"/>
                <w:color w:val="auto"/>
              </w:rPr>
            </w:pPr>
            <w:r>
              <w:rPr>
                <w:rFonts w:ascii="Times New Roman" w:cs="Times New Roman" w:eastAsia="Times New Roman" w:hAnsi="Times New Roman"/>
                <w:sz w:val="10"/>
                <w:szCs w:val="10"/>
                <w:b w:val="1"/>
                <w:bCs w:val="1"/>
                <w:color w:val="auto"/>
              </w:rPr>
              <w:t>2024</w:t>
            </w:r>
          </w:p>
        </w:tc>
        <w:tc>
          <w:tcPr>
            <w:tcW w:w="2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tcBorders>
              <w:bottom w:val="single" w:sz="8" w:color="auto"/>
            </w:tcBorders>
          </w:tcPr>
          <w:p>
            <w:pPr>
              <w:jc w:val="right"/>
              <w:ind w:right="310"/>
              <w:spacing w:after="0" w:line="104" w:lineRule="exact"/>
              <w:rPr>
                <w:sz w:val="20"/>
                <w:szCs w:val="20"/>
                <w:color w:val="auto"/>
              </w:rPr>
            </w:pPr>
            <w:r>
              <w:rPr>
                <w:rFonts w:ascii="Times New Roman" w:cs="Times New Roman" w:eastAsia="Times New Roman" w:hAnsi="Times New Roman"/>
                <w:sz w:val="10"/>
                <w:szCs w:val="10"/>
                <w:b w:val="1"/>
                <w:bCs w:val="1"/>
                <w:color w:val="auto"/>
              </w:rPr>
              <w:t>2025</w:t>
            </w:r>
          </w:p>
        </w:tc>
        <w:tc>
          <w:tcPr>
            <w:tcW w:w="24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tcBorders>
              <w:bottom w:val="single" w:sz="8" w:color="auto"/>
            </w:tcBorders>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89"/>
              </w:rPr>
              <w:t>2025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520" w:type="dxa"/>
            <w:vAlign w:val="bottom"/>
          </w:tcPr>
          <w:p>
            <w:pPr>
              <w:spacing w:after="0"/>
              <w:rPr>
                <w:sz w:val="7"/>
                <w:szCs w:val="7"/>
                <w:color w:val="auto"/>
              </w:rPr>
            </w:pPr>
          </w:p>
        </w:tc>
        <w:tc>
          <w:tcPr>
            <w:tcW w:w="920" w:type="dxa"/>
            <w:vAlign w:val="bottom"/>
          </w:tcPr>
          <w:p>
            <w:pPr>
              <w:jc w:val="right"/>
              <w:ind w:right="290"/>
              <w:spacing w:after="0" w:line="91"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jc w:val="right"/>
              <w:ind w:right="310"/>
              <w:spacing w:after="0" w:line="91" w:lineRule="exact"/>
              <w:rPr>
                <w:sz w:val="20"/>
                <w:szCs w:val="20"/>
                <w:color w:val="auto"/>
              </w:rPr>
            </w:pPr>
            <w:r>
              <w:rPr>
                <w:rFonts w:ascii="Times New Roman" w:cs="Times New Roman" w:eastAsia="Times New Roman" w:hAnsi="Times New Roman"/>
                <w:sz w:val="10"/>
                <w:szCs w:val="10"/>
                <w:b w:val="1"/>
                <w:bCs w:val="1"/>
                <w:color w:val="auto"/>
              </w:rPr>
              <w:t>RMB</w:t>
            </w:r>
          </w:p>
        </w:tc>
        <w:tc>
          <w:tcPr>
            <w:tcW w:w="240" w:type="dxa"/>
            <w:vAlign w:val="bottom"/>
          </w:tcPr>
          <w:p>
            <w:pPr>
              <w:spacing w:after="0"/>
              <w:rPr>
                <w:sz w:val="7"/>
                <w:szCs w:val="7"/>
                <w:color w:val="auto"/>
              </w:rPr>
            </w:pPr>
          </w:p>
        </w:tc>
        <w:tc>
          <w:tcPr>
            <w:tcW w:w="920" w:type="dxa"/>
            <w:vAlign w:val="bottom"/>
          </w:tcPr>
          <w:p>
            <w:pPr>
              <w:jc w:val="right"/>
              <w:ind w:right="310"/>
              <w:spacing w:after="0" w:line="91" w:lineRule="exact"/>
              <w:rPr>
                <w:sz w:val="20"/>
                <w:szCs w:val="20"/>
                <w:color w:val="auto"/>
              </w:rPr>
            </w:pPr>
            <w:r>
              <w:rPr>
                <w:rFonts w:ascii="Times New Roman" w:cs="Times New Roman" w:eastAsia="Times New Roman" w:hAnsi="Times New Roman"/>
                <w:sz w:val="10"/>
                <w:szCs w:val="10"/>
                <w:b w:val="1"/>
                <w:bCs w:val="1"/>
                <w:color w:val="auto"/>
              </w:rPr>
              <w:t>RMB</w:t>
            </w:r>
          </w:p>
        </w:tc>
        <w:tc>
          <w:tcPr>
            <w:tcW w:w="240" w:type="dxa"/>
            <w:vAlign w:val="bottom"/>
          </w:tcPr>
          <w:p>
            <w:pPr>
              <w:spacing w:after="0"/>
              <w:rPr>
                <w:sz w:val="7"/>
                <w:szCs w:val="7"/>
                <w:color w:val="auto"/>
              </w:rPr>
            </w:pPr>
          </w:p>
        </w:tc>
        <w:tc>
          <w:tcPr>
            <w:tcW w:w="9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89"/>
              </w:rPr>
              <w:t>USD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55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tcPr>
          <w:p>
            <w:pPr>
              <w:jc w:val="center"/>
              <w:ind w:right="40"/>
              <w:spacing w:after="0" w:line="114" w:lineRule="exact"/>
              <w:rPr>
                <w:sz w:val="20"/>
                <w:szCs w:val="20"/>
                <w:color w:val="auto"/>
              </w:rPr>
            </w:pPr>
            <w:r>
              <w:rPr>
                <w:rFonts w:ascii="Times New Roman" w:cs="Times New Roman" w:eastAsia="Times New Roman" w:hAnsi="Times New Roman"/>
                <w:sz w:val="10"/>
                <w:szCs w:val="10"/>
                <w:b w:val="1"/>
                <w:bCs w:val="1"/>
                <w:color w:val="auto"/>
                <w:w w:val="98"/>
              </w:rPr>
              <w:t>Note 2(e)</w:t>
            </w:r>
          </w:p>
        </w:tc>
        <w:tc>
          <w:tcPr>
            <w:tcW w:w="0" w:type="dxa"/>
            <w:vAlign w:val="bottom"/>
          </w:tcPr>
          <w:p>
            <w:pPr>
              <w:spacing w:after="0"/>
              <w:rPr>
                <w:sz w:val="1"/>
                <w:szCs w:val="1"/>
                <w:color w:val="auto"/>
              </w:rPr>
            </w:pPr>
          </w:p>
        </w:tc>
      </w:tr>
      <w:tr>
        <w:trPr>
          <w:trHeight w:val="111"/>
        </w:trPr>
        <w:tc>
          <w:tcPr>
            <w:tcW w:w="55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gridSpan w:val="2"/>
          </w:tcPr>
          <w:p>
            <w:pPr>
              <w:jc w:val="right"/>
              <w:ind w:right="192"/>
              <w:spacing w:after="0" w:line="112"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9"/>
                <w:szCs w:val="9"/>
                <w:color w:val="auto"/>
              </w:rPr>
            </w:pPr>
          </w:p>
        </w:tc>
        <w:tc>
          <w:tcPr>
            <w:tcW w:w="24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9"/>
                <w:szCs w:val="9"/>
                <w:color w:val="auto"/>
              </w:rPr>
            </w:pPr>
          </w:p>
        </w:tc>
        <w:tc>
          <w:tcPr>
            <w:tcW w:w="24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ind w:left="9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3"/>
        </w:trPr>
        <w:tc>
          <w:tcPr>
            <w:tcW w:w="552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(20,719,753)</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(22,401,709)</w:t>
            </w:r>
          </w:p>
        </w:tc>
        <w:tc>
          <w:tcPr>
            <w:tcW w:w="2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(14,942,601)</w:t>
            </w:r>
          </w:p>
        </w:tc>
        <w:tc>
          <w:tcPr>
            <w:tcW w:w="2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(2,136,763)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3,377,977</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5,875,499</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7,146,629</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1,021,954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Expected credit loss reversal</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(26,315)</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(3,761)</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(46,691)</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(6,677)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Inventory write-downs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65,362</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123,345</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509,322</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72,832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Impairment on long-term assets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55,331</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Foreign exchange (gain)/loss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(55,458)</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212,046</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(340,666)</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(48,715)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Share-based compensation expenses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2,369,041</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1,928,512</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1,790,727</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256,071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Investment (income)/loss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(969,134)</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438,048</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(213,766)</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(30,568)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(Gain)/Loss on extinguishment of debt</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(170,193)</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4,480</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14,660</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2,096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Share of (income)/loss of equity investees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(64,394)</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503,193</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1,092,184</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156,180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Amortization of right-of-use assets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1,529,464</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1,825,182</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2,228,651</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318,693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(Gain)/Loss on disposal of long-lived assets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(4,473)</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63,615</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(43,329)</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(6,196)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Deferred income tax expense/(benefit)</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200,892</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(84,880)</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(14,776)</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(2,113)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279,387</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940,166</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(106,172)</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(15,182)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Inventory</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2,895,477</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(1,785,940)</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(3,115,254)</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(445,475)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Other non-current assets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2,600,019</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1,385,067</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793,572</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113,479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Amounts due from related parties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(329,704)</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(5,980,929)</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(8,386,290)</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(1,199,224)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Operating lease liabilities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(1,255,825)</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(1,793,806)</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(1,876,314)</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(268,309)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Taxes payable</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61,014</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53,323</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36,917</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5,279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Trade and notes receivable</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453,382</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2,985,794</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298,196</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42,641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Trade and notes payable</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4,870,777</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4,717,183</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18,250,933</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2,609,849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Accruals and other liabilities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1,827,860</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1,255,705</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(312,674)</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(44,712)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Amounts due to related parties, current</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177,264</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(152,262)</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199,884</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28,583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Amounts due to related parties, non-current</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329,492</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204,032</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29,176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Borders>
              <w:bottom w:val="single" w:sz="8" w:color="CCEEFF"/>
            </w:tcBorders>
          </w:tcPr>
          <w:p>
            <w:pPr>
              <w:ind w:left="100"/>
              <w:spacing w:after="0" w:line="112" w:lineRule="exact"/>
              <w:rPr>
                <w:sz w:val="20"/>
                <w:szCs w:val="20"/>
                <w:color w:val="auto"/>
              </w:rPr>
            </w:pPr>
            <w:r>
              <w:rPr>
                <w:rFonts w:ascii="Times New Roman" w:cs="Times New Roman" w:eastAsia="Times New Roman" w:hAnsi="Times New Roman"/>
                <w:sz w:val="10"/>
                <w:szCs w:val="10"/>
                <w:color w:val="auto"/>
              </w:rPr>
              <w:t>Other non-current liabilities</w:t>
            </w:r>
          </w:p>
        </w:tc>
        <w:tc>
          <w:tcPr>
            <w:tcW w:w="9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1,505,787</w:t>
            </w: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1,658,138</w:t>
            </w:r>
          </w:p>
        </w:tc>
        <w:tc>
          <w:tcPr>
            <w:tcW w:w="24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(174,562)</w:t>
            </w:r>
          </w:p>
        </w:tc>
        <w:tc>
          <w:tcPr>
            <w:tcW w:w="24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(24,962)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Net cash (used in)/provided by operating activities</w:t>
            </w: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(1,381,546)</w:t>
            </w:r>
          </w:p>
        </w:tc>
        <w:tc>
          <w:tcPr>
            <w:tcW w:w="20" w:type="dxa"/>
            <w:vAlign w:val="bottom"/>
            <w:tcBorders>
              <w:bottom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(7,849,168)</w:t>
            </w: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2,992,612</w:t>
            </w: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427,937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2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Purchase of property, plant and equipment and intangible assets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(14,340,771)</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(9,142,293)</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(6,065,226)</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(867,316)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Proceeds from disposal of property, plant and equipment</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73,064</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231,519</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113,471</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16,226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Purchase of short-term investments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(43,899,109)</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(45,957,615)</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(29,427,788)</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(4,208,118)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Proceeds from maturities of short-term investments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47,753,555</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50,413,873</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23,639,565</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3,380,413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Purchase of available-for-sale debt investment</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(52,842)</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(1,820)</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(260)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Acquisitions of equity investments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(421,729)</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(392,442)</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(565,448)</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(80,858)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Proceeds from disposal and withdrawal of equity investments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10,750</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810,412</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115,887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Purchase of held to maturity debt investments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(35,000)</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(17,687)</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(6,456)</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(923)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Purchase of retained asset-backed securities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(43,000)</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(124,000)</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Borders>
              <w:bottom w:val="single" w:sz="8" w:color="CCEEFF"/>
            </w:tcBorders>
          </w:tcPr>
          <w:p>
            <w:pPr>
              <w:ind w:left="100"/>
              <w:spacing w:after="0" w:line="112" w:lineRule="exact"/>
              <w:rPr>
                <w:sz w:val="20"/>
                <w:szCs w:val="20"/>
                <w:color w:val="auto"/>
              </w:rPr>
            </w:pPr>
            <w:r>
              <w:rPr>
                <w:rFonts w:ascii="Times New Roman" w:cs="Times New Roman" w:eastAsia="Times New Roman" w:hAnsi="Times New Roman"/>
                <w:sz w:val="10"/>
                <w:szCs w:val="10"/>
                <w:color w:val="auto"/>
              </w:rPr>
              <w:t>Proceeds from maturities of retained asset-backed securities</w:t>
            </w:r>
          </w:p>
        </w:tc>
        <w:tc>
          <w:tcPr>
            <w:tcW w:w="9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16,865</w:t>
            </w: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82,994</w:t>
            </w:r>
          </w:p>
        </w:tc>
        <w:tc>
          <w:tcPr>
            <w:tcW w:w="24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43,600</w:t>
            </w:r>
          </w:p>
        </w:tc>
        <w:tc>
          <w:tcPr>
            <w:tcW w:w="24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6,235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(10,885,375)</w:t>
            </w:r>
          </w:p>
        </w:tc>
        <w:tc>
          <w:tcPr>
            <w:tcW w:w="20" w:type="dxa"/>
            <w:vAlign w:val="bottom"/>
            <w:tcBorders>
              <w:bottom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(4,958,493)</w:t>
            </w: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(11,459,690)</w:t>
            </w: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(1,638,714)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2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jc w:val="right"/>
              <w:ind w:right="192"/>
              <w:spacing w:after="0"/>
              <w:rPr>
                <w:sz w:val="20"/>
                <w:szCs w:val="20"/>
                <w:color w:val="auto"/>
              </w:rPr>
            </w:pPr>
            <w:r>
              <w:rPr>
                <w:rFonts w:ascii="Times New Roman" w:cs="Times New Roman" w:eastAsia="Times New Roman" w:hAnsi="Times New Roman"/>
                <w:sz w:val="1"/>
                <w:szCs w:val="1"/>
                <w:color w:val="auto"/>
                <w:w w:val="4294942296"/>
              </w:rPr>
              <w:t>​</w:t>
            </w:r>
          </w:p>
        </w:tc>
        <w:tc>
          <w:tcPr>
            <w:tcW w:w="920" w:type="dxa"/>
            <w:vAlign w:val="bottom"/>
          </w:tcPr>
          <w:p>
            <w:pPr>
              <w:spacing w:after="0"/>
              <w:rPr>
                <w:sz w:val="9"/>
                <w:szCs w:val="9"/>
                <w:color w:val="auto"/>
              </w:rPr>
            </w:pPr>
          </w:p>
        </w:tc>
        <w:tc>
          <w:tcPr>
            <w:tcW w:w="24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Proceeds from exercise of stock options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86,820</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111,347</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99,063</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14,166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Capital withdrawal by non-controlling interests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(250)</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(343)</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(61,778)</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(8,834)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Distributions to non-controlling interests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(72,722)</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(10,399)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Capital injection from redeemable non-controlling interests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3,295,465</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500,000</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71,499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Proceeds from issuance of convertible senior notes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8,120,765</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Repurchase of convertible senior notes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(3,387,648)</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(3,302,213)</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(2,712,421)</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(387,871)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Proceeds from borrowings from third parties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8,014,434</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9,218,865</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5,540,510</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792,282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Repayments of borrowings from third parties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(6,096,018)</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(7,512,784)</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(8,289,205)</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(1,185,341)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Proceeds from borrowings from related parties</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87,310</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12,485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Principal payments on finance leases</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(37,511)</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(37,854)</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(101,113)</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(14,459)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Proceeds from issuance of ordinary shares, net of issuance costs</w:t>
            </w:r>
          </w:p>
        </w:tc>
        <w:tc>
          <w:tcPr>
            <w:tcW w:w="9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20,962,289</w:t>
            </w:r>
          </w:p>
        </w:tc>
        <w:tc>
          <w:tcPr>
            <w:tcW w:w="20" w:type="dxa"/>
            <w:vAlign w:val="bottom"/>
            <w:tcBorders>
              <w:bottom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11,854,716</w:t>
            </w: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1,695,202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20" w:type="dxa"/>
            <w:vAlign w:val="bottom"/>
            <w:tcBorders>
              <w:bottom w:val="single" w:sz="8" w:color="CCEEFF"/>
            </w:tcBorders>
          </w:tcPr>
          <w:p>
            <w:pPr>
              <w:spacing w:after="0" w:line="104"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9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27,662,881</w:t>
            </w: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1,772,483</w:t>
            </w:r>
          </w:p>
        </w:tc>
        <w:tc>
          <w:tcPr>
            <w:tcW w:w="24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6,844,360</w:t>
            </w:r>
          </w:p>
        </w:tc>
        <w:tc>
          <w:tcPr>
            <w:tcW w:w="24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978,730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Effects of exchange rate changes on cash, cash equivalents and restricted cash</w:t>
            </w: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70,254</w:t>
            </w:r>
          </w:p>
        </w:tc>
        <w:tc>
          <w:tcPr>
            <w:tcW w:w="20" w:type="dxa"/>
            <w:vAlign w:val="bottom"/>
            <w:tcBorders>
              <w:bottom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161,039</w:t>
            </w: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(16,256)</w:t>
            </w: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(2,324)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2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NET INCREASE/(DECREASE) IN CASH, CASH EQUIVALENTS AND RESTRICTED CASH</w:t>
            </w:r>
          </w:p>
        </w:tc>
        <w:tc>
          <w:tcPr>
            <w:tcW w:w="9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15,466,214</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(10,874,139)</w:t>
            </w:r>
          </w:p>
        </w:tc>
        <w:tc>
          <w:tcPr>
            <w:tcW w:w="240" w:type="dxa"/>
            <w:vAlign w:val="bottom"/>
          </w:tcPr>
          <w:p>
            <w:pPr>
              <w:spacing w:after="0"/>
              <w:rPr>
                <w:sz w:val="9"/>
                <w:szCs w:val="9"/>
                <w:color w:val="auto"/>
              </w:rPr>
            </w:pPr>
          </w:p>
        </w:tc>
        <w:tc>
          <w:tcPr>
            <w:tcW w:w="9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(1,638,974)</w:t>
            </w:r>
          </w:p>
        </w:tc>
        <w:tc>
          <w:tcPr>
            <w:tcW w:w="240" w:type="dxa"/>
            <w:vAlign w:val="bottom"/>
          </w:tcPr>
          <w:p>
            <w:pPr>
              <w:spacing w:after="0"/>
              <w:rPr>
                <w:sz w:val="9"/>
                <w:szCs w:val="9"/>
                <w:color w:val="auto"/>
              </w:rPr>
            </w:pPr>
          </w:p>
        </w:tc>
        <w:tc>
          <w:tcPr>
            <w:tcW w:w="9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(234,371)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Cash, cash equivalents and restricted cash at beginning of the year</w:t>
            </w:r>
          </w:p>
        </w:tc>
        <w:tc>
          <w:tcPr>
            <w:tcW w:w="9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23,155,293</w:t>
            </w:r>
          </w:p>
        </w:tc>
        <w:tc>
          <w:tcPr>
            <w:tcW w:w="20" w:type="dxa"/>
            <w:vAlign w:val="bottom"/>
            <w:tcBorders>
              <w:bottom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38,621,507</w:t>
            </w: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27,747,368</w:t>
            </w:r>
          </w:p>
        </w:tc>
        <w:tc>
          <w:tcPr>
            <w:tcW w:w="24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3,967,821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520" w:type="dxa"/>
            <w:vAlign w:val="bottom"/>
            <w:tcBorders>
              <w:bottom w:val="single" w:sz="8" w:color="CCEEFF"/>
            </w:tcBorders>
          </w:tcPr>
          <w:p>
            <w:pPr>
              <w:spacing w:after="0" w:line="104" w:lineRule="exact"/>
              <w:rPr>
                <w:sz w:val="20"/>
                <w:szCs w:val="20"/>
                <w:color w:val="auto"/>
              </w:rPr>
            </w:pPr>
            <w:r>
              <w:rPr>
                <w:rFonts w:ascii="Times New Roman" w:cs="Times New Roman" w:eastAsia="Times New Roman" w:hAnsi="Times New Roman"/>
                <w:sz w:val="10"/>
                <w:szCs w:val="10"/>
                <w:color w:val="auto"/>
              </w:rPr>
              <w:t>Cash, cash equivalents and restricted cash at end of the year</w:t>
            </w:r>
          </w:p>
        </w:tc>
        <w:tc>
          <w:tcPr>
            <w:tcW w:w="9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38,621,507</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27,747,368</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26,108,394</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3,733,450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5520" w:type="dxa"/>
            <w:vAlign w:val="bottom"/>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NON-CASH INVESTING AND FINANCING ACTIVITIES</w:t>
            </w:r>
          </w:p>
        </w:tc>
        <w:tc>
          <w:tcPr>
            <w:tcW w:w="9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Accruals related to purchase of property, plant and equipment</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4,445,749</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3,872,477</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4,522,514</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646,711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Exchange of convertible senior notes to ordinary shares with cancellation of the same amount of treasury shares (Note 12 (iv))</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902,829</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Accretion on redeemable non-controlling interests to redemption value</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303,163</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347,516</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609,857</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87,208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Settlement of capped call options and zero strike call options (Note 12 (iv))</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709,490</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Acquisition of a debt investment through contribution of long-lived asset</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159,000</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22,737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Supplemental Disclosure</w:t>
            </w: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Interest paid</w:t>
            </w: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285,479</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641,903</w:t>
            </w:r>
          </w:p>
        </w:tc>
        <w:tc>
          <w:tcPr>
            <w:tcW w:w="2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879,665</w:t>
            </w:r>
          </w:p>
        </w:tc>
        <w:tc>
          <w:tcPr>
            <w:tcW w:w="2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125,790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2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35,975</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65,363</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144,099</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20,606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-4824730</wp:posOffset>
            </wp:positionV>
            <wp:extent cx="6303010" cy="704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1">
                      <a:extLst>
                        <a:ext uri="{28A0092B-C50C-407E-A947-70E740481C1C}"/>
                      </a:extLst>
                    </a:blip>
                    <a:srcRect/>
                    <a:stretch>
                      <a:fillRect/>
                    </a:stretch>
                  </pic:blipFill>
                  <pic:spPr bwMode="auto">
                    <a:xfrm>
                      <a:off x="0" y="0"/>
                      <a:ext cx="6303010" cy="70485"/>
                    </a:xfrm>
                    <a:prstGeom prst="rect">
                      <a:avLst/>
                    </a:prstGeom>
                    <a:noFill/>
                  </pic:spPr>
                </pic:pic>
              </a:graphicData>
            </a:graphic>
          </wp:anchor>
        </w:drawing>
      </w:r>
    </w:p>
    <w:p>
      <w:pPr>
        <w:spacing w:after="0" w:line="7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60"/>
          </w:cols>
          <w:pgMar w:left="980" w:top="482" w:right="9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ind w:left="280" w:hanging="280"/>
        <w:spacing w:after="0"/>
        <w:tabs>
          <w:tab w:leader="none" w:pos="280"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Nature of Operations</w:t>
      </w:r>
    </w:p>
    <w:p>
      <w:pPr>
        <w:spacing w:after="0" w:line="216"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(the “VIEs”) are collectively referred to as the “Group”.</w:t>
      </w:r>
    </w:p>
    <w:p>
      <w:pPr>
        <w:spacing w:after="0" w:line="153" w:lineRule="exact"/>
        <w:rPr>
          <w:sz w:val="20"/>
          <w:szCs w:val="20"/>
          <w:color w:val="auto"/>
        </w:rPr>
      </w:pPr>
    </w:p>
    <w:p>
      <w:pPr>
        <w:jc w:val="both"/>
        <w:ind w:right="20" w:firstLine="297"/>
        <w:spacing w:after="0" w:line="271" w:lineRule="auto"/>
        <w:rPr>
          <w:sz w:val="20"/>
          <w:szCs w:val="20"/>
          <w:color w:val="auto"/>
        </w:rPr>
      </w:pPr>
      <w:r>
        <w:rPr>
          <w:rFonts w:ascii="Times New Roman" w:cs="Times New Roman" w:eastAsia="Times New Roman" w:hAnsi="Times New Roman"/>
          <w:sz w:val="16"/>
          <w:szCs w:val="16"/>
          <w:color w:val="auto"/>
        </w:rPr>
        <w:t>The Group is primarily engaged in the design, development, manufacturing, and sales of smart electric vehicles during the reporting periods. The Group also offers sales of parts, accessories, after-sales vehicle services, power solutions and other comprehensive value-added services to its customers. As of December 31, 2025, the Group’s primary operations are conducted in the People’s Republic of China (the “PRC”) and the Company’s principal subsidiaries and VIEs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2"/>
                <w:szCs w:val="1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9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Place and Date of incorporation</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3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0" w:type="dxa"/>
            <w:vAlign w:val="bottom"/>
          </w:tcPr>
          <w:p>
            <w:pPr>
              <w:spacing w:after="0"/>
              <w:rPr>
                <w:sz w:val="1"/>
                <w:szCs w:val="1"/>
                <w:color w:val="auto"/>
              </w:rPr>
            </w:pPr>
          </w:p>
        </w:tc>
      </w:tr>
      <w:tr>
        <w:trPr>
          <w:trHeight w:val="158"/>
        </w:trPr>
        <w:tc>
          <w:tcPr>
            <w:tcW w:w="3340" w:type="dxa"/>
            <w:vAlign w:val="bottom"/>
            <w:vMerge w:val="continue"/>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​​​interest held</w:t>
            </w:r>
          </w:p>
        </w:tc>
        <w:tc>
          <w:tcPr>
            <w:tcW w:w="180" w:type="dxa"/>
            <w:vAlign w:val="bottom"/>
            <w:gridSpan w:val="2"/>
            <w:vMerge w:val="continue"/>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date of acquisition</w:t>
            </w:r>
          </w:p>
        </w:tc>
        <w:tc>
          <w:tcPr>
            <w:tcW w:w="1240" w:type="dxa"/>
            <w:vAlign w:val="bottom"/>
            <w:gridSpan w:val="3"/>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NIO Nextev Limited (“NIO HK”) (formerly known as Nextev</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7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2020" w:type="dxa"/>
            <w:vAlign w:val="bottom"/>
            <w:tcBorders>
              <w:top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Hong Kong, February 2015</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1120" w:type="dxa"/>
            <w:vAlign w:val="bottom"/>
            <w:tcBorders>
              <w:top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Limited)</w:t>
            </w:r>
          </w:p>
        </w:tc>
        <w:tc>
          <w:tcPr>
            <w:tcW w:w="14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202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NIO GmbH (formerly known as NextEV GmbH)</w:t>
            </w:r>
          </w:p>
        </w:tc>
        <w:tc>
          <w:tcPr>
            <w:tcW w:w="920" w:type="dxa"/>
            <w:vAlign w:val="bottom"/>
            <w:gridSpan w:val="2"/>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Germany, May 2015</w:t>
            </w:r>
          </w:p>
        </w:tc>
        <w:tc>
          <w:tcPr>
            <w:tcW w:w="3540" w:type="dxa"/>
            <w:vAlign w:val="bottom"/>
            <w:gridSpan w:val="4"/>
          </w:tcPr>
          <w:p>
            <w:pPr>
              <w:ind w:left="120"/>
              <w:spacing w:after="0" w:line="136" w:lineRule="exact"/>
              <w:rPr>
                <w:sz w:val="20"/>
                <w:szCs w:val="20"/>
                <w:color w:val="auto"/>
              </w:rPr>
            </w:pPr>
            <w:r>
              <w:rPr>
                <w:rFonts w:ascii="Times New Roman" w:cs="Times New Roman" w:eastAsia="Times New Roman" w:hAnsi="Times New Roman"/>
                <w:sz w:val="13"/>
                <w:szCs w:val="13"/>
                <w:color w:val="auto"/>
              </w:rPr>
              <w:t>Design and technology development</w:t>
            </w:r>
          </w:p>
        </w:tc>
        <w:tc>
          <w:tcPr>
            <w:tcW w:w="0" w:type="dxa"/>
            <w:vAlign w:val="bottom"/>
          </w:tcPr>
          <w:p>
            <w:pPr>
              <w:spacing w:after="0"/>
              <w:rPr>
                <w:sz w:val="1"/>
                <w:szCs w:val="1"/>
                <w:color w:val="auto"/>
              </w:rPr>
            </w:pPr>
          </w:p>
        </w:tc>
      </w:tr>
      <w:tr>
        <w:trPr>
          <w:trHeight w:val="116"/>
        </w:trPr>
        <w:tc>
          <w:tcPr>
            <w:tcW w:w="33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NIO Co., Ltd. (“NIO SH”) (formerly known as NextEV Co.,</w:t>
            </w:r>
          </w:p>
        </w:tc>
        <w:tc>
          <w:tcPr>
            <w:tcW w:w="920" w:type="dxa"/>
            <w:vAlign w:val="bottom"/>
            <w:gridSpan w:val="2"/>
            <w:vMerge w:val="restart"/>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Shanghai, PRC, May 2015</w:t>
            </w:r>
          </w:p>
        </w:tc>
        <w:tc>
          <w:tcPr>
            <w:tcW w:w="3540" w:type="dxa"/>
            <w:vAlign w:val="bottom"/>
            <w:gridSpan w:val="4"/>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Headquarter and technology development</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Ltd.)</w:t>
            </w:r>
          </w:p>
        </w:tc>
        <w:tc>
          <w:tcPr>
            <w:tcW w:w="920" w:type="dxa"/>
            <w:vAlign w:val="bottom"/>
            <w:gridSpan w:val="2"/>
            <w:vMerge w:val="continue"/>
            <w:shd w:val="clear" w:color="auto" w:fill="CCEEFF"/>
          </w:tcPr>
          <w:p>
            <w:pPr>
              <w:spacing w:after="0"/>
              <w:rPr>
                <w:sz w:val="13"/>
                <w:szCs w:val="13"/>
                <w:color w:val="auto"/>
              </w:rPr>
            </w:pPr>
          </w:p>
        </w:tc>
        <w:tc>
          <w:tcPr>
            <w:tcW w:w="2140" w:type="dxa"/>
            <w:vAlign w:val="bottom"/>
            <w:gridSpan w:val="3"/>
            <w:vMerge w:val="continue"/>
            <w:shd w:val="clear" w:color="auto" w:fill="CCEEFF"/>
          </w:tcPr>
          <w:p>
            <w:pPr>
              <w:spacing w:after="0"/>
              <w:rPr>
                <w:sz w:val="13"/>
                <w:szCs w:val="13"/>
                <w:color w:val="auto"/>
              </w:rPr>
            </w:pPr>
          </w:p>
        </w:tc>
        <w:tc>
          <w:tcPr>
            <w:tcW w:w="3540" w:type="dxa"/>
            <w:vAlign w:val="bottom"/>
            <w:gridSpan w:val="4"/>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3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NIO USA, Inc. (“NIO US”) (formerly known as NextEV</w:t>
            </w:r>
          </w:p>
        </w:tc>
        <w:tc>
          <w:tcPr>
            <w:tcW w:w="920" w:type="dxa"/>
            <w:vAlign w:val="bottom"/>
            <w:gridSpan w:val="2"/>
            <w:vMerge w:val="restart"/>
          </w:tcPr>
          <w:p>
            <w:pPr>
              <w:jc w:val="center"/>
              <w:ind w:left="54"/>
              <w:spacing w:after="0"/>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auto"/>
              </w:rPr>
              <w:t>United States, November 2015</w:t>
            </w:r>
          </w:p>
        </w:tc>
        <w:tc>
          <w:tcPr>
            <w:tcW w:w="35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color w:val="auto"/>
              </w:rPr>
              <w:t>Technology development</w:t>
            </w:r>
          </w:p>
        </w:tc>
        <w:tc>
          <w:tcPr>
            <w:tcW w:w="0" w:type="dxa"/>
            <w:vAlign w:val="bottom"/>
          </w:tcPr>
          <w:p>
            <w:pPr>
              <w:spacing w:after="0"/>
              <w:rPr>
                <w:sz w:val="1"/>
                <w:szCs w:val="1"/>
                <w:color w:val="auto"/>
              </w:rPr>
            </w:pPr>
          </w:p>
        </w:tc>
      </w:tr>
      <w:tr>
        <w:trPr>
          <w:trHeight w:val="156"/>
        </w:trPr>
        <w:tc>
          <w:tcPr>
            <w:tcW w:w="3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USA, Inc.)</w:t>
            </w:r>
          </w:p>
        </w:tc>
        <w:tc>
          <w:tcPr>
            <w:tcW w:w="920" w:type="dxa"/>
            <w:vAlign w:val="bottom"/>
            <w:gridSpan w:val="2"/>
            <w:vMerge w:val="continue"/>
          </w:tcPr>
          <w:p>
            <w:pPr>
              <w:spacing w:after="0"/>
              <w:rPr>
                <w:sz w:val="13"/>
                <w:szCs w:val="13"/>
                <w:color w:val="auto"/>
              </w:rPr>
            </w:pPr>
          </w:p>
        </w:tc>
        <w:tc>
          <w:tcPr>
            <w:tcW w:w="2140" w:type="dxa"/>
            <w:vAlign w:val="bottom"/>
            <w:gridSpan w:val="3"/>
            <w:vMerge w:val="continue"/>
          </w:tcPr>
          <w:p>
            <w:pPr>
              <w:spacing w:after="0"/>
              <w:rPr>
                <w:sz w:val="13"/>
                <w:szCs w:val="13"/>
                <w:color w:val="auto"/>
              </w:rPr>
            </w:pPr>
          </w:p>
        </w:tc>
        <w:tc>
          <w:tcPr>
            <w:tcW w:w="35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XPT Limited (“XPT”)</w:t>
            </w:r>
          </w:p>
        </w:tc>
        <w:tc>
          <w:tcPr>
            <w:tcW w:w="920" w:type="dxa"/>
            <w:vAlign w:val="bottom"/>
            <w:gridSpan w:val="2"/>
            <w:shd w:val="clear" w:color="auto" w:fill="CCEEFF"/>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Hong Kong, December 2015</w:t>
            </w:r>
          </w:p>
        </w:tc>
        <w:tc>
          <w:tcPr>
            <w:tcW w:w="12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XPT (Jiangsu) Investment Co., Ltd. (“XPT Jiangsu”)</w:t>
            </w:r>
          </w:p>
        </w:tc>
        <w:tc>
          <w:tcPr>
            <w:tcW w:w="920" w:type="dxa"/>
            <w:vAlign w:val="bottom"/>
            <w:gridSpan w:val="2"/>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Jiangsu, PRC, May 2016</w:t>
            </w:r>
          </w:p>
        </w:tc>
        <w:tc>
          <w:tcPr>
            <w:tcW w:w="12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XPT Holding (Anhui) Co., Ltd.</w:t>
            </w:r>
          </w:p>
        </w:tc>
        <w:tc>
          <w:tcPr>
            <w:tcW w:w="920" w:type="dxa"/>
            <w:vAlign w:val="bottom"/>
            <w:gridSpan w:val="2"/>
            <w:shd w:val="clear" w:color="auto" w:fill="CCEEFF"/>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Anhui, PRC, April 2021</w:t>
            </w:r>
          </w:p>
        </w:tc>
        <w:tc>
          <w:tcPr>
            <w:tcW w:w="12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XPT EDS (Hefei) Co., Ltd.</w:t>
            </w:r>
          </w:p>
        </w:tc>
        <w:tc>
          <w:tcPr>
            <w:tcW w:w="920" w:type="dxa"/>
            <w:vAlign w:val="bottom"/>
            <w:gridSpan w:val="2"/>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Anhui, PRC, May 2021</w:t>
            </w:r>
          </w:p>
        </w:tc>
        <w:tc>
          <w:tcPr>
            <w:tcW w:w="3540" w:type="dxa"/>
            <w:vAlign w:val="bottom"/>
            <w:gridSpan w:val="4"/>
          </w:tcPr>
          <w:p>
            <w:pPr>
              <w:ind w:left="120"/>
              <w:spacing w:after="0" w:line="136" w:lineRule="exact"/>
              <w:rPr>
                <w:sz w:val="20"/>
                <w:szCs w:val="20"/>
                <w:color w:val="auto"/>
              </w:rPr>
            </w:pPr>
            <w:r>
              <w:rPr>
                <w:rFonts w:ascii="Times New Roman" w:cs="Times New Roman" w:eastAsia="Times New Roman" w:hAnsi="Times New Roman"/>
                <w:sz w:val="13"/>
                <w:szCs w:val="13"/>
                <w:color w:val="auto"/>
              </w:rPr>
              <w:t>Manufacturing of electric drive system</w:t>
            </w: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NIO Power Express Limited (“PE HK)</w:t>
            </w:r>
          </w:p>
        </w:tc>
        <w:tc>
          <w:tcPr>
            <w:tcW w:w="920" w:type="dxa"/>
            <w:vAlign w:val="bottom"/>
            <w:gridSpan w:val="2"/>
            <w:shd w:val="clear" w:color="auto" w:fill="CCEEFF"/>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Hong Kong, January 2017</w:t>
            </w:r>
          </w:p>
        </w:tc>
        <w:tc>
          <w:tcPr>
            <w:tcW w:w="12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NIO User Enterprise Limited (“UE HK”)</w:t>
            </w:r>
          </w:p>
        </w:tc>
        <w:tc>
          <w:tcPr>
            <w:tcW w:w="920" w:type="dxa"/>
            <w:vAlign w:val="bottom"/>
            <w:gridSpan w:val="2"/>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Hong Kong, February 2017</w:t>
            </w:r>
          </w:p>
        </w:tc>
        <w:tc>
          <w:tcPr>
            <w:tcW w:w="12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3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NIO Sales and Services Co., Ltd. (“UE CNHC”) (formerly</w:t>
            </w:r>
          </w:p>
        </w:tc>
        <w:tc>
          <w:tcPr>
            <w:tcW w:w="920" w:type="dxa"/>
            <w:vAlign w:val="bottom"/>
            <w:gridSpan w:val="2"/>
            <w:vMerge w:val="restart"/>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Shanghai, PRC, March 2017</w:t>
            </w:r>
          </w:p>
        </w:tc>
        <w:tc>
          <w:tcPr>
            <w:tcW w:w="3540" w:type="dxa"/>
            <w:vAlign w:val="bottom"/>
            <w:gridSpan w:val="4"/>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holding and sales and after sales management</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known as Shanghai NIO Sales and Service Co., Ltd.)</w:t>
            </w:r>
          </w:p>
        </w:tc>
        <w:tc>
          <w:tcPr>
            <w:tcW w:w="920" w:type="dxa"/>
            <w:vAlign w:val="bottom"/>
            <w:gridSpan w:val="2"/>
            <w:vMerge w:val="continue"/>
            <w:shd w:val="clear" w:color="auto" w:fill="CCEEFF"/>
          </w:tcPr>
          <w:p>
            <w:pPr>
              <w:spacing w:after="0"/>
              <w:rPr>
                <w:sz w:val="13"/>
                <w:szCs w:val="13"/>
                <w:color w:val="auto"/>
              </w:rPr>
            </w:pPr>
          </w:p>
        </w:tc>
        <w:tc>
          <w:tcPr>
            <w:tcW w:w="2140" w:type="dxa"/>
            <w:vAlign w:val="bottom"/>
            <w:gridSpan w:val="3"/>
            <w:vMerge w:val="continue"/>
            <w:shd w:val="clear" w:color="auto" w:fill="CCEEFF"/>
          </w:tcPr>
          <w:p>
            <w:pPr>
              <w:spacing w:after="0"/>
              <w:rPr>
                <w:sz w:val="13"/>
                <w:szCs w:val="13"/>
                <w:color w:val="auto"/>
              </w:rPr>
            </w:pPr>
          </w:p>
        </w:tc>
        <w:tc>
          <w:tcPr>
            <w:tcW w:w="3540" w:type="dxa"/>
            <w:vAlign w:val="bottom"/>
            <w:gridSpan w:val="4"/>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3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NIO Energy Investment (Hubei) Co., Ltd. (“PE CNHC”)</w:t>
            </w:r>
          </w:p>
        </w:tc>
        <w:tc>
          <w:tcPr>
            <w:tcW w:w="920" w:type="dxa"/>
            <w:vAlign w:val="bottom"/>
            <w:gridSpan w:val="2"/>
            <w:vMerge w:val="restart"/>
          </w:tcPr>
          <w:p>
            <w:pPr>
              <w:jc w:val="center"/>
              <w:ind w:left="54"/>
              <w:spacing w:after="0"/>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auto"/>
              </w:rPr>
              <w:t>Wuhan PRC, April 2017</w:t>
            </w:r>
          </w:p>
        </w:tc>
        <w:tc>
          <w:tcPr>
            <w:tcW w:w="1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 (b))</w:t>
            </w:r>
          </w:p>
        </w:tc>
        <w:tc>
          <w:tcPr>
            <w:tcW w:w="920" w:type="dxa"/>
            <w:vAlign w:val="bottom"/>
            <w:gridSpan w:val="2"/>
            <w:vMerge w:val="continue"/>
          </w:tcPr>
          <w:p>
            <w:pPr>
              <w:spacing w:after="0"/>
              <w:rPr>
                <w:sz w:val="13"/>
                <w:szCs w:val="13"/>
                <w:color w:val="auto"/>
              </w:rPr>
            </w:pPr>
          </w:p>
        </w:tc>
        <w:tc>
          <w:tcPr>
            <w:tcW w:w="214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Wuhan NIO Energy Co., Ltd. (“PE WHJV”)</w:t>
            </w:r>
          </w:p>
        </w:tc>
        <w:tc>
          <w:tcPr>
            <w:tcW w:w="920" w:type="dxa"/>
            <w:vAlign w:val="bottom"/>
            <w:gridSpan w:val="2"/>
            <w:shd w:val="clear" w:color="auto" w:fill="CCEEFF"/>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Wuhan, PRC, May 2017</w:t>
            </w:r>
          </w:p>
        </w:tc>
        <w:tc>
          <w:tcPr>
            <w:tcW w:w="12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3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NIO Holding Co., Ltd. (“NIO China”) (formerly known as</w:t>
            </w:r>
          </w:p>
        </w:tc>
        <w:tc>
          <w:tcPr>
            <w:tcW w:w="920" w:type="dxa"/>
            <w:vAlign w:val="bottom"/>
            <w:gridSpan w:val="2"/>
            <w:vMerge w:val="restart"/>
          </w:tcPr>
          <w:p>
            <w:pPr>
              <w:jc w:val="center"/>
              <w:ind w:left="54"/>
              <w:spacing w:after="0"/>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auto"/>
              </w:rPr>
              <w:t>Anhui, PRC, November 2017</w:t>
            </w:r>
          </w:p>
        </w:tc>
        <w:tc>
          <w:tcPr>
            <w:tcW w:w="35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color w:val="auto"/>
              </w:rPr>
              <w:t>Headquarter and technology development</w:t>
            </w:r>
          </w:p>
        </w:tc>
        <w:tc>
          <w:tcPr>
            <w:tcW w:w="0" w:type="dxa"/>
            <w:vAlign w:val="bottom"/>
          </w:tcPr>
          <w:p>
            <w:pPr>
              <w:spacing w:after="0"/>
              <w:rPr>
                <w:sz w:val="1"/>
                <w:szCs w:val="1"/>
                <w:color w:val="auto"/>
              </w:rPr>
            </w:pPr>
          </w:p>
        </w:tc>
      </w:tr>
      <w:tr>
        <w:trPr>
          <w:trHeight w:val="156"/>
        </w:trPr>
        <w:tc>
          <w:tcPr>
            <w:tcW w:w="3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NIO (Anhui) Holding Co., Ltd.) (Note (a))</w:t>
            </w:r>
          </w:p>
        </w:tc>
        <w:tc>
          <w:tcPr>
            <w:tcW w:w="920" w:type="dxa"/>
            <w:vAlign w:val="bottom"/>
            <w:gridSpan w:val="2"/>
            <w:vMerge w:val="continue"/>
          </w:tcPr>
          <w:p>
            <w:pPr>
              <w:spacing w:after="0"/>
              <w:rPr>
                <w:sz w:val="13"/>
                <w:szCs w:val="13"/>
                <w:color w:val="auto"/>
              </w:rPr>
            </w:pPr>
          </w:p>
        </w:tc>
        <w:tc>
          <w:tcPr>
            <w:tcW w:w="2140" w:type="dxa"/>
            <w:vAlign w:val="bottom"/>
            <w:gridSpan w:val="3"/>
            <w:vMerge w:val="continue"/>
          </w:tcPr>
          <w:p>
            <w:pPr>
              <w:spacing w:after="0"/>
              <w:rPr>
                <w:sz w:val="13"/>
                <w:szCs w:val="13"/>
                <w:color w:val="auto"/>
              </w:rPr>
            </w:pPr>
          </w:p>
        </w:tc>
        <w:tc>
          <w:tcPr>
            <w:tcW w:w="35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3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XPT (Jiangsu) Automotive Technology Co., Ltd. (“XPT</w:t>
            </w:r>
          </w:p>
        </w:tc>
        <w:tc>
          <w:tcPr>
            <w:tcW w:w="920" w:type="dxa"/>
            <w:vAlign w:val="bottom"/>
            <w:gridSpan w:val="2"/>
            <w:vMerge w:val="restart"/>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Nanjing, PRC, May 2018</w:t>
            </w:r>
          </w:p>
        </w:tc>
        <w:tc>
          <w:tcPr>
            <w:tcW w:w="12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AUTO”)</w:t>
            </w:r>
          </w:p>
        </w:tc>
        <w:tc>
          <w:tcPr>
            <w:tcW w:w="920" w:type="dxa"/>
            <w:vAlign w:val="bottom"/>
            <w:gridSpan w:val="2"/>
            <w:vMerge w:val="continue"/>
            <w:shd w:val="clear" w:color="auto" w:fill="CCEEFF"/>
          </w:tcPr>
          <w:p>
            <w:pPr>
              <w:spacing w:after="0"/>
              <w:rPr>
                <w:sz w:val="13"/>
                <w:szCs w:val="13"/>
                <w:color w:val="auto"/>
              </w:rPr>
            </w:pPr>
          </w:p>
        </w:tc>
        <w:tc>
          <w:tcPr>
            <w:tcW w:w="2140" w:type="dxa"/>
            <w:vAlign w:val="bottom"/>
            <w:gridSpan w:val="3"/>
            <w:vMerge w:val="continue"/>
            <w:shd w:val="clear" w:color="auto" w:fill="CCEEFF"/>
          </w:tcPr>
          <w:p>
            <w:pPr>
              <w:spacing w:after="0"/>
              <w:rPr>
                <w:sz w:val="13"/>
                <w:szCs w:val="13"/>
                <w:color w:val="auto"/>
              </w:rPr>
            </w:pPr>
          </w:p>
        </w:tc>
        <w:tc>
          <w:tcPr>
            <w:tcW w:w="1240" w:type="dxa"/>
            <w:vAlign w:val="bottom"/>
            <w:gridSpan w:val="3"/>
            <w:vMerge w:val="continue"/>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NIO Financial Leasing Co., Ltd. (“NIO Leasing”)</w:t>
            </w:r>
          </w:p>
        </w:tc>
        <w:tc>
          <w:tcPr>
            <w:tcW w:w="920" w:type="dxa"/>
            <w:vAlign w:val="bottom"/>
            <w:gridSpan w:val="2"/>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Shanghai, PRC, August 2018</w:t>
            </w:r>
          </w:p>
        </w:tc>
        <w:tc>
          <w:tcPr>
            <w:tcW w:w="12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Financial Leasing</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NIO (Anhui) Co., Ltd. (“NIO AH”)</w:t>
            </w:r>
          </w:p>
        </w:tc>
        <w:tc>
          <w:tcPr>
            <w:tcW w:w="920" w:type="dxa"/>
            <w:vAlign w:val="bottom"/>
            <w:gridSpan w:val="2"/>
            <w:shd w:val="clear" w:color="auto" w:fill="CCEEFF"/>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Anhui, PRC, August 2020</w:t>
            </w:r>
          </w:p>
        </w:tc>
        <w:tc>
          <w:tcPr>
            <w:tcW w:w="3540" w:type="dxa"/>
            <w:vAlign w:val="bottom"/>
            <w:gridSpan w:val="4"/>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Industrialization and technology development</w:t>
            </w: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NIO Technology (Anhui) Co., Ltd. (“NIO R&amp;D”)</w:t>
            </w:r>
          </w:p>
        </w:tc>
        <w:tc>
          <w:tcPr>
            <w:tcW w:w="920" w:type="dxa"/>
            <w:vAlign w:val="bottom"/>
            <w:gridSpan w:val="2"/>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Anhui, PRC, August 2020</w:t>
            </w:r>
          </w:p>
        </w:tc>
        <w:tc>
          <w:tcPr>
            <w:tcW w:w="3540" w:type="dxa"/>
            <w:vAlign w:val="bottom"/>
            <w:gridSpan w:val="4"/>
          </w:tcPr>
          <w:p>
            <w:pPr>
              <w:ind w:left="120"/>
              <w:spacing w:after="0" w:line="136" w:lineRule="exact"/>
              <w:rPr>
                <w:sz w:val="20"/>
                <w:szCs w:val="20"/>
                <w:color w:val="auto"/>
              </w:rPr>
            </w:pPr>
            <w:r>
              <w:rPr>
                <w:rFonts w:ascii="Times New Roman" w:cs="Times New Roman" w:eastAsia="Times New Roman" w:hAnsi="Times New Roman"/>
                <w:sz w:val="13"/>
                <w:szCs w:val="13"/>
                <w:color w:val="auto"/>
              </w:rPr>
              <w:t>Design and technology development</w:t>
            </w: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New Horizon B.V.</w:t>
            </w:r>
          </w:p>
        </w:tc>
        <w:tc>
          <w:tcPr>
            <w:tcW w:w="920" w:type="dxa"/>
            <w:vAlign w:val="bottom"/>
            <w:gridSpan w:val="2"/>
            <w:shd w:val="clear" w:color="auto" w:fill="CCEEFF"/>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Netherlands, November 2022</w:t>
            </w:r>
          </w:p>
        </w:tc>
        <w:tc>
          <w:tcPr>
            <w:tcW w:w="12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NIO Nextev Europe Holding B.V.(“NIO NL”)</w:t>
            </w:r>
          </w:p>
        </w:tc>
        <w:tc>
          <w:tcPr>
            <w:tcW w:w="920" w:type="dxa"/>
            <w:vAlign w:val="bottom"/>
            <w:gridSpan w:val="2"/>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Netherlands, December 2020</w:t>
            </w:r>
          </w:p>
        </w:tc>
        <w:tc>
          <w:tcPr>
            <w:tcW w:w="12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NEU Battery Asset Co., Ltd. (“BAC Cayman”)</w:t>
            </w:r>
          </w:p>
        </w:tc>
        <w:tc>
          <w:tcPr>
            <w:tcW w:w="920" w:type="dxa"/>
            <w:vAlign w:val="bottom"/>
            <w:gridSpan w:val="2"/>
            <w:shd w:val="clear" w:color="auto" w:fill="CCEEFF"/>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Cayman Islands, May 2021</w:t>
            </w:r>
          </w:p>
        </w:tc>
        <w:tc>
          <w:tcPr>
            <w:tcW w:w="12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Instant Power Europe B.V. Co., Ltd. (“BAC NL”)</w:t>
            </w:r>
          </w:p>
        </w:tc>
        <w:tc>
          <w:tcPr>
            <w:tcW w:w="920" w:type="dxa"/>
            <w:vAlign w:val="bottom"/>
            <w:gridSpan w:val="2"/>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Netherlands, June 2021</w:t>
            </w:r>
          </w:p>
        </w:tc>
        <w:tc>
          <w:tcPr>
            <w:tcW w:w="3540" w:type="dxa"/>
            <w:vAlign w:val="bottom"/>
            <w:gridSpan w:val="4"/>
          </w:tcPr>
          <w:p>
            <w:pPr>
              <w:ind w:left="120"/>
              <w:spacing w:after="0" w:line="136" w:lineRule="exact"/>
              <w:rPr>
                <w:sz w:val="20"/>
                <w:szCs w:val="20"/>
                <w:color w:val="auto"/>
              </w:rPr>
            </w:pPr>
            <w:r>
              <w:rPr>
                <w:rFonts w:ascii="Times New Roman" w:cs="Times New Roman" w:eastAsia="Times New Roman" w:hAnsi="Times New Roman"/>
                <w:sz w:val="13"/>
                <w:szCs w:val="13"/>
                <w:color w:val="auto"/>
              </w:rPr>
              <w:t>Battery Subscription Service</w:t>
            </w: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NEU Battery Asset (Hong Kong) Co., Ltd. (“BAC HK”)</w:t>
            </w:r>
          </w:p>
        </w:tc>
        <w:tc>
          <w:tcPr>
            <w:tcW w:w="920" w:type="dxa"/>
            <w:vAlign w:val="bottom"/>
            <w:gridSpan w:val="2"/>
            <w:shd w:val="clear" w:color="auto" w:fill="CCEEFF"/>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Hong Kong, July 2021</w:t>
            </w:r>
          </w:p>
        </w:tc>
        <w:tc>
          <w:tcPr>
            <w:tcW w:w="12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GeniTech Co., Ltd.(“Shenji”)</w:t>
            </w:r>
          </w:p>
        </w:tc>
        <w:tc>
          <w:tcPr>
            <w:tcW w:w="920" w:type="dxa"/>
            <w:vAlign w:val="bottom"/>
            <w:gridSpan w:val="2"/>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1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Anhui, PRC, June 2025</w:t>
            </w:r>
          </w:p>
        </w:tc>
        <w:tc>
          <w:tcPr>
            <w:tcW w:w="3540" w:type="dxa"/>
            <w:vAlign w:val="bottom"/>
            <w:gridSpan w:val="4"/>
          </w:tcPr>
          <w:p>
            <w:pPr>
              <w:ind w:left="120"/>
              <w:spacing w:after="0" w:line="136" w:lineRule="exact"/>
              <w:rPr>
                <w:sz w:val="20"/>
                <w:szCs w:val="20"/>
                <w:color w:val="auto"/>
              </w:rPr>
            </w:pPr>
            <w:r>
              <w:rPr>
                <w:rFonts w:ascii="Times New Roman" w:cs="Times New Roman" w:eastAsia="Times New Roman" w:hAnsi="Times New Roman"/>
                <w:sz w:val="13"/>
                <w:szCs w:val="13"/>
                <w:color w:val="auto"/>
              </w:rPr>
              <w:t>Technology development</w:t>
            </w: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NIO AI Technology Limited (“NIO AI Technology”)</w:t>
            </w:r>
          </w:p>
        </w:tc>
        <w:tc>
          <w:tcPr>
            <w:tcW w:w="920" w:type="dxa"/>
            <w:vAlign w:val="bottom"/>
            <w:gridSpan w:val="2"/>
            <w:shd w:val="clear" w:color="auto" w:fill="CCEEFF"/>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96.970%</w:t>
            </w:r>
          </w:p>
        </w:tc>
        <w:tc>
          <w:tcPr>
            <w:tcW w:w="21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Cayman Islands, March 2021</w:t>
            </w:r>
          </w:p>
        </w:tc>
        <w:tc>
          <w:tcPr>
            <w:tcW w:w="1240" w:type="dxa"/>
            <w:vAlign w:val="bottom"/>
            <w:gridSpan w:val="3"/>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NIO AI Technology Limited</w:t>
            </w:r>
          </w:p>
        </w:tc>
        <w:tc>
          <w:tcPr>
            <w:tcW w:w="920" w:type="dxa"/>
            <w:vAlign w:val="bottom"/>
            <w:gridSpan w:val="2"/>
          </w:tcPr>
          <w:p>
            <w:pPr>
              <w:jc w:val="center"/>
              <w:ind w:left="54"/>
              <w:spacing w:after="0" w:line="136" w:lineRule="exact"/>
              <w:rPr>
                <w:sz w:val="20"/>
                <w:szCs w:val="20"/>
                <w:color w:val="auto"/>
              </w:rPr>
            </w:pPr>
            <w:r>
              <w:rPr>
                <w:rFonts w:ascii="Times New Roman" w:cs="Times New Roman" w:eastAsia="Times New Roman" w:hAnsi="Times New Roman"/>
                <w:sz w:val="13"/>
                <w:szCs w:val="13"/>
                <w:color w:val="auto"/>
              </w:rPr>
              <w:t>96.970%</w:t>
            </w:r>
          </w:p>
        </w:tc>
        <w:tc>
          <w:tcPr>
            <w:tcW w:w="21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Hong Kong, May 2021</w:t>
            </w:r>
          </w:p>
        </w:tc>
        <w:tc>
          <w:tcPr>
            <w:tcW w:w="12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3"/>
                <w:szCs w:val="13"/>
                <w:color w:val="auto"/>
              </w:rPr>
              <w:t>Investment holding</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3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Anhui NIO Autonomous Driving Technology Co., Ltd.</w:t>
            </w:r>
          </w:p>
        </w:tc>
        <w:tc>
          <w:tcPr>
            <w:tcW w:w="920" w:type="dxa"/>
            <w:vAlign w:val="bottom"/>
            <w:gridSpan w:val="2"/>
            <w:vMerge w:val="restart"/>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96.970%</w:t>
            </w:r>
          </w:p>
        </w:tc>
        <w:tc>
          <w:tcPr>
            <w:tcW w:w="21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Anhui, PRC, June 2021</w:t>
            </w:r>
          </w:p>
        </w:tc>
        <w:tc>
          <w:tcPr>
            <w:tcW w:w="3540" w:type="dxa"/>
            <w:vAlign w:val="bottom"/>
            <w:gridSpan w:val="4"/>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Technology development</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(“Anhui NIO AD”)</w:t>
            </w:r>
          </w:p>
        </w:tc>
        <w:tc>
          <w:tcPr>
            <w:tcW w:w="920" w:type="dxa"/>
            <w:vAlign w:val="bottom"/>
            <w:gridSpan w:val="2"/>
            <w:vMerge w:val="continue"/>
            <w:shd w:val="clear" w:color="auto" w:fill="CCEEFF"/>
          </w:tcPr>
          <w:p>
            <w:pPr>
              <w:spacing w:after="0"/>
              <w:rPr>
                <w:sz w:val="13"/>
                <w:szCs w:val="13"/>
                <w:color w:val="auto"/>
              </w:rPr>
            </w:pPr>
          </w:p>
        </w:tc>
        <w:tc>
          <w:tcPr>
            <w:tcW w:w="2140" w:type="dxa"/>
            <w:vAlign w:val="bottom"/>
            <w:gridSpan w:val="3"/>
            <w:vMerge w:val="continue"/>
            <w:shd w:val="clear" w:color="auto" w:fill="CCEEFF"/>
          </w:tcPr>
          <w:p>
            <w:pPr>
              <w:spacing w:after="0"/>
              <w:rPr>
                <w:sz w:val="13"/>
                <w:szCs w:val="13"/>
                <w:color w:val="auto"/>
              </w:rPr>
            </w:pPr>
          </w:p>
        </w:tc>
        <w:tc>
          <w:tcPr>
            <w:tcW w:w="3540" w:type="dxa"/>
            <w:vAlign w:val="bottom"/>
            <w:gridSpan w:val="4"/>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3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VIEs and VIEs’ subsidiaries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3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Place and Date of incorporation</w:t>
            </w:r>
          </w:p>
        </w:tc>
        <w:tc>
          <w:tcPr>
            <w:tcW w:w="0" w:type="dxa"/>
            <w:vAlign w:val="bottom"/>
          </w:tcPr>
          <w:p>
            <w:pPr>
              <w:spacing w:after="0"/>
              <w:rPr>
                <w:sz w:val="1"/>
                <w:szCs w:val="1"/>
                <w:color w:val="auto"/>
              </w:rPr>
            </w:pPr>
          </w:p>
        </w:tc>
      </w:tr>
      <w:tr>
        <w:trPr>
          <w:trHeight w:val="158"/>
        </w:trPr>
        <w:tc>
          <w:tcPr>
            <w:tcW w:w="33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3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or date of acquisition</w:t>
            </w:r>
          </w:p>
        </w:tc>
        <w:tc>
          <w:tcPr>
            <w:tcW w:w="0" w:type="dxa"/>
            <w:vAlign w:val="bottom"/>
          </w:tcPr>
          <w:p>
            <w:pPr>
              <w:spacing w:after="0"/>
              <w:rPr>
                <w:sz w:val="1"/>
                <w:szCs w:val="1"/>
                <w:color w:val="auto"/>
              </w:rPr>
            </w:pPr>
          </w:p>
        </w:tc>
      </w:tr>
      <w:tr>
        <w:trPr>
          <w:trHeight w:val="19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Prime Hubs Limited (“Prime Hubs”)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BVI, October 2014</w:t>
            </w:r>
          </w:p>
        </w:tc>
        <w:tc>
          <w:tcPr>
            <w:tcW w:w="0" w:type="dxa"/>
            <w:vAlign w:val="bottom"/>
          </w:tcPr>
          <w:p>
            <w:pPr>
              <w:spacing w:after="0"/>
              <w:rPr>
                <w:sz w:val="1"/>
                <w:szCs w:val="1"/>
                <w:color w:val="auto"/>
              </w:rPr>
            </w:pPr>
          </w:p>
        </w:tc>
      </w:tr>
      <w:tr>
        <w:trPr>
          <w:trHeight w:val="198"/>
        </w:trPr>
        <w:tc>
          <w:tcPr>
            <w:tcW w:w="4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Beijing NIO Network Technology Co., Ltd. (“Beijing NIO”)</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Beijing, PRC, July 2017</w:t>
            </w:r>
          </w:p>
        </w:tc>
        <w:tc>
          <w:tcPr>
            <w:tcW w:w="0" w:type="dxa"/>
            <w:vAlign w:val="bottom"/>
          </w:tcPr>
          <w:p>
            <w:pPr>
              <w:spacing w:after="0"/>
              <w:rPr>
                <w:sz w:val="1"/>
                <w:szCs w:val="1"/>
                <w:color w:val="auto"/>
              </w:rPr>
            </w:pPr>
          </w:p>
        </w:tc>
      </w:tr>
      <w:tr>
        <w:trPr>
          <w:trHeight w:val="198"/>
        </w:trPr>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Anhui NIO AI Technology Co., Ltd. (“Anhui NIO AT”)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Anhui, PRC, April 2021</w:t>
            </w:r>
          </w:p>
        </w:tc>
        <w:tc>
          <w:tcPr>
            <w:tcW w:w="0" w:type="dxa"/>
            <w:vAlign w:val="bottom"/>
          </w:tcPr>
          <w:p>
            <w:pPr>
              <w:spacing w:after="0"/>
              <w:rPr>
                <w:sz w:val="1"/>
                <w:szCs w:val="1"/>
                <w:color w:val="auto"/>
              </w:rPr>
            </w:pPr>
          </w:p>
        </w:tc>
      </w:tr>
      <w:tr>
        <w:trPr>
          <w:trHeight w:val="198"/>
        </w:trPr>
        <w:tc>
          <w:tcPr>
            <w:tcW w:w="4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Anhui NIO Data Technology Co., Ltd. (“Anhui NIO DT”)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Anhui, PRC, October 2022</w:t>
            </w:r>
          </w:p>
        </w:tc>
        <w:tc>
          <w:tcPr>
            <w:tcW w:w="0" w:type="dxa"/>
            <w:vAlign w:val="bottom"/>
          </w:tcPr>
          <w:p>
            <w:pPr>
              <w:spacing w:after="0"/>
              <w:rPr>
                <w:sz w:val="1"/>
                <w:szCs w:val="1"/>
                <w:color w:val="auto"/>
              </w:rPr>
            </w:pPr>
          </w:p>
        </w:tc>
      </w:tr>
      <w:tr>
        <w:trPr>
          <w:trHeight w:val="198"/>
        </w:trPr>
        <w:tc>
          <w:tcPr>
            <w:tcW w:w="7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NIO Insurance Broker Co., Ltd (“NIO IB”) (formerly known as Huiding Insurance Broker Co., Ltd.)</w:t>
            </w: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Anhui, PRC, January 2023</w:t>
            </w:r>
          </w:p>
        </w:tc>
        <w:tc>
          <w:tcPr>
            <w:tcW w:w="0" w:type="dxa"/>
            <w:vAlign w:val="bottom"/>
          </w:tcPr>
          <w:p>
            <w:pPr>
              <w:spacing w:after="0"/>
              <w:rPr>
                <w:sz w:val="1"/>
                <w:szCs w:val="1"/>
                <w:color w:val="auto"/>
              </w:rPr>
            </w:pPr>
          </w:p>
        </w:tc>
      </w:tr>
      <w:tr>
        <w:trPr>
          <w:trHeight w:val="793"/>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(a) - NIO China</w:t>
      </w:r>
    </w:p>
    <w:p>
      <w:pPr>
        <w:spacing w:after="0" w:line="212"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6"/>
          <w:szCs w:val="16"/>
          <w:color w:val="auto"/>
        </w:rPr>
        <w:t>As of December 31, 2024 and 2025, the Company held 89.02% and 91.80% of total paid-in capital of NIO China, respectively. In accordance with NIO China’s share purchase agreements, the redemption of the non-controlling interests is at the holders of non-controlling interests’ option and is upon the occurrence of the events that are not solely within the control of the Company. Therefore, these redeemable non-controlling interests in NIO China were classified as mezzanine equity and are subsequently accreted to the redemption price using the agreed interest rate as a reduction of additional paid in capital (Note 20). With the redemption feature of the non-controlling interests, the Company is considered to effectively have 100% equity interest of NIO China as of December 31, 2024 and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(b) - PE CNHC</w:t>
      </w:r>
    </w:p>
    <w:p>
      <w:pPr>
        <w:spacing w:after="0" w:line="212"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As of December 31, 2024 and 2025, the Company held 90.91% of total paid-in capital of PE CNHC. In May 2024, the Group entered into several agreements with the holders of non-controlling interests, including a share purchase agreement of PE CNHC. In accordance with the share purchase agreement, the redemption of the non-controlling interests is at the holders of non-controlling interests’ option and is upon the occurrence of the events that are not solely within the control of the Company. Therefore, these redeemable non-controlling interests in PE CNHC were classified as mezzanine equity and are subsequently accreted to the redemption price using the agreed interest rate as a reduction of additional paid in capital (Note 20). With the redemption feature of the non-controlling interests, the Company is considered to effectively have 100% equity interest of PE CNHC as of December 31, 2024 and 2025.</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Variable interest entities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u w:val="single" w:color="auto"/>
          <w:color w:val="auto"/>
        </w:rPr>
        <w:t>Prime Hubs</w:t>
      </w:r>
    </w:p>
    <w:p>
      <w:pPr>
        <w:spacing w:after="0" w:line="212"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In October 2014, Prime Hubs, a British Virgin Islands (“BVI”) incorporated company, was established by Li Bin, a shareholder of the Group, to facilitate the adoption of the Company’s employee stock incentive plans on behalf of the Company. The Company entered into a management agreement with Prime Hubs and Li Bin. The agreement enables the Company to direct the activities that most significantly impact Prime Hubs’s economic performance and enable the Company to obtain substantially all of the economic benefits arising from Prime Hubs. As of December 31, 2024 and 2025, Prime Hubs held 3,250,002 Class A Ordinary Shares of the Company, respectively, other than which, Prime Hubs did not have any operations, nor any material assets or liabilities. All restricted shares granted under the Company’s Prime Hubs Restricted Shares Plan have been fully vested.</w:t>
      </w:r>
    </w:p>
    <w:p>
      <w:pPr>
        <w:spacing w:after="0" w:line="3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u w:val="single" w:color="auto"/>
          <w:color w:val="auto"/>
        </w:rPr>
        <w:t>Beijing NIO</w:t>
      </w:r>
    </w:p>
    <w:p>
      <w:pPr>
        <w:spacing w:after="0" w:line="212" w:lineRule="exact"/>
        <w:rPr>
          <w:sz w:val="20"/>
          <w:szCs w:val="20"/>
          <w:color w:val="auto"/>
        </w:rPr>
      </w:pPr>
    </w:p>
    <w:p>
      <w:pPr>
        <w:jc w:val="both"/>
        <w:ind w:firstLine="297"/>
        <w:spacing w:after="0" w:line="264" w:lineRule="auto"/>
        <w:rPr>
          <w:sz w:val="20"/>
          <w:szCs w:val="20"/>
          <w:color w:val="auto"/>
        </w:rPr>
      </w:pPr>
      <w:r>
        <w:rPr>
          <w:rFonts w:ascii="Times New Roman" w:cs="Times New Roman" w:eastAsia="Times New Roman" w:hAnsi="Times New Roman"/>
          <w:sz w:val="16"/>
          <w:szCs w:val="16"/>
          <w:color w:val="auto"/>
        </w:rPr>
        <w:t>In April 2018, the Group entered into a series of contractual arrangements with Beijing NIO and its individual shareholders (the “Nominee Shareholders”), including, among others, an exclusive business cooperation agreement, a loan agreement, an equity pledge agreement, an exclusive call option agreement and a power of attorney, which enable the Company to direct the activities that most significantly impact Beijing NIO’s economic performance and obtain substantially all of the economic benefits arising from Beijing NIO. Management concluded that Beijing NIO is a variable interest entity and the Company is the ultimate primary beneficiary of Beijing NIO and hence consolidates the financial results of Beijing NIO. The Group operates value-added telecommunication services, including without limitation, performing internet information services, as well as holding certain related licenses, through Beijing NIO. For the years ended December 31, 2023, 2024 and 2025, the financial position, result of operations and cash flow activities of Beijing NIO were immaterial to the consolidated financial statements.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u w:val="single" w:color="auto"/>
          <w:color w:val="auto"/>
        </w:rPr>
        <w:t>Anhui NIO AT</w:t>
      </w:r>
    </w:p>
    <w:p>
      <w:pPr>
        <w:spacing w:after="0" w:line="113" w:lineRule="exact"/>
        <w:rPr>
          <w:sz w:val="20"/>
          <w:szCs w:val="20"/>
          <w:color w:val="auto"/>
        </w:rPr>
      </w:pPr>
    </w:p>
    <w:p>
      <w:pPr>
        <w:jc w:val="both"/>
        <w:ind w:firstLine="297"/>
        <w:spacing w:after="0" w:line="261" w:lineRule="auto"/>
        <w:rPr>
          <w:sz w:val="20"/>
          <w:szCs w:val="20"/>
          <w:color w:val="auto"/>
        </w:rPr>
      </w:pPr>
      <w:r>
        <w:rPr>
          <w:rFonts w:ascii="Times New Roman" w:cs="Times New Roman" w:eastAsia="Times New Roman" w:hAnsi="Times New Roman"/>
          <w:sz w:val="16"/>
          <w:szCs w:val="16"/>
          <w:color w:val="auto"/>
        </w:rPr>
        <w:t>In April 2021, Anhui NIO AT, was established by individual shareholders (the “Nominee Shareholders”). Anhui NIO AD entered into a management agreement with Nominee Shareholders. The agreement enables the Company to direct the activities that most significantly impact Anhui NIO AT’s economic performance, and enabled the Company to obtain substantially all of the economic benefits arising from them. Management concluded that Anhui NIO AT is a variable interest entity and the Company is the ultimate primary beneficiary of Anhui NIO AT and hence consolidates the financial results of Anhui NIO AT. In November 2022, concurrent with the termination of the said management agreement, the Group entered into a series of contractual arrangements with the Nominee Shareholders as well as Anhui NIO AT, including, among others, an exclusive business cooperation agreement, a loan agreement, an equity pledge agreement, an exclusive call option agreement and a power of attorney. These agreements enable the Company to direct the activities that most significantly impact Anhui NIO AT’s economic performance and enable the Company to obtain substantially all of the economic benefits arising from Anhui NIO AT. Management concluded that Anhui NIO AT continues to be a variable interest entity and the Company remains as the ultimate primary beneficiary of Anhui NIO AT. Therefore, the Group continues to consolidate the financial results of Anhui NIO AT’s financial statements. The Group intends to obtain requisite licenses for certain supporting functions during the development of autonomous driving technology through Anhui NIO AT. For the years ended December 31, 2023, 2024 and 2025, the financial position, result of operations and cash flow activities of Anhui NIO AT were immaterial to the consolidated financial statements.</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u w:val="single" w:color="auto"/>
          <w:color w:val="auto"/>
        </w:rPr>
        <w:t>Anhui NIO DT and NIO IB</w:t>
      </w:r>
    </w:p>
    <w:p>
      <w:pPr>
        <w:spacing w:after="0" w:line="113" w:lineRule="exact"/>
        <w:rPr>
          <w:sz w:val="20"/>
          <w:szCs w:val="20"/>
          <w:color w:val="auto"/>
        </w:rPr>
      </w:pPr>
    </w:p>
    <w:p>
      <w:pPr>
        <w:jc w:val="both"/>
        <w:ind w:firstLine="297"/>
        <w:spacing w:after="0" w:line="262" w:lineRule="auto"/>
        <w:rPr>
          <w:sz w:val="20"/>
          <w:szCs w:val="20"/>
          <w:color w:val="auto"/>
        </w:rPr>
      </w:pPr>
      <w:r>
        <w:rPr>
          <w:rFonts w:ascii="Times New Roman" w:cs="Times New Roman" w:eastAsia="Times New Roman" w:hAnsi="Times New Roman"/>
          <w:sz w:val="16"/>
          <w:szCs w:val="16"/>
          <w:color w:val="auto"/>
        </w:rPr>
        <w:t>In October 2022, the Group entered into a series of contractual arrangements with Anhui NIO DT and its individual shareholders (the “Nominee Shareholders”), including, among others, an exclusive business cooperation agreement, a loan agreement, an equity pledge agreement, an exclusive call option agreement and a power of attorney, which enable the Group to direct the activities that most significantly impact Anhui NIO DT’s economic performance and obtain substantially all of the economic benefits arising from Anhui NIO DT. Management concluded that Anhui NIO DT is a variable interest entity and the Company is the ultimate primary beneficiary of Anhui NIO DT and hence consolidates the financial results of Anhui NIO DT in the Group’s consolidated financial statements. In January 2023, Anhui NIO DT acquired NIO IB. NIO IB was a company holding the insurance brokerage license and does not meet the criteria necessary to be defined as a business under US GAAP. Accordingly, the Group accounted for this transaction as an asset acquisition. The Group provides insurance brokerage services which are mainly vehicle-related and property-related and holds requisite licenses through Anhui NIO DT and NIO IB. For the years ended December 31, 2023, 2024 and 2025, the financial position, result of operations and cash flow activities of Anhui NIO DT and NIO IB were immaterial to the consolidated financial statements.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Liquidity and Going Concern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Group’s consolidated financial statements have been prepared on a going concern basis.</w:t>
      </w:r>
    </w:p>
    <w:p>
      <w:pPr>
        <w:spacing w:after="0" w:line="138"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The Group incurred net losses of RMB20.7 billion, RMB22.4 billion and RMB14.9 billion, and operating cash outflow of RMB1.4 billion and RMB7.8 billion and operating cash inflow of RMB3.0 billion for the years ended December 31, 2023, 2024 and 2025, respectively. The Group’s accumulated deficit amounted to RMB113.1 billion and RMB128.0 billion as of December 31, 2024 and 2025, respectively. As of December 31, 2024 and 2025, the Group’s current liabilities exceeded current assets in the amount of RMB0.4 billion and RMB1.9 billion, respectively. As of December 31, 2025, the Group’s balances of cash and cash equivalents, restricted cash and short-term investment totaled RMB45.8 billion, and the Group had trade and notes payable of RMB53.3 billion, accruals and other liabilities of RMB16.7 billion, and outstanding borrowing of RMB5.3 billion due in the next 12 months.</w:t>
      </w:r>
    </w:p>
    <w:p>
      <w:pPr>
        <w:spacing w:after="0" w:line="88" w:lineRule="exact"/>
        <w:rPr>
          <w:sz w:val="20"/>
          <w:szCs w:val="20"/>
          <w:color w:val="auto"/>
        </w:rPr>
      </w:pPr>
    </w:p>
    <w:p>
      <w:pPr>
        <w:jc w:val="both"/>
        <w:ind w:firstLine="297"/>
        <w:spacing w:after="0" w:line="262" w:lineRule="auto"/>
        <w:rPr>
          <w:sz w:val="20"/>
          <w:szCs w:val="20"/>
          <w:color w:val="auto"/>
        </w:rPr>
      </w:pPr>
      <w:r>
        <w:rPr>
          <w:rFonts w:ascii="Times New Roman" w:cs="Times New Roman" w:eastAsia="Times New Roman" w:hAnsi="Times New Roman"/>
          <w:sz w:val="16"/>
          <w:szCs w:val="16"/>
          <w:color w:val="auto"/>
        </w:rPr>
        <w:t>Therefore, the Group’s ability to continue as a going concern is largely dependent on the successful implementation of management’s business plan to mitigate these adverse conditions, which includes growing the Group’s revenue by increasing sales volume of electric vehicles from existing and new vehicle models, continuing to optimize operation efficiency to improve operating cash flows, maintaining a reasonable working capital turnover rate by managing collection of receivables and settlement of payables, and raising funds from banks under available credit quotas and other sources when needed. Management has prepared a cash flows forecast covering the twelve months from the date of issuance of the consolidated financial statements after giving consideration to its business plan as noted above and the evaluation of the probability of the successful implementation of such business plan. Management has assessed the uncertainties as to the successful execution of such business plan and concluded it is probable that the business plan will be effectively implemented, and the Group’s available cash and cash equivalents, restricted cash and short-term investments, cash generated from operating activities and funds from available credit quotas and other sources will be sufficient to support its continuous operations and necessary capital expenditures, and to meet its payment obligations when liabilities fall due within the twelve months from the date of issuance of the consolidated financial statements.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ind w:left="280" w:hanging="280"/>
        <w:spacing w:after="0"/>
        <w:tabs>
          <w:tab w:leader="none" w:pos="280" w:val="left"/>
        </w:tabs>
        <w:numPr>
          <w:ilvl w:val="0"/>
          <w:numId w:val="1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212"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(a) Basis of presentation</w:t>
      </w:r>
    </w:p>
    <w:p>
      <w:pPr>
        <w:spacing w:after="0" w:line="216"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(b) Principles of consolidation</w:t>
      </w:r>
    </w:p>
    <w:p>
      <w:pPr>
        <w:spacing w:after="0" w:line="216"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The consolidated financial statements include the financial statements of the Company, its subsidiaries and the VIEs for which the Company is the ultimate primary beneficiary.</w:t>
      </w:r>
    </w:p>
    <w:p>
      <w:pPr>
        <w:spacing w:after="0" w:line="137"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53"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The Company applies the guidance under Accounting Standard Codification 810, Consolidations (“ASC 810”) on accounting for the VIEs. 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ASC 810 requires variable interest entities to be consolidated by the primary beneficiary which has a controlling financial interest of variable interest entities. The Company is considered as the primary beneficiary of the VIEs and thus consolidates the financial statements each of these entities under U.S. GAAP.</w:t>
      </w:r>
    </w:p>
    <w:p>
      <w:pPr>
        <w:spacing w:after="0" w:line="162"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All significant transactions and balances between the Company, its subsidiaries and the VIEs have been eliminated upon consolidation. The non-controlling interests in consolidated subsidiaries are shown separately in the consolidated financial statements.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 Use of estimates</w:t>
      </w:r>
    </w:p>
    <w:p>
      <w:pPr>
        <w:spacing w:after="0" w:line="216" w:lineRule="exact"/>
        <w:rPr>
          <w:sz w:val="20"/>
          <w:szCs w:val="20"/>
          <w:color w:val="auto"/>
        </w:rPr>
      </w:pPr>
    </w:p>
    <w:p>
      <w:pPr>
        <w:jc w:val="both"/>
        <w:ind w:firstLine="297"/>
        <w:spacing w:after="0" w:line="262" w:lineRule="auto"/>
        <w:rPr>
          <w:sz w:val="20"/>
          <w:szCs w:val="20"/>
          <w:color w:val="auto"/>
        </w:rPr>
      </w:pPr>
      <w:r>
        <w:rPr>
          <w:rFonts w:ascii="Times New Roman" w:cs="Times New Roman" w:eastAsia="Times New Roman" w:hAnsi="Times New Roman"/>
          <w:sz w:val="16"/>
          <w:szCs w:val="16"/>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 Significant accounting estimates reflected in the Group’s consolidated financial statements mainly include, but are not limited to, warranty liabilities, determination of standalone selling price regarding multiple performance obligations, fair value of available-for-sale debt security investments and equity securities using fair value option investments, lower of cost and net realizable value of inventories, inventory valuation for excess and obsolete inventories, losses on purchase commitments, allowance for current expected credit loss, depreciable lives of property, equipment and software, subsequent measurement of equity securities measured under measurement alternatives, assessment for impairment of long-lived assets, valuation of deferred tax assets, valuation and recognition of share-based compensation, fair value of short-term investments, discount rate of lease liabilities, and current or non-current classification of receivables. Actual results could differ from those estimates.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 Functional currency and foreign currency translation</w:t>
      </w:r>
    </w:p>
    <w:p>
      <w:pPr>
        <w:spacing w:after="0" w:line="216"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The Group’s reporting currency is the Renminbi (“RMB”). The functional currency of the Company and its subsidiaries which are incorporated in the Cayman Islands and Hong Kong is United States dollars (“US$”), except NIO Sport Limited which operates mainly in United Kingdom and uses Great Britain pounds (“GBP”). The functional currencies of the other subsidiaries and the VIEs are their respective local currencies. The determination of the respective functional currency is based on the criteria set out by ASC 830, Foreign Currency Matters.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spacing w:after="0" w:line="161" w:lineRule="exact"/>
        <w:rPr>
          <w:sz w:val="20"/>
          <w:szCs w:val="20"/>
          <w:color w:val="auto"/>
        </w:rPr>
      </w:pPr>
    </w:p>
    <w:p>
      <w:pPr>
        <w:jc w:val="both"/>
        <w:ind w:firstLine="297"/>
        <w:spacing w:after="0" w:line="263" w:lineRule="auto"/>
        <w:rPr>
          <w:sz w:val="20"/>
          <w:szCs w:val="20"/>
          <w:color w:val="auto"/>
        </w:rPr>
      </w:pPr>
      <w:r>
        <w:rPr>
          <w:rFonts w:ascii="Times New Roman" w:cs="Times New Roman" w:eastAsia="Times New Roman" w:hAnsi="Times New Roman"/>
          <w:sz w:val="16"/>
          <w:szCs w:val="16"/>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loss in the consolidated statements of comprehensive income or loss, and the accumulated foreign currency translation adjustments are presented as a component of accumulated other comprehensive loss in the consolidated statements of shareholders’ equity. Total foreign currency translation adjustment income/(losses) were an income of RMB11,514, an income of RMB149,668 and a loss of RMB2,860 for the years ended December 31, 2023, 2024 and 2025, respectively. The grant-date fair value of the Group’s share-based compensation expenses is reported in US$ as the respective valuation is conducted in US$ and the shares are denominated in US$.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(e) Convenience translation</w:t>
      </w:r>
    </w:p>
    <w:p>
      <w:pPr>
        <w:spacing w:after="0" w:line="216"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Translations of balances in the consolidated balance sheets, consolidated statements of comprehensive loss and consolidated statements of cash flows from RMB into US$ as of and for the year ended December 31, 2025 are solely for the convenience of the reader and were calculated at the rate of US$1.00 = RMB6.9931, representing the noon buying rate in The City of New York for cable transfers of RMB as certified for customs purposes by the Federal Reserve Bank of New York on December 31, 2025. No representation is made that the RMB amounts represent or could have been, or could be, converted, realized or settled into US$ at that rate on, or December 31, 2025, or at any other rate.</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(f) Fair value</w:t>
      </w:r>
    </w:p>
    <w:p>
      <w:pPr>
        <w:spacing w:after="0" w:line="216"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59" w:lineRule="exact"/>
        <w:rPr>
          <w:sz w:val="20"/>
          <w:szCs w:val="20"/>
          <w:color w:val="auto"/>
        </w:rPr>
      </w:pPr>
    </w:p>
    <w:p>
      <w:pPr>
        <w:jc w:val="both"/>
        <w:ind w:firstLine="297"/>
        <w:spacing w:after="0" w:line="275" w:lineRule="auto"/>
        <w:rPr>
          <w:sz w:val="20"/>
          <w:szCs w:val="20"/>
          <w:color w:val="auto"/>
        </w:rPr>
      </w:pPr>
      <w:r>
        <w:rPr>
          <w:rFonts w:ascii="Times New Roman" w:cs="Times New Roman" w:eastAsia="Times New Roman" w:hAnsi="Times New Roman"/>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Level 1 — Quoted prices (unadjusted) in active markets for identical assets or liabilities.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Level 2 — Observable, market-based inputs, other than quoted prices, in active markets for identical assets or liabilities.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Level 3 — Unobservable inputs to the valuation methodology that are significant to the measurement of the fair value of the assets or liabilities.</w:t>
      </w:r>
    </w:p>
    <w:p>
      <w:pPr>
        <w:spacing w:after="0" w:line="212"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As disclosed in Note 2(n), the Group’s equity securities with readily determinable fair values are carried at fair value using quoted market prices that currently available on a securities exchange and are classified within Level 1.</w:t>
      </w:r>
    </w:p>
    <w:p>
      <w:pPr>
        <w:spacing w:after="0" w:line="137"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Group’s investments in structured deposits issued by banks and certain retained asset-backed securities are carried at fair value, which are classified within Level 2 and valued using directly or indirectly observable inputs in the market place. As of December 31, 2024 and 2025, such investments aggregately amounted to RMB6,109,606 and RMB305,433, respectively.</w:t>
      </w:r>
    </w:p>
    <w:p>
      <w:pPr>
        <w:spacing w:after="0" w:line="153"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As disclosed in Note 2(q), the Group’s derivative instruments are carried at fair value, which are classified within Level 2 and valued using indirectly observable inputs in the market place.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right="20" w:firstLine="297"/>
        <w:spacing w:after="0" w:line="262" w:lineRule="auto"/>
        <w:rPr>
          <w:sz w:val="20"/>
          <w:szCs w:val="20"/>
          <w:color w:val="auto"/>
        </w:rPr>
      </w:pPr>
      <w:r>
        <w:rPr>
          <w:rFonts w:ascii="Times New Roman" w:cs="Times New Roman" w:eastAsia="Times New Roman" w:hAnsi="Times New Roman"/>
          <w:sz w:val="16"/>
          <w:szCs w:val="16"/>
          <w:color w:val="auto"/>
        </w:rPr>
        <w:t>As disclosed in Note 9, the Group’s available-for-sale debt security investments include investments the Group made in private companies which contains substantive redemption and preferential rights. The Group’s equity securities investments measured using fair value option include an investment the Group made in a private company which contains certain preferential rights. Such investments are classified within Level 3 for fair value measurement. As of December 31, 2024 and 2025, the carrying value of the investments were RMB1,277,068 and RMB979,071, respectively. The Group re-measured the respective fair values using a market approach by adopting a backsolve method, which determined the estimated fair value of the investments through comparison to a recent transaction and applied significant unobservable inputs and assumptions. In the case of available-for-sale debt security investments, fair value changes were not material for the years ended December 31, 2023, 2024 and 2025. In the case of equity securities investments using fair value option, fair value changes of nil and RMB425,711 were recorded as investment loss for the years ended December 31, 2023 and 2024, and RMB208,328 was recorded as investment income for the year ended December 31, 2025. The significant unobservable inputs adopted in the valuation as of December 31, 2024 and 2025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2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26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Borders>
              <w:bottom w:val="single" w:sz="8" w:color="CCEEFF"/>
            </w:tcBorders>
          </w:tcPr>
          <w:p>
            <w:pPr>
              <w:spacing w:after="0"/>
              <w:rPr>
                <w:sz w:val="13"/>
                <w:szCs w:val="13"/>
                <w:color w:val="auto"/>
              </w:rPr>
            </w:pPr>
          </w:p>
        </w:tc>
        <w:tc>
          <w:tcPr>
            <w:tcW w:w="26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9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42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2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422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rPr>
              <w:t>49%-52%</w:t>
            </w:r>
          </w:p>
        </w:tc>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49%-52%</w:t>
            </w:r>
          </w:p>
        </w:tc>
      </w:tr>
      <w:tr>
        <w:trPr>
          <w:trHeight w:val="182"/>
        </w:trPr>
        <w:tc>
          <w:tcPr>
            <w:tcW w:w="29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Probability</w:t>
            </w:r>
          </w:p>
        </w:tc>
        <w:tc>
          <w:tcPr>
            <w:tcW w:w="4220" w:type="dxa"/>
            <w:vAlign w:val="bottom"/>
            <w:gridSpan w:val="2"/>
            <w:shd w:val="clear" w:color="auto" w:fill="CCEEFF"/>
          </w:tcPr>
          <w:p>
            <w:pPr>
              <w:ind w:left="1600"/>
              <w:spacing w:after="0" w:line="181" w:lineRule="exact"/>
              <w:rPr>
                <w:sz w:val="20"/>
                <w:szCs w:val="20"/>
                <w:color w:val="auto"/>
              </w:rPr>
            </w:pPr>
            <w:r>
              <w:rPr>
                <w:rFonts w:ascii="Times New Roman" w:cs="Times New Roman" w:eastAsia="Times New Roman" w:hAnsi="Times New Roman"/>
                <w:sz w:val="16"/>
                <w:szCs w:val="16"/>
                <w:color w:val="auto"/>
              </w:rPr>
              <w:t>Liquidation scenario: 20%-43%</w:t>
            </w:r>
          </w:p>
        </w:tc>
        <w:tc>
          <w:tcPr>
            <w:tcW w:w="280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Liquidation scenario:20%-43%</w:t>
            </w:r>
          </w:p>
        </w:tc>
      </w:tr>
      <w:tr>
        <w:trPr>
          <w:trHeight w:val="198"/>
        </w:trPr>
        <w:tc>
          <w:tcPr>
            <w:tcW w:w="292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Redemption scenario: 0%-43%</w:t>
            </w:r>
          </w:p>
        </w:tc>
        <w:tc>
          <w:tcPr>
            <w:tcW w:w="2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Redemption scenario: 20%-43%</w:t>
            </w:r>
          </w:p>
        </w:tc>
      </w:tr>
      <w:tr>
        <w:trPr>
          <w:trHeight w:val="214"/>
        </w:trPr>
        <w:tc>
          <w:tcPr>
            <w:tcW w:w="29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IPO scenario: 15%-80%</w:t>
            </w:r>
          </w:p>
        </w:tc>
        <w:tc>
          <w:tcPr>
            <w:tcW w:w="2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IPO scenario: 15%-60%</w:t>
            </w:r>
          </w:p>
        </w:tc>
      </w:tr>
    </w:tbl>
    <w:p>
      <w:pPr>
        <w:spacing w:after="0" w:line="182" w:lineRule="exact"/>
        <w:rPr>
          <w:sz w:val="20"/>
          <w:szCs w:val="20"/>
          <w:color w:val="auto"/>
        </w:rPr>
      </w:pPr>
    </w:p>
    <w:p>
      <w:pPr>
        <w:jc w:val="both"/>
        <w:ind w:right="20" w:firstLine="297"/>
        <w:spacing w:after="0" w:line="275" w:lineRule="auto"/>
        <w:rPr>
          <w:sz w:val="20"/>
          <w:szCs w:val="20"/>
          <w:color w:val="auto"/>
        </w:rPr>
      </w:pPr>
      <w:r>
        <w:rPr>
          <w:rFonts w:ascii="Times New Roman" w:cs="Times New Roman" w:eastAsia="Times New Roman" w:hAnsi="Times New Roman"/>
          <w:sz w:val="16"/>
          <w:szCs w:val="16"/>
          <w:color w:val="auto"/>
        </w:rPr>
        <w:t>As disclosed in Note 20, the warrants issued by PE CNHC in May 2024 are not traded in an active securities market. As such, the Company estimated its fair value using the binomial option pricing model as of December 31, 2025 using the assumptions including fair value per share, dividend yield, time to maturity, risk free interest rate and expected volatility. As of December 31, 2024 and 2025, the carrying value of the warrant was not material.</w:t>
      </w:r>
    </w:p>
    <w:p>
      <w:pPr>
        <w:spacing w:after="0" w:line="358" w:lineRule="exact"/>
        <w:rPr>
          <w:sz w:val="20"/>
          <w:szCs w:val="20"/>
          <w:color w:val="auto"/>
        </w:rPr>
      </w:pPr>
    </w:p>
    <w:p>
      <w:pPr>
        <w:jc w:val="both"/>
        <w:ind w:right="20" w:firstLine="297"/>
        <w:spacing w:after="0" w:line="268" w:lineRule="auto"/>
        <w:rPr>
          <w:sz w:val="20"/>
          <w:szCs w:val="20"/>
          <w:color w:val="auto"/>
        </w:rPr>
      </w:pPr>
      <w:r>
        <w:rPr>
          <w:rFonts w:ascii="Times New Roman" w:cs="Times New Roman" w:eastAsia="Times New Roman" w:hAnsi="Times New Roman"/>
          <w:sz w:val="16"/>
          <w:szCs w:val="16"/>
          <w:color w:val="auto"/>
        </w:rPr>
        <w:t>Financial assets and liabilities of the Group primarily consist of cash and cash equivalents, restricted cash, short-term investments, trade receivable, amounts due from related parties, deposits and other receivables, available-for-sale debt security investments, retained asset-backed securities, trade and notes payable, amounts due to related parties, other payables, derivative instruments, short-term borrowings, lease liabilities and long-term borrowings. As of December 31, 2024 and 2025, other than as discussed above, the carrying values of these financial instruments approximated to their respective fair values.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(g) Cash, cash equivalents and restricted cash</w:t>
      </w:r>
    </w:p>
    <w:p>
      <w:pPr>
        <w:spacing w:after="0" w:line="216"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Cash and cash equivalents represent cash at hand, time deposits and highly-liquid investments placed with banks or other financial institutions, which are unrestricted as to withdrawal and use, and which have original maturities of three months or less.</w:t>
      </w:r>
    </w:p>
    <w:p>
      <w:pPr>
        <w:spacing w:after="0" w:line="137" w:lineRule="exact"/>
        <w:rPr>
          <w:sz w:val="20"/>
          <w:szCs w:val="20"/>
          <w:color w:val="auto"/>
        </w:rPr>
      </w:pPr>
    </w:p>
    <w:p>
      <w:pPr>
        <w:jc w:val="both"/>
        <w:ind w:right="20" w:firstLine="297"/>
        <w:spacing w:after="0" w:line="271" w:lineRule="auto"/>
        <w:rPr>
          <w:sz w:val="20"/>
          <w:szCs w:val="20"/>
          <w:color w:val="auto"/>
        </w:rPr>
      </w:pPr>
      <w:r>
        <w:rPr>
          <w:rFonts w:ascii="Times New Roman" w:cs="Times New Roman" w:eastAsia="Times New Roman" w:hAnsi="Times New Roman"/>
          <w:sz w:val="16"/>
          <w:szCs w:val="16"/>
          <w:color w:val="auto"/>
        </w:rPr>
        <w:t>Cash which is restricted to withdrawal for use or pledged as security is reported separately on the face of the consolidated balance sheets. The Group’s restricted cash mainly represents (a) secured deposits held in designated bank accounts for corporate bank credit cards, bank acceptance notes, letter of credit and letters of guarantee; and (b) time deposits that are pledged for property leases. The restricted cash is classified according to the contractual term of the restriction imposed.</w:t>
      </w:r>
    </w:p>
    <w:p>
      <w:pPr>
        <w:spacing w:after="0" w:line="159"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Cash, cash equivalents and restricted cash as reported in the consolidated statements of cash flows are presented separately on our consolidated balance sheets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vMerge w:val="restart"/>
          </w:tcPr>
          <w:p>
            <w:pPr>
              <w:ind w:left="738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54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19,328,920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11,274,094</w:t>
            </w: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8,320,728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14,745,975</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97,720</w:t>
            </w:r>
          </w:p>
        </w:tc>
        <w:tc>
          <w:tcPr>
            <w:tcW w:w="2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88,325</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27,747,368</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26,108,394</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800"/>
              <w:spacing w:after="0"/>
              <w:rPr>
                <w:sz w:val="20"/>
                <w:szCs w:val="20"/>
                <w:color w:val="auto"/>
              </w:rPr>
            </w:pPr>
            <w:r>
              <w:rPr>
                <w:rFonts w:ascii="Times New Roman" w:cs="Times New Roman" w:eastAsia="Times New Roman" w:hAnsi="Times New Roman"/>
                <w:sz w:val="16"/>
                <w:szCs w:val="16"/>
                <w:color w:val="auto"/>
              </w:rPr>
              <w:t>F-16</w:t>
            </w: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75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(h) Short-term investments</w:t>
      </w:r>
    </w:p>
    <w:p>
      <w:pPr>
        <w:spacing w:after="0" w:line="216" w:lineRule="exact"/>
        <w:rPr>
          <w:sz w:val="20"/>
          <w:szCs w:val="20"/>
          <w:color w:val="auto"/>
        </w:rPr>
      </w:pPr>
    </w:p>
    <w:p>
      <w:pPr>
        <w:jc w:val="both"/>
        <w:ind w:right="20" w:firstLine="297"/>
        <w:spacing w:after="0" w:line="268" w:lineRule="auto"/>
        <w:rPr>
          <w:sz w:val="20"/>
          <w:szCs w:val="20"/>
          <w:color w:val="auto"/>
        </w:rPr>
      </w:pPr>
      <w:r>
        <w:rPr>
          <w:rFonts w:ascii="Times New Roman" w:cs="Times New Roman" w:eastAsia="Times New Roman" w:hAnsi="Times New Roman"/>
          <w:sz w:val="16"/>
          <w:szCs w:val="16"/>
          <w:color w:val="auto"/>
        </w:rPr>
        <w:t>Short-term investments consist primarily of investments in fixed deposits with maturities between three months and one year, which are stated at amortised cost, and investments in structured deposits issued by banks, which are measured at fair value, and an equity investment which is expected to be disposed within one year. As of December 31, 2024 and 2025, the short-term investments amounted to RMB14,137,566 and RMB19,755,809, respectively, among which, RMB11,372,254 and RMB19,369,931, were restricted as collateral for notes payable and letter of guarantee as of December 31, 2024 and 2025, respectively.</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(i) Expected credit losses</w:t>
      </w:r>
    </w:p>
    <w:p>
      <w:pPr>
        <w:spacing w:after="0" w:line="216" w:lineRule="exact"/>
        <w:rPr>
          <w:sz w:val="20"/>
          <w:szCs w:val="20"/>
          <w:color w:val="auto"/>
        </w:rPr>
      </w:pPr>
    </w:p>
    <w:p>
      <w:pPr>
        <w:jc w:val="both"/>
        <w:ind w:right="20" w:firstLine="297"/>
        <w:spacing w:after="0" w:line="264" w:lineRule="auto"/>
        <w:rPr>
          <w:sz w:val="20"/>
          <w:szCs w:val="20"/>
          <w:color w:val="auto"/>
        </w:rPr>
      </w:pPr>
      <w:r>
        <w:rPr>
          <w:rFonts w:ascii="Times New Roman" w:cs="Times New Roman" w:eastAsia="Times New Roman" w:hAnsi="Times New Roman"/>
          <w:sz w:val="16"/>
          <w:szCs w:val="16"/>
          <w:color w:val="auto"/>
        </w:rPr>
        <w:t>The Group’s receivables from battery sales to the Battery Asset Company under the Baas model, auto financing receivables, deposits and other receivables are within the scope of ASC Topic 326. The Group has identified the relevant risk characteristics of its customers and the related receivables, deposits and other receivables which include size, type of the services or the products the Group provides, or a combination of these characteristics.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spacing w:after="0" w:line="163" w:lineRule="exact"/>
        <w:rPr>
          <w:sz w:val="20"/>
          <w:szCs w:val="20"/>
          <w:color w:val="auto"/>
        </w:rPr>
      </w:pPr>
    </w:p>
    <w:p>
      <w:pPr>
        <w:jc w:val="both"/>
        <w:ind w:right="20" w:firstLine="297"/>
        <w:spacing w:after="0" w:line="271" w:lineRule="auto"/>
        <w:rPr>
          <w:sz w:val="20"/>
          <w:szCs w:val="20"/>
          <w:color w:val="auto"/>
        </w:rPr>
      </w:pPr>
      <w:r>
        <w:rPr>
          <w:rFonts w:ascii="Times New Roman" w:cs="Times New Roman" w:eastAsia="Times New Roman" w:hAnsi="Times New Roman"/>
          <w:sz w:val="16"/>
          <w:szCs w:val="16"/>
          <w:color w:val="auto"/>
        </w:rPr>
        <w:t>For the years ended December 31, 2023, 2024 and 2025, the Group reversed RMB26,315, RMB3,761 and RMB46,691 in expected credit loss provisions in selling, general and administrative expenses, respectively. As of December 31, 2025, the expected credit loss reserve for current and non-current assets were RMB48,590 and RMB14,699, respectively. As of December 31, 2024, the expected credit loss reserve for current and non-current assets were RMB50,594 and RMB59,386,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at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40" w:type="dxa"/>
            <w:vAlign w:val="bottom"/>
            <w:gridSpan w:val="2"/>
            <w:vMerge w:val="restart"/>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Original</w:t>
            </w:r>
          </w:p>
        </w:tc>
        <w:tc>
          <w:tcPr>
            <w:tcW w:w="200" w:type="dxa"/>
            <w:vAlign w:val="bottom"/>
          </w:tcPr>
          <w:p>
            <w:pPr>
              <w:spacing w:after="0"/>
              <w:rPr>
                <w:sz w:val="12"/>
                <w:szCs w:val="12"/>
                <w:color w:val="auto"/>
              </w:rPr>
            </w:pPr>
          </w:p>
        </w:tc>
        <w:tc>
          <w:tcPr>
            <w:tcW w:w="1020" w:type="dxa"/>
            <w:vAlign w:val="bottom"/>
            <w:gridSpan w:val="5"/>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tcPr>
          <w:p>
            <w:pPr>
              <w:jc w:val="center"/>
              <w:ind w:right="1078"/>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4980" w:type="dxa"/>
            <w:vAlign w:val="bottom"/>
            <w:vMerge w:val="restart"/>
          </w:tcPr>
          <w:p>
            <w:pPr>
              <w:ind w:left="48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5"/>
          </w:tcPr>
          <w:p>
            <w:pPr>
              <w:jc w:val="center"/>
              <w:ind w:right="146"/>
              <w:spacing w:after="0" w:line="136" w:lineRule="exact"/>
              <w:rPr>
                <w:sz w:val="20"/>
                <w:szCs w:val="20"/>
                <w:color w:val="auto"/>
              </w:rPr>
            </w:pPr>
            <w:r>
              <w:rPr>
                <w:rFonts w:ascii="Times New Roman" w:cs="Times New Roman" w:eastAsia="Times New Roman" w:hAnsi="Times New Roman"/>
                <w:sz w:val="13"/>
                <w:szCs w:val="13"/>
                <w:b w:val="1"/>
                <w:bCs w:val="1"/>
                <w:color w:val="auto"/>
                <w:w w:val="99"/>
              </w:rPr>
              <w:t>credit loss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3"/>
          </w:tcPr>
          <w:p>
            <w:pPr>
              <w:jc w:val="center"/>
              <w:ind w:right="1078"/>
              <w:spacing w:after="0" w:line="136" w:lineRule="exact"/>
              <w:rPr>
                <w:sz w:val="20"/>
                <w:szCs w:val="20"/>
                <w:color w:val="auto"/>
              </w:rPr>
            </w:pPr>
            <w:r>
              <w:rPr>
                <w:rFonts w:ascii="Times New Roman" w:cs="Times New Roman" w:eastAsia="Times New Roman" w:hAnsi="Times New Roman"/>
                <w:sz w:val="13"/>
                <w:szCs w:val="13"/>
                <w:b w:val="1"/>
                <w:bCs w:val="1"/>
                <w:color w:val="auto"/>
                <w:w w:val="99"/>
              </w:rPr>
              <w:t>credit loss</w:t>
            </w: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84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6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60" w:type="dxa"/>
            <w:vAlign w:val="bottom"/>
          </w:tcPr>
          <w:p>
            <w:pPr>
              <w:spacing w:after="0"/>
              <w:rPr>
                <w:sz w:val="13"/>
                <w:szCs w:val="13"/>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3"/>
          </w:tcPr>
          <w:p>
            <w:pPr>
              <w:jc w:val="center"/>
              <w:ind w:right="1078"/>
              <w:spacing w:after="0"/>
              <w:rPr>
                <w:sz w:val="20"/>
                <w:szCs w:val="20"/>
                <w:color w:val="auto"/>
              </w:rPr>
            </w:pPr>
            <w:r>
              <w:rPr>
                <w:rFonts w:ascii="Times New Roman" w:cs="Times New Roman" w:eastAsia="Times New Roman" w:hAnsi="Times New Roman"/>
                <w:sz w:val="13"/>
                <w:szCs w:val="13"/>
                <w:b w:val="1"/>
                <w:bCs w:val="1"/>
                <w:color w:val="auto"/>
                <w:w w:val="99"/>
              </w:rPr>
              <w:t>provision</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Trade and notes receivable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1,714,786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4"/>
          </w:tcPr>
          <w:p>
            <w:pPr>
              <w:jc w:val="center"/>
              <w:ind w:left="82"/>
              <w:spacing w:after="0"/>
              <w:rPr>
                <w:sz w:val="20"/>
                <w:szCs w:val="20"/>
                <w:color w:val="auto"/>
              </w:rPr>
            </w:pPr>
            <w:r>
              <w:rPr>
                <w:rFonts w:ascii="Times New Roman" w:cs="Times New Roman" w:eastAsia="Times New Roman" w:hAnsi="Times New Roman"/>
                <w:sz w:val="16"/>
                <w:szCs w:val="16"/>
                <w:color w:val="auto"/>
              </w:rPr>
              <w:t>2.25 %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38,540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7,712,546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rPr>
              <w:t>0.13 %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10,142</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3,634,868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4"/>
          </w:tcPr>
          <w:p>
            <w:pPr>
              <w:jc w:val="center"/>
              <w:ind w:left="82"/>
              <w:spacing w:after="0"/>
              <w:rPr>
                <w:sz w:val="20"/>
                <w:szCs w:val="20"/>
                <w:color w:val="auto"/>
              </w:rPr>
            </w:pPr>
            <w:r>
              <w:rPr>
                <w:rFonts w:ascii="Times New Roman" w:cs="Times New Roman" w:eastAsia="Times New Roman" w:hAnsi="Times New Roman"/>
                <w:sz w:val="16"/>
                <w:szCs w:val="16"/>
                <w:color w:val="auto"/>
              </w:rPr>
              <w:t>0.05 %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3,632,523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4"/>
          </w:tcPr>
          <w:p>
            <w:pPr>
              <w:jc w:val="center"/>
              <w:ind w:left="82"/>
              <w:spacing w:after="0"/>
              <w:rPr>
                <w:sz w:val="20"/>
                <w:szCs w:val="20"/>
                <w:color w:val="auto"/>
              </w:rPr>
            </w:pPr>
            <w:r>
              <w:rPr>
                <w:rFonts w:ascii="Times New Roman" w:cs="Times New Roman" w:eastAsia="Times New Roman" w:hAnsi="Times New Roman"/>
                <w:sz w:val="16"/>
                <w:szCs w:val="16"/>
                <w:color w:val="auto"/>
              </w:rPr>
              <w:t>1.63 %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59,386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as at December 31, 2025</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3"/>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Original</w:t>
            </w:r>
          </w:p>
        </w:tc>
        <w:tc>
          <w:tcPr>
            <w:tcW w:w="120" w:type="dxa"/>
            <w:vAlign w:val="bottom"/>
          </w:tcPr>
          <w:p>
            <w:pPr>
              <w:spacing w:after="0"/>
              <w:rPr>
                <w:sz w:val="24"/>
                <w:szCs w:val="24"/>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2"/>
          </w:tcPr>
          <w:p>
            <w:pPr>
              <w:jc w:val="center"/>
              <w:ind w:right="938"/>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credit loss</w:t>
            </w:r>
          </w:p>
        </w:tc>
        <w:tc>
          <w:tcPr>
            <w:tcW w:w="4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660" w:type="dxa"/>
            <w:vAlign w:val="bottom"/>
            <w:gridSpan w:val="2"/>
          </w:tcPr>
          <w:p>
            <w:pPr>
              <w:jc w:val="center"/>
              <w:ind w:right="938"/>
              <w:spacing w:after="0" w:line="136" w:lineRule="exact"/>
              <w:rPr>
                <w:sz w:val="20"/>
                <w:szCs w:val="20"/>
                <w:color w:val="auto"/>
              </w:rPr>
            </w:pPr>
            <w:r>
              <w:rPr>
                <w:rFonts w:ascii="Times New Roman" w:cs="Times New Roman" w:eastAsia="Times New Roman" w:hAnsi="Times New Roman"/>
                <w:sz w:val="13"/>
                <w:szCs w:val="13"/>
                <w:b w:val="1"/>
                <w:bCs w:val="1"/>
                <w:color w:val="auto"/>
                <w:w w:val="99"/>
              </w:rPr>
              <w:t>credit loss</w:t>
            </w: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300" w:type="dxa"/>
            <w:vAlign w:val="bottom"/>
            <w:gridSpan w:val="4"/>
          </w:tcPr>
          <w:p>
            <w:pPr>
              <w:jc w:val="right"/>
              <w:ind w:right="174"/>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amount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gridSpan w:val="2"/>
          </w:tcPr>
          <w:p>
            <w:pPr>
              <w:jc w:val="center"/>
              <w:ind w:right="938"/>
              <w:spacing w:after="0"/>
              <w:rPr>
                <w:sz w:val="20"/>
                <w:szCs w:val="20"/>
                <w:color w:val="auto"/>
              </w:rPr>
            </w:pPr>
            <w:r>
              <w:rPr>
                <w:rFonts w:ascii="Times New Roman" w:cs="Times New Roman" w:eastAsia="Times New Roman" w:hAnsi="Times New Roman"/>
                <w:sz w:val="13"/>
                <w:szCs w:val="13"/>
                <w:b w:val="1"/>
                <w:bCs w:val="1"/>
                <w:color w:val="auto"/>
                <w:w w:val="99"/>
              </w:rPr>
              <w:t>provision</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Trade and notes receivable</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1,421,006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4"/>
          </w:tcPr>
          <w:p>
            <w:pPr>
              <w:jc w:val="center"/>
              <w:ind w:left="1"/>
              <w:spacing w:after="0"/>
              <w:rPr>
                <w:sz w:val="20"/>
                <w:szCs w:val="20"/>
                <w:color w:val="auto"/>
              </w:rPr>
            </w:pPr>
            <w:r>
              <w:rPr>
                <w:rFonts w:ascii="Times New Roman" w:cs="Times New Roman" w:eastAsia="Times New Roman" w:hAnsi="Times New Roman"/>
                <w:sz w:val="16"/>
                <w:szCs w:val="16"/>
                <w:color w:val="auto"/>
              </w:rPr>
              <w:t>1.87 %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26,561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16,098,829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rPr>
              <w:t>0.13 %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20,579</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4,855,060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4"/>
          </w:tcPr>
          <w:p>
            <w:pPr>
              <w:jc w:val="center"/>
              <w:ind w:left="1"/>
              <w:spacing w:after="0"/>
              <w:rPr>
                <w:sz w:val="20"/>
                <w:szCs w:val="20"/>
                <w:color w:val="auto"/>
              </w:rPr>
            </w:pPr>
            <w:r>
              <w:rPr>
                <w:rFonts w:ascii="Times New Roman" w:cs="Times New Roman" w:eastAsia="Times New Roman" w:hAnsi="Times New Roman"/>
                <w:sz w:val="16"/>
                <w:szCs w:val="16"/>
                <w:color w:val="auto"/>
              </w:rPr>
              <w:t>0.03 %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7,448,284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4"/>
          </w:tcPr>
          <w:p>
            <w:pPr>
              <w:jc w:val="center"/>
              <w:ind w:left="1"/>
              <w:spacing w:after="0"/>
              <w:rPr>
                <w:sz w:val="20"/>
                <w:szCs w:val="20"/>
                <w:color w:val="auto"/>
              </w:rPr>
            </w:pPr>
            <w:r>
              <w:rPr>
                <w:rFonts w:ascii="Times New Roman" w:cs="Times New Roman" w:eastAsia="Times New Roman" w:hAnsi="Times New Roman"/>
                <w:sz w:val="16"/>
                <w:szCs w:val="16"/>
                <w:color w:val="auto"/>
              </w:rPr>
              <w:t>0.20 %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14,699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6"/>
        </w:trPr>
        <w:tc>
          <w:tcPr>
            <w:tcW w:w="1000" w:type="dxa"/>
            <w:vAlign w:val="bottom"/>
          </w:tcPr>
          <w:p>
            <w:pPr>
              <w:spacing w:after="0"/>
              <w:rPr>
                <w:sz w:val="24"/>
                <w:szCs w:val="24"/>
                <w:color w:val="auto"/>
              </w:rPr>
            </w:pPr>
          </w:p>
        </w:tc>
        <w:tc>
          <w:tcPr>
            <w:tcW w:w="4980" w:type="dxa"/>
            <w:vAlign w:val="bottom"/>
          </w:tcPr>
          <w:p>
            <w:pPr>
              <w:ind w:left="3800"/>
              <w:spacing w:after="0"/>
              <w:rPr>
                <w:sz w:val="20"/>
                <w:szCs w:val="20"/>
                <w:color w:val="auto"/>
              </w:rPr>
            </w:pPr>
            <w:r>
              <w:rPr>
                <w:rFonts w:ascii="Times New Roman" w:cs="Times New Roman" w:eastAsia="Times New Roman" w:hAnsi="Times New Roman"/>
                <w:sz w:val="16"/>
                <w:szCs w:val="16"/>
                <w:color w:val="auto"/>
              </w:rPr>
              <w:t>F-17</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0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(j) Inventory</w:t>
      </w:r>
    </w:p>
    <w:p>
      <w:pPr>
        <w:spacing w:after="0" w:line="216" w:lineRule="exact"/>
        <w:rPr>
          <w:sz w:val="20"/>
          <w:szCs w:val="20"/>
          <w:color w:val="auto"/>
        </w:rPr>
      </w:pPr>
    </w:p>
    <w:p>
      <w:pPr>
        <w:jc w:val="both"/>
        <w:ind w:right="20" w:firstLine="297"/>
        <w:spacing w:after="0" w:line="264" w:lineRule="auto"/>
        <w:rPr>
          <w:sz w:val="20"/>
          <w:szCs w:val="20"/>
          <w:color w:val="auto"/>
        </w:rPr>
      </w:pPr>
      <w:r>
        <w:rPr>
          <w:rFonts w:ascii="Times New Roman" w:cs="Times New Roman" w:eastAsia="Times New Roman" w:hAnsi="Times New Roman"/>
          <w:sz w:val="16"/>
          <w:szCs w:val="16"/>
          <w:color w:val="auto"/>
        </w:rPr>
        <w:t>Inventories are stated at the lower of cost or net realizable value. Cost is calculated on the average basis and includes all costs to acquire and other costs to bring the inventories to their present location and condition. The Group records inventory write-downs for excess or obsolete inventories or accrues costs of inventory commitments based upon assumptions on current and future demand forecasts. If the inventory on hand or inventory purchase commitments is in excess of future demand forecast, the excess amounts are written down or accrued.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(k) Property, plant and equipment, net</w:t>
      </w:r>
    </w:p>
    <w:p>
      <w:pPr>
        <w:spacing w:after="0" w:line="216" w:lineRule="exact"/>
        <w:rPr>
          <w:sz w:val="20"/>
          <w:szCs w:val="20"/>
          <w:color w:val="auto"/>
        </w:rPr>
      </w:pPr>
    </w:p>
    <w:p>
      <w:pPr>
        <w:jc w:val="both"/>
        <w:ind w:right="20" w:firstLine="297"/>
        <w:spacing w:after="0" w:line="268" w:lineRule="auto"/>
        <w:rPr>
          <w:sz w:val="20"/>
          <w:szCs w:val="20"/>
          <w:color w:val="auto"/>
        </w:rPr>
      </w:pPr>
      <w:r>
        <w:rPr>
          <w:rFonts w:ascii="Times New Roman" w:cs="Times New Roman" w:eastAsia="Times New Roman" w:hAnsi="Times New Roman"/>
          <w:sz w:val="16"/>
          <w:szCs w:val="16"/>
          <w:color w:val="auto"/>
        </w:rPr>
        <w:t>Property, plant and equipment are stated at cost less accumulated depreciation and impairment loss, if any. Property, plant and equipment are depreciated at rates sufficient to write off their costs less impairment and residual value, if any, generally over their estimated useful lives on a straight-line basis. Depreciation for mold and tooling is computed using the units-of-production method, including capitalized interest costs which are amortized over the total estimated units of production of the related assets. Leasehold improvements are amortized over the shorter of the lease term or the estimated useful lives of the related assets.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estimated useful lives are as follows:</w:t>
            </w:r>
          </w:p>
        </w:tc>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400"/>
        </w:trPr>
        <w:tc>
          <w:tcPr>
            <w:tcW w:w="4500" w:type="dxa"/>
            <w:vAlign w:val="bottom"/>
            <w:tcBorders>
              <w:bottom w:val="single" w:sz="8" w:color="CCEEFF"/>
            </w:tcBorders>
          </w:tcPr>
          <w:p>
            <w:pPr>
              <w:ind w:left="43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CCEEFF"/>
            </w:tcBorders>
          </w:tcPr>
          <w:p>
            <w:pPr>
              <w:spacing w:after="0"/>
              <w:rPr>
                <w:sz w:val="24"/>
                <w:szCs w:val="24"/>
                <w:color w:val="auto"/>
              </w:rPr>
            </w:pPr>
          </w:p>
        </w:tc>
        <w:tc>
          <w:tcPr>
            <w:tcW w:w="542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6"/>
                <w:szCs w:val="16"/>
                <w:b w:val="1"/>
                <w:bCs w:val="1"/>
                <w:color w:val="auto"/>
              </w:rPr>
              <w:t>Useful lives</w:t>
            </w:r>
          </w:p>
        </w:tc>
      </w:tr>
      <w:tr>
        <w:trPr>
          <w:trHeight w:val="198"/>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 and constructions</w:t>
            </w:r>
          </w:p>
        </w:tc>
        <w:tc>
          <w:tcPr>
            <w:tcW w:w="2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 years</w:t>
            </w: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Production facilities</w:t>
            </w:r>
          </w:p>
        </w:tc>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 to 10 years</w:t>
            </w:r>
          </w:p>
        </w:tc>
      </w:tr>
      <w:tr>
        <w:trPr>
          <w:trHeight w:val="198"/>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Charging and power swap infrastructure</w:t>
            </w: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5 to 8 years</w:t>
            </w: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R&amp;D equipment</w:t>
            </w:r>
          </w:p>
        </w:tc>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 to 15 years</w:t>
            </w:r>
          </w:p>
        </w:tc>
      </w:tr>
      <w:tr>
        <w:trPr>
          <w:trHeight w:val="198"/>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and electronic equipment</w:t>
            </w: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 to 5 years</w:t>
            </w: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Purchased software</w:t>
            </w:r>
          </w:p>
        </w:tc>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to 5 years</w:t>
            </w:r>
          </w:p>
        </w:tc>
      </w:tr>
      <w:tr>
        <w:trPr>
          <w:trHeight w:val="182"/>
        </w:trPr>
        <w:tc>
          <w:tcPr>
            <w:tcW w:w="45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Leasehold improvements</w:t>
            </w:r>
          </w:p>
        </w:tc>
        <w:tc>
          <w:tcPr>
            <w:tcW w:w="54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Shorter of the estimated useful life or remaining lease term (ranging from 1 to 10</w:t>
            </w:r>
          </w:p>
        </w:tc>
      </w:tr>
      <w:tr>
        <w:trPr>
          <w:trHeight w:val="214"/>
        </w:trPr>
        <w:tc>
          <w:tcPr>
            <w:tcW w:w="450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years)</w:t>
            </w: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Vehicles for corporate use or customers’ subscription</w:t>
            </w:r>
          </w:p>
        </w:tc>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 years</w:t>
            </w:r>
          </w:p>
        </w:tc>
      </w:tr>
      <w:tr>
        <w:trPr>
          <w:trHeight w:val="198"/>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 (office equipment, after-sales equipment, etc.)</w:t>
            </w: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 to 5 years</w:t>
            </w:r>
          </w:p>
        </w:tc>
      </w:tr>
    </w:tbl>
    <w:p>
      <w:pPr>
        <w:spacing w:after="0" w:line="182" w:lineRule="exact"/>
        <w:rPr>
          <w:sz w:val="20"/>
          <w:szCs w:val="20"/>
          <w:color w:val="auto"/>
        </w:rPr>
      </w:pPr>
    </w:p>
    <w:p>
      <w:pPr>
        <w:jc w:val="both"/>
        <w:ind w:right="20" w:firstLine="297"/>
        <w:spacing w:after="0" w:line="266" w:lineRule="auto"/>
        <w:rPr>
          <w:sz w:val="20"/>
          <w:szCs w:val="20"/>
          <w:color w:val="auto"/>
        </w:rPr>
      </w:pPr>
      <w:r>
        <w:rPr>
          <w:rFonts w:ascii="Times New Roman" w:cs="Times New Roman" w:eastAsia="Times New Roman" w:hAnsi="Times New Roman"/>
          <w:sz w:val="16"/>
          <w:szCs w:val="16"/>
          <w:color w:val="auto"/>
        </w:rPr>
        <w:t>The cost of maintenance and repairs is expensed as incurred, whereas the cost of renewals and betterment that extends the useful lives of property, plant and equipment is capitalized as additions to the related assets. Interest expense on outstanding debt is capitalized during the period of significant capital asset construction. Capitalized interest on construction-in-progress is included within property, plant and equipment and is amortized over the useful life or units of production of the related assets. When assets are retired or otherwise disposed of, the cost and related accumulated depreciation and amortization are removed from their respective accounts, and any gain or loss on such sale or disposal is reflected in the consolidated statements of comprehensive loss.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(l) Intangible assets, net</w:t>
      </w:r>
    </w:p>
    <w:p>
      <w:pPr>
        <w:spacing w:after="0" w:line="216"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Definite lived intangible assets are carried at cost less accumulated amortization and impairment, if any. Definite lived intangible assets are amortized using the straight-line method over the estimated useful lives as below:</w:t>
      </w:r>
    </w:p>
    <w:p>
      <w:pPr>
        <w:spacing w:after="0" w:line="146" w:lineRule="exact"/>
        <w:rPr>
          <w:sz w:val="20"/>
          <w:szCs w:val="20"/>
          <w:color w:val="auto"/>
        </w:rPr>
      </w:pPr>
    </w:p>
    <w:tbl>
      <w:tblPr>
        <w:tblLayout w:type="fixed"/>
        <w:tblInd w:w="1000" w:type="dxa"/>
        <w:tblCellMar>
          <w:top w:w="0" w:type="dxa"/>
          <w:left w:w="0" w:type="dxa"/>
          <w:bottom w:w="0" w:type="dxa"/>
          <w:right w:w="0" w:type="dxa"/>
        </w:tblCellMar>
      </w:tblPr>
      <w:tr>
        <w:trPr>
          <w:trHeight w:val="218"/>
        </w:trPr>
        <w:tc>
          <w:tcPr>
            <w:tcW w:w="3620" w:type="dxa"/>
            <w:vAlign w:val="bottom"/>
            <w:tcBorders>
              <w:bottom w:val="single" w:sz="8" w:color="CCEEFF"/>
            </w:tcBorders>
          </w:tcPr>
          <w:p>
            <w:pPr>
              <w:ind w:left="3480"/>
              <w:spacing w:after="0"/>
              <w:rPr>
                <w:sz w:val="20"/>
                <w:szCs w:val="20"/>
                <w:color w:val="auto"/>
              </w:rPr>
            </w:pPr>
            <w:r>
              <w:rPr>
                <w:rFonts w:ascii="Times New Roman" w:cs="Times New Roman" w:eastAsia="Times New Roman" w:hAnsi="Times New Roman"/>
                <w:sz w:val="16"/>
                <w:szCs w:val="16"/>
                <w:b w:val="1"/>
                <w:bCs w:val="1"/>
                <w:color w:val="auto"/>
              </w:rPr>
              <w:t>​​​</w:t>
            </w:r>
          </w:p>
        </w:tc>
        <w:tc>
          <w:tcPr>
            <w:tcW w:w="43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6"/>
                <w:szCs w:val="16"/>
                <w:b w:val="1"/>
                <w:bCs w:val="1"/>
                <w:color w:val="auto"/>
              </w:rPr>
              <w:t>Useful lives</w:t>
            </w: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Domain name</w:t>
            </w: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182"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The Group estimates the useful life of the domain name to be 5 years based on the contract terms, expected technical obsolescence and innovations and industry experience of such intangible assets. The estimated useful lives of amortized intangible assets are reassessed if circumstances occur that indicate the original estimated useful lives have changed.</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Intangible assets with an indefinite useful life represent the insurance brokerage license, and is carried at cost less any subsequent impairment loss. The Group expects, based upon regulatory precedent, the license can be renewed, on a perfunctory basis, upon expiration and believes that the license is unlikely to be terminated and will continue to contribute revenue in the future. Therefore, the Group considers the useful life of this intangible asset to be indefinite.</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(m) Land use rights, net</w:t>
      </w:r>
    </w:p>
    <w:p>
      <w:pPr>
        <w:spacing w:after="0" w:line="179"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Land use rights are recorded at cost less accumulated amortization. Amortization is provided on a straight-line basis over the respective lease period ranging from 491 to 536 months.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(n) Long-term investments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Group’s long-term investments include equity investments in entities and debt security investments.</w:t>
      </w:r>
    </w:p>
    <w:p>
      <w:pPr>
        <w:spacing w:after="0" w:line="175" w:lineRule="exact"/>
        <w:rPr>
          <w:sz w:val="20"/>
          <w:szCs w:val="20"/>
          <w:color w:val="auto"/>
        </w:rPr>
      </w:pPr>
    </w:p>
    <w:p>
      <w:pPr>
        <w:jc w:val="both"/>
        <w:ind w:firstLine="297"/>
        <w:spacing w:after="0" w:line="262" w:lineRule="auto"/>
        <w:rPr>
          <w:sz w:val="20"/>
          <w:szCs w:val="20"/>
          <w:color w:val="auto"/>
        </w:rPr>
      </w:pPr>
      <w:r>
        <w:rPr>
          <w:rFonts w:ascii="Times New Roman" w:cs="Times New Roman" w:eastAsia="Times New Roman" w:hAnsi="Times New Roman"/>
          <w:sz w:val="16"/>
          <w:szCs w:val="16"/>
          <w:color w:val="auto"/>
        </w:rPr>
        <w:t>Investments in entities in which the Group can exercise significant influence and holds an investment in voting common stock or in substance common stock (or both) of the investee but does not own a majority equity interest or control are accounted for using the equity method of accounting in accordance with ASC topic 323, Investments — Equity Method and Joint Ventures (“ASC 323”). Under the equity method, the Group initially records its investments at fair value. The Group subsequently adjusts the carrying amount of the investments to recognize the Group’s proportionate share of each equity investee’s net income or loss in share of income/(loss) of equity investees in the Group’s consolidated statements of comprehensive loss after the date of investment. For upstream and downstream transactions with investees, the Group eliminates it’s proportionate interest in unrealized intercompany profits by adjusting the carrying amount of the investments. When the Group’s share of the unrealized profit to be eliminated exceeds the carrying amount of the equity method investment, the Group would reduce the carrying amount of equity method investment balance to zero and record the excess amount as deferred profit in liabilitites, which shall be further recognized as profit or loss in the Group’s consolidated statements of comprehensive loss when profit or loss are ultimately realized through transactions by investees. The Group evaluates the equity method investments for impairment under ASC 323. An impairment loss on the equity method investments is recognized in earnings when the decline in value is determined to be other-than-temporary.</w:t>
      </w:r>
    </w:p>
    <w:p>
      <w:pPr>
        <w:spacing w:after="0" w:line="340"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Equity securities with readily determinable fair values and over which the Group has neither significant influence nor control through investments in common stock or in-substance common stock are measured at fair value, with changes in fair value reported through earnings.</w:t>
      </w:r>
    </w:p>
    <w:p>
      <w:pPr>
        <w:spacing w:after="0" w:line="100"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Equity securities without readily determinable fair values and over which the Group has neither significant influence nor control through investments in common stock or in-substance common stock are measured and recorded using a measurement alternative that measures the securities at cost minus impairment, if any, plus or minus changes resulting from qualifying observable price changes.</w:t>
      </w:r>
    </w:p>
    <w:p>
      <w:pPr>
        <w:spacing w:after="0" w:line="116"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The Group elected the fair value option (“FVO”) at the date of initial recognition under ASC 825 for certain equity securities, with changes in fair value reported through earnings.</w:t>
      </w:r>
    </w:p>
    <w:p>
      <w:pPr>
        <w:spacing w:after="0" w:line="112" w:lineRule="exact"/>
        <w:rPr>
          <w:sz w:val="20"/>
          <w:szCs w:val="20"/>
          <w:color w:val="auto"/>
        </w:rPr>
      </w:pPr>
    </w:p>
    <w:p>
      <w:pPr>
        <w:jc w:val="both"/>
        <w:ind w:firstLine="297"/>
        <w:spacing w:after="0" w:line="263" w:lineRule="auto"/>
        <w:rPr>
          <w:sz w:val="20"/>
          <w:szCs w:val="20"/>
          <w:color w:val="auto"/>
        </w:rPr>
      </w:pPr>
      <w:r>
        <w:rPr>
          <w:rFonts w:ascii="Times New Roman" w:cs="Times New Roman" w:eastAsia="Times New Roman" w:hAnsi="Times New Roman"/>
          <w:sz w:val="16"/>
          <w:szCs w:val="16"/>
          <w:color w:val="auto"/>
        </w:rPr>
        <w:t>Available-for-sale debt security investments are reported at estimated fair value with the aggregate unrealized gains and losses, net of tax, reflected in accumulated other comprehensive loss in the consolidated balance sheets. Gain or losses are realized when the investments are sold or when dividends are declared or payments are received. If the amortized cost basis of an available-for-sale security exceeds its fair value and if the Company has the intention to sell the security or it is more likely than not that the Company will be required to sell the security before recovery of the amortized cost basis, an impairment is recognized in the consolidated statements of comprehensive loss. If the Company does not have the intention to sell the security and it is not more likely than not that the Company will be required to sell the security before recovery of the amortized cost basis and the Company determines that the decline in fair value below the amortized cost basis of an available-for-sale security is entirely or partially due to credit-related factors, the credit loss is measured and recognized as an allowance for credit losses in the consolidated statements of comprehensive loss. The allowance is measured as the amount by which the debt security’s amortized cost basis exceeds the Company’s best estimate of the present value of cash flows expected to be collected.</w:t>
      </w:r>
    </w:p>
    <w:p>
      <w:pPr>
        <w:spacing w:after="0" w:line="327"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Held-to-maturity debt security investment are reported at amortized cost. The securities are held to collect contractual cash flows, and the Group has the positive intent and ability to hold those securities to maturity.</w:t>
      </w:r>
    </w:p>
    <w:p>
      <w:pPr>
        <w:spacing w:after="0" w:line="100"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Trading securities are acquired and held principally for the purpose of selling them. The securities are reported at fair value, and subsequent changes in the fair value are recognized through net income.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The Group monitors its investments measured under equity method for other-than-temporary impairment by considering factors including, but not limited to, current economic and market conditions, the operating performance of the companies including current earnings trends and other company-specific information. No impairment charge was recognized for the years ended December 31, 2023, 2024 and 2025.</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(o) Impairment of long-lived assets</w:t>
      </w:r>
    </w:p>
    <w:p>
      <w:pPr>
        <w:spacing w:after="0" w:line="216" w:lineRule="exact"/>
        <w:rPr>
          <w:sz w:val="20"/>
          <w:szCs w:val="20"/>
          <w:color w:val="auto"/>
        </w:rPr>
      </w:pPr>
    </w:p>
    <w:p>
      <w:pPr>
        <w:jc w:val="both"/>
        <w:ind w:right="20" w:firstLine="297"/>
        <w:spacing w:after="0" w:line="265" w:lineRule="auto"/>
        <w:rPr>
          <w:sz w:val="20"/>
          <w:szCs w:val="20"/>
          <w:color w:val="auto"/>
        </w:rPr>
      </w:pPr>
      <w:r>
        <w:rPr>
          <w:rFonts w:ascii="Times New Roman" w:cs="Times New Roman" w:eastAsia="Times New Roman" w:hAnsi="Times New Roman"/>
          <w:sz w:val="16"/>
          <w:szCs w:val="16"/>
          <w:color w:val="auto"/>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Group had originally estimated. When these events occur, the Group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Impairment charges recognized for the years ended December 31, 2023, 2024 and 2025 was nil, RMB55,331 and nil, respectively.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 Warranty liabilities</w:t>
      </w:r>
    </w:p>
    <w:p>
      <w:pPr>
        <w:spacing w:after="0" w:line="216" w:lineRule="exact"/>
        <w:rPr>
          <w:sz w:val="20"/>
          <w:szCs w:val="20"/>
          <w:color w:val="auto"/>
        </w:rPr>
      </w:pPr>
    </w:p>
    <w:p>
      <w:pPr>
        <w:jc w:val="both"/>
        <w:ind w:right="20" w:firstLine="297"/>
        <w:spacing w:after="0" w:line="271" w:lineRule="auto"/>
        <w:rPr>
          <w:sz w:val="20"/>
          <w:szCs w:val="20"/>
          <w:color w:val="auto"/>
        </w:rPr>
      </w:pPr>
      <w:r>
        <w:rPr>
          <w:rFonts w:ascii="Times New Roman" w:cs="Times New Roman" w:eastAsia="Times New Roman" w:hAnsi="Times New Roman"/>
          <w:sz w:val="16"/>
          <w:szCs w:val="16"/>
          <w:color w:val="auto"/>
        </w:rPr>
        <w:t>The Group accrues a warranty reserve for all new vehicles sold by the Group, which includes the Group’s best estimate of the projected costs to repair or replace items under warranty. These estimates are based on actual claims incurred to date and an estimate of the nature, frequency and costs of future claims. These estimates are inherently uncertain given the Group’s relatively short history of sales, and changes to the historical or projected warranty experience may cause material changes to the warranty reserve when the Group accumulates more actual data and experience in the future.</w:t>
      </w:r>
    </w:p>
    <w:p>
      <w:pPr>
        <w:spacing w:after="0" w:line="159"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The portion of the warranty reserve expected to be incurred within the next 12 months is included within accruals and other liabilities, while the remaining balance is included within other non-current liabilities on the consolidated balance sheets. Warranty expense is recorded as a component of cost of revenues in the consolidated statements of comprehensive loss.</w:t>
      </w:r>
    </w:p>
    <w:p>
      <w:pPr>
        <w:spacing w:after="0" w:line="153"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The Group does not consider standard warranty as being a separate performance obligation as it is intended to provide assurance that a product complies with agreed-upon specifications and is not viewed as a distinct obligation. Accordingly, standard warranty is accounted for in accordance with ASC 460, Guarantees.</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shows a reconciliation in the current reporting period related to carried-forward warranty liabilities: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vMerge w:val="restart"/>
          </w:tcPr>
          <w:p>
            <w:pPr>
              <w:ind w:left="6840"/>
              <w:spacing w:after="0"/>
              <w:rPr>
                <w:sz w:val="20"/>
                <w:szCs w:val="20"/>
                <w:color w:val="auto"/>
              </w:rPr>
            </w:pPr>
            <w:r>
              <w:rPr>
                <w:rFonts w:ascii="Times New Roman" w:cs="Times New Roman" w:eastAsia="Times New Roman" w:hAnsi="Times New Roman"/>
                <w:sz w:val="13"/>
                <w:szCs w:val="13"/>
                <w:color w:val="auto"/>
              </w:rPr>
              <w:t>​​​</w:t>
            </w:r>
          </w:p>
        </w:tc>
        <w:tc>
          <w:tcPr>
            <w:tcW w:w="2960" w:type="dxa"/>
            <w:vAlign w:val="bottom"/>
            <w:tcBorders>
              <w:bottom w:val="single" w:sz="8" w:color="auto"/>
            </w:tcBorders>
            <w:gridSpan w:val="5"/>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980" w:type="dxa"/>
            <w:vAlign w:val="bottom"/>
            <w:tcBorders>
              <w:bottom w:val="single" w:sz="8" w:color="CCEEFF"/>
            </w:tcBorders>
            <w:vMerge w:val="continue"/>
          </w:tcPr>
          <w:p>
            <w:pPr>
              <w:spacing w:after="0"/>
              <w:rPr>
                <w:sz w:val="11"/>
                <w:szCs w:val="11"/>
                <w:color w:val="auto"/>
              </w:rPr>
            </w:pPr>
          </w:p>
        </w:tc>
        <w:tc>
          <w:tcPr>
            <w:tcW w:w="840" w:type="dxa"/>
            <w:vAlign w:val="bottom"/>
            <w:tcBorders>
              <w:bottom w:val="single" w:sz="8" w:color="auto"/>
            </w:tcBorders>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Warranty – beginning of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2,946,937</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3,912,224</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4,720,712</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warranty</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1,222,916</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1,168,121</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1,118,803</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Warranty costs incurred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(257,629)</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(359,633)</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(376,626)</w:t>
            </w: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Warranty– end of year</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3,912,224</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4,720,712</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5,462,889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(q) Derivatives instruments</w:t>
      </w:r>
    </w:p>
    <w:p>
      <w:pPr>
        <w:spacing w:after="0" w:line="216"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Derivative instruments are carried at fair value, which generally represent the estimated amounts the Group expects to receive or pay upon termination of the contracts as of the reporting date. Derivative financial instruments are not used for trading or speculative purposes.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 Revenue recognition</w:t>
      </w:r>
    </w:p>
    <w:p>
      <w:pPr>
        <w:spacing w:after="0" w:line="216"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153" w:lineRule="exact"/>
        <w:rPr>
          <w:sz w:val="20"/>
          <w:szCs w:val="20"/>
          <w:color w:val="auto"/>
        </w:rPr>
      </w:pPr>
    </w:p>
    <w:p>
      <w:pPr>
        <w:ind w:left="4800" w:right="3620" w:hanging="4478"/>
        <w:spacing w:after="0" w:line="815" w:lineRule="auto"/>
        <w:tabs>
          <w:tab w:leader="none" w:pos="611"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all of the benefits received and consumed simultaneously by the customer; or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310630" cy="234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ind w:left="620" w:hanging="298"/>
        <w:spacing w:after="0"/>
        <w:tabs>
          <w:tab w:leader="none" w:pos="6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creates and enhances an asset that the customer controls as the Group performs; or</w:t>
      </w:r>
    </w:p>
    <w:p>
      <w:pPr>
        <w:spacing w:after="0" w:line="212" w:lineRule="exact"/>
        <w:rPr>
          <w:rFonts w:ascii="Times New Roman" w:cs="Times New Roman" w:eastAsia="Times New Roman" w:hAnsi="Times New Roman"/>
          <w:sz w:val="16"/>
          <w:szCs w:val="16"/>
          <w:color w:val="auto"/>
        </w:rPr>
      </w:pPr>
    </w:p>
    <w:p>
      <w:pPr>
        <w:ind w:left="620" w:hanging="298"/>
        <w:spacing w:after="0" w:line="298" w:lineRule="auto"/>
        <w:tabs>
          <w:tab w:leader="none" w:pos="6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create an asset with an alternative use to the Group and the Group has an enforceable right to payment for performance completed to date.</w:t>
      </w:r>
    </w:p>
    <w:p>
      <w:pPr>
        <w:spacing w:after="0" w:line="137"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53"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Contracts with customers may include multiple performance obligations. For such arrangements, the Group allocates revenue to each performance obligation based on its relative standalone selling price. The Group determines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61"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When either party to a contract has performed, the Group presents the contract in the consolidated balance sheets as a contract asset or a contract liability, depending on the relationship between the entity’s performance and the customer’s payment.</w:t>
      </w:r>
    </w:p>
    <w:p>
      <w:pPr>
        <w:spacing w:after="0" w:line="137"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 As of December 31, 2024 and 2025, the Group did not record any contract assets.</w:t>
      </w:r>
    </w:p>
    <w:p>
      <w:pPr>
        <w:spacing w:after="0" w:line="153"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A contract liability is the Group’s obligation to transfer goods or services to a customer for which the Group has received consideration (or an amount of consideration is due) from the customer. The Group’s contract liabilities primarily resulted from the multiple performance obligations identified in the customer contract, which is recorded as deferred revenue and advance from customers.</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 generates revenue from (i) vehicle sales, (ii) parts, accessories and after-sales vehicle services, (iii) provision of power solutions and</w:t>
      </w:r>
    </w:p>
    <w:p>
      <w:pPr>
        <w:spacing w:after="0" w:line="31" w:lineRule="exact"/>
        <w:rPr>
          <w:sz w:val="20"/>
          <w:szCs w:val="20"/>
          <w:color w:val="auto"/>
        </w:rPr>
      </w:pPr>
    </w:p>
    <w:p>
      <w:pPr>
        <w:ind w:left="280" w:hanging="280"/>
        <w:spacing w:after="0"/>
        <w:tabs>
          <w:tab w:leader="none" w:pos="2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w:t>
      </w:r>
    </w:p>
    <w:p>
      <w:pPr>
        <w:spacing w:after="0" w:line="191"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Vehicle sales</w:t>
      </w:r>
    </w:p>
    <w:p>
      <w:pPr>
        <w:spacing w:after="0" w:line="216"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6"/>
          <w:szCs w:val="16"/>
          <w:color w:val="auto"/>
        </w:rPr>
        <w:t>The Group generates revenue from sales of electric vehicles, together with a number of embedded products and services through a series of contracts. The Group identifies the users who purchase the vehicle as its customers. In general, there are multiple distinct performance obligations explicitly stated in a series of contracts in addition to sales of vehicles, which may include home chargers, vehicle connectivity services, extended warranty services and battery swapping services, some of which are only granted to certain initial users. These multiple distinct performance obligations are accounted for in accordance with ASC 606. The standard warranty provided by the Group is accounted for in accordance with ASC 460, Guarantees, and the estimated costs are recorded as a liability when the Group transfer the control of vehicle to a user.</w:t>
      </w:r>
    </w:p>
    <w:p>
      <w:pPr>
        <w:spacing w:after="0" w:line="163"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In the instance that customers only pay the amount after deducting the government subsidies to which they are entitled for the purchase of electric vehicles, the government subsidies are applied and collected by the Group or Jianghuai Automobile Group Co., Ltd. (“JAC”) from the government on behalf of the customers. The government subsidy is considered as a part of the transaction price it charges the customers for the electric vehicle, as the subsidy is granted to the buyer of the electric vehicle instead of the Group and the buyer remains liable for such amount to the Group in the event the subsidies were not received by the Group.</w:t>
      </w:r>
    </w:p>
    <w:p>
      <w:pPr>
        <w:spacing w:after="0" w:line="161"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In the instance that some eligible customers elect the auto financing arrangements, the Group believes such arrangement contains a significant financing component and as a result adjusts the transaction price to reflect the impact of time value on the transaction price using an appropriate discount rate (i.e. the interest rates of the loan reflecting the credit risk of the borrower). Interest income from such arrangements with a significant financing component is presented as other sales. Receivables related to auto financing programs that are expected to be repaid by customers beyond one year of the dates of the financial statements are recognized as non-current assets. The difference between the gross receivable and the respective present value is recorded as unrealized finance income. Interest income from such arrangements with a significant financing component is presented separately from revenue from contracts with customers.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62" w:lineRule="auto"/>
        <w:rPr>
          <w:sz w:val="20"/>
          <w:szCs w:val="20"/>
          <w:color w:val="auto"/>
        </w:rPr>
      </w:pPr>
      <w:r>
        <w:rPr>
          <w:rFonts w:ascii="Times New Roman" w:cs="Times New Roman" w:eastAsia="Times New Roman" w:hAnsi="Times New Roman"/>
          <w:sz w:val="16"/>
          <w:szCs w:val="16"/>
          <w:color w:val="auto"/>
        </w:rPr>
        <w:t>The Group generally determines standalone selling prices based on the prices charged to customers. If the standalone selling price is not directly observable, it is estimated using expected cost plus a margin or adjusted market assessment approach, considering the Group’s pricing policies and practices, and the data utilized in making pricing decisions. The overall contract price is then allocated to each distinct performance obligation based on the relative estimated standalone selling price in accordance with ASC 606. The revenue for vehicle sales and home chargers are recognized at a point in time when the control of the product is transferred to the customer. For the vehicle connectivity services and battery swapping services, the Group recognizes the revenue over time using a straight-line method during the estimated beneficial period. For the performance obligations which are only granted to initial owners, the estimated beneficial period is based on the estimated length of time that the initial owner owns the vehicles before it is re-sold to secondary market. As for the extended warranty services, given limited operating history and lack of sufficient historical data, the Group decides to recognize the revenue over time based on a straight-line method initially, and will continue monitoring the cost pattern periodically and adjust the revenue recognition pattern to reflect the actual cost pattern as it becomes available.</w:t>
      </w:r>
    </w:p>
    <w:p>
      <w:pPr>
        <w:spacing w:after="0" w:line="170"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As the consideration for the vehicle and all embedded services are generally paid in advance, which means the payments received are prior to the transfer of goods or services by the Group, the Group records a contract liability (deferred revenue) for the allocated amount regarding those unperformed obligations. As of December 31, 2024 and 2025, the balances of contract liabilities (deferred revenue) from vehicle sales contracts were RMB6,349,012 and RMB6,299,514 respectively.</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Battery as a Service (BaaS)</w:t>
      </w:r>
    </w:p>
    <w:p>
      <w:pPr>
        <w:spacing w:after="0" w:line="214" w:lineRule="exact"/>
        <w:rPr>
          <w:sz w:val="20"/>
          <w:szCs w:val="20"/>
          <w:color w:val="auto"/>
        </w:rPr>
      </w:pPr>
    </w:p>
    <w:p>
      <w:pPr>
        <w:jc w:val="both"/>
        <w:ind w:firstLine="297"/>
        <w:spacing w:after="0" w:line="263" w:lineRule="auto"/>
        <w:rPr>
          <w:sz w:val="20"/>
          <w:szCs w:val="20"/>
          <w:color w:val="auto"/>
        </w:rPr>
      </w:pPr>
      <w:r>
        <w:rPr>
          <w:rFonts w:ascii="Times New Roman" w:cs="Times New Roman" w:eastAsia="Times New Roman" w:hAnsi="Times New Roman"/>
          <w:sz w:val="16"/>
          <w:szCs w:val="16"/>
          <w:color w:val="auto"/>
        </w:rPr>
        <w:t>The Battery as a Service (the “BaaS”), allows users to purchase electric vehicles without batteries and subscribe for the usage of batteries separately. In PRC, under the BaaS, the Group sells batteries to Wuhan Weineng Battery Asset Co., Ltd. and its subsidiaries (the “Battery Asset Company”), an equity investee of the Group, on a back-to-back basis when the Group sells the vehicle to the BaaS users and the BaaS users subscribe for the usage of the batteries from the Battery Asset Company by paying a monthly subscription fee to the Battery Asset Company. Extended warranty was also provided to the Battery Asset Company, which is determined as a distinct performance obligation in the contracts with the Battery Asset Company under ASC 606. Revenue allocated to the sales of batteries to the Battery Asset Company is recognized when the vehicles (together with the batteries) are delivered to the BaaS users which is the point that control of the batteries is transferred to the Battery Asset Company. Revenue allocated to the extended warranty services is recognized over the extended warranty period as the services are performed. As of December 31, 2024 and 2025, the Group expected to collect the payment from the Battery Asset Company within one year, which is in line with the contractual payment framework.</w:t>
      </w:r>
    </w:p>
    <w:p>
      <w:pPr>
        <w:spacing w:after="0" w:line="364"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Together with the sales of the batteries, the Group entered into service agreements with the Battery Asset Company, pursuant to which the Group provides services to the Battery Asset Company including batteries monitoring, maintenance, upgrade, replacement, IT system support, etc., with monthly service charges. In case of any default in payment of monthly rental fees from users, the Battery Asset Company also has right to request the Group to track and lock down the battery subscribed by the users to limit its usage. In addition, in furtherance of the BaaS, the Group agreed to provide guarantee to the Battery Asset Company for the default in payment of monthly subscription fees from users. The maximum amount of guarantee that can be claimed by the Battery Asset Company for the users’ payment default shall not be higher than the accumulated service fees the Group receives from the Battery Asset Company.</w:t>
      </w:r>
    </w:p>
    <w:p>
      <w:pPr>
        <w:spacing w:after="0" w:line="162"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For services provided to the Battery Asset Company, revenue is recognized over the period when services are rendered. As for financial guarantee liabilities, the provision of guarantee is linked to and associated with services rendered to the Battery Asset Company and the payment of guarantee amount is therefore accounted for as the reduction to the revenue from the Battery Asset Company.</w:t>
      </w:r>
    </w:p>
    <w:p>
      <w:pPr>
        <w:spacing w:after="0" w:line="153"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fair value of the guarantee liabilities is determined by taking considerations of the default pattern of the Group’s auto financing arrangements provided to users. At each period end, the financial liabilities are remeasured with the corresponding changes recorded as the reduction to the revenue. For the years ended December 31, 2024 and 2025, both service revenue and guarantee liability were immaterial.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64" w:lineRule="auto"/>
        <w:rPr>
          <w:sz w:val="20"/>
          <w:szCs w:val="20"/>
          <w:color w:val="auto"/>
        </w:rPr>
      </w:pPr>
      <w:r>
        <w:rPr>
          <w:rFonts w:ascii="Times New Roman" w:cs="Times New Roman" w:eastAsia="Times New Roman" w:hAnsi="Times New Roman"/>
          <w:sz w:val="16"/>
          <w:szCs w:val="16"/>
          <w:color w:val="auto"/>
        </w:rPr>
        <w:t>Since 2022, the BaaS users are also provided with the option to buy out the batteries in PRC. Under this arrangement, BaaS users and the Battery Asset Company enter into battery subscription termination agreement, and the Group purchases the outgoing batteries from the Battery Asset Company, after which the Group sells batteries with qualified performance to the BaaS users. These transactions are arranged on back-to-back basis under which the Group is in substance rendering the agency service to facilitate the BaaS users which are also the customers of the Group to complete the purchase of batteries from the Battery Asset Company. The Group therefore recognizes revenue of the service to facilitate the BaaS batteries buy out transactions on net basis with the amount of the difference between the consideration the Group receives from the BaaS users for the battery sales and the price of batteries the Group pays to the Battery Asset Company. Upon the completion of BaaS buy-out, the Group stops to provide battery service and is not obliged to provide guarantee and warranty related to the relevant batteries to the Battery Asset Company.</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Practical expedients and exemptions</w:t>
      </w:r>
    </w:p>
    <w:p>
      <w:pPr>
        <w:spacing w:after="0" w:line="212"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The Group follows the guidance on immaterial promises when identifying performance obligations in the vehicle sales contracts and concludes that certain value-added services are not performance obligations considering that they are not critical items for vehicle driving and the usage of these services are expected to be very limited. The Group also performs an estimation on the standalone fair value of each promise applying a cost plus margin approach and concludes that the standalone fair value of these services are insignificant individually and in aggregate, representing less than 3% of vehicle gross selling price and aggregate fair value of each individual promise.</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Parts, accessories and after-sales vehicle services</w:t>
      </w:r>
    </w:p>
    <w:p>
      <w:pPr>
        <w:spacing w:after="0" w:line="216"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Group sells parts and accessories to the third party authorized service centers and its users, and provides after-sales vehicle services to users, including, repair, maintenance, extended warranty services and other vehicle services. Revenue from the sales of parts and accessories is recognized when the control of the products is transferred to the customers. Revenue from after-sales services is recognized when the services are rendered.</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Provision of power solutions</w:t>
      </w:r>
    </w:p>
    <w:p>
      <w:pPr>
        <w:spacing w:after="0" w:line="216"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Group provides power solutions to users, including provision of battery charging and swapping services, sale of charging piles, provision of BaaS-related services and other power solution services. Revenue from the services is recognized when relevant services are rendered. Revenue from the sales of charging piles is recognized when the control of the products is transferred to the customers.</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Battery swapping service</w:t>
      </w:r>
    </w:p>
    <w:p>
      <w:pPr>
        <w:spacing w:after="0" w:line="214"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Group provides battery swapping service to users with convenient “recharging” experience by swapping the user’s battery for another one. The battery swapping service is in substance a charging service instead of non-monetary exchanges or sales of batteries as the batteries involved in such swapping are the same in capacity and very similar in performance.</w:t>
      </w:r>
    </w:p>
    <w:p>
      <w:pPr>
        <w:spacing w:after="0" w:line="153"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For performance obligation of the battery swapping service sold together with the vehicles (i.e. monthly free-of-charge quota), the Group recognizes the revenue over time using a straight-line method over the estimated beneficial period, being the estimated length of time that the initial owner owns the vehicle. For the battery swapping beyond monthly free-of-charge quota for which additional considerations are paid by the users, the Group recognizes revenue when the battery swapping service is completed.</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Battery upgrade service</w:t>
      </w:r>
    </w:p>
    <w:p>
      <w:pPr>
        <w:spacing w:after="0" w:line="214" w:lineRule="exact"/>
        <w:rPr>
          <w:sz w:val="20"/>
          <w:szCs w:val="20"/>
          <w:color w:val="auto"/>
        </w:rPr>
      </w:pPr>
    </w:p>
    <w:p>
      <w:pPr>
        <w:jc w:val="both"/>
        <w:ind w:firstLine="297"/>
        <w:spacing w:after="0" w:line="264" w:lineRule="auto"/>
        <w:rPr>
          <w:sz w:val="20"/>
          <w:szCs w:val="20"/>
          <w:color w:val="auto"/>
        </w:rPr>
      </w:pPr>
      <w:r>
        <w:rPr>
          <w:rFonts w:ascii="Times New Roman" w:cs="Times New Roman" w:eastAsia="Times New Roman" w:hAnsi="Times New Roman"/>
          <w:sz w:val="16"/>
          <w:szCs w:val="16"/>
          <w:color w:val="auto"/>
        </w:rPr>
        <w:t>The Group provides battery upgrade service to both BaaS users and non-BaaS users. The users can exchange their batteries with lower capacity for the batteries with higher capacity from the Group with a fixed cash consideration. The battery upgrade service is in substance the provision of incremental battery capacity service to the users instead of non-monetary battery exchanges or sales of battery. Therefore, under non-BaaS model, the revenue from the battery upgrade service is recognized at the amount of cash consideration paid by users at a point in time when the service is rendered. Under the BaaS model, since the ownership of originally installed battery belongs to the Battery Asset Company, when a user requests battery upgrade, the Group actually upgrades the battery that belongs to the Battery Asset Company and recognize revenue for the battery upgrade service at the amount paid by the Battery Asset Company when upgrade service is rendered. BaaS users will then pay a higher monthly subscription fee to the Battery Asset Company for subscribing for the battery with higher capacity.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Others</w:t>
      </w:r>
    </w:p>
    <w:p>
      <w:pPr>
        <w:spacing w:after="0" w:line="216"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Other revenues consists of technical services, sales of used vehicles, auto financing services, retail merchandise, automotive regulatory credits, embedded products and services offered together with vehicle sales, including vehicle connectivity services, and other products and services. Revenue is recognized when relevant services are rendered or control of the products is transferred.</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Technical services</w:t>
      </w:r>
    </w:p>
    <w:p>
      <w:pPr>
        <w:spacing w:after="0" w:line="214"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The Group provides a range of technical services to customers, including technologies licensing, engineering, development, testing, sourcing, support and consultancy services. Revenue from technical services is recognized when relevant services are rendered.</w:t>
      </w:r>
    </w:p>
    <w:p>
      <w:pPr>
        <w:spacing w:after="0" w:line="137" w:lineRule="exact"/>
        <w:rPr>
          <w:sz w:val="20"/>
          <w:szCs w:val="20"/>
          <w:color w:val="auto"/>
        </w:rPr>
      </w:pPr>
    </w:p>
    <w:p>
      <w:pPr>
        <w:jc w:val="both"/>
        <w:ind w:firstLine="297"/>
        <w:spacing w:after="0" w:line="264" w:lineRule="auto"/>
        <w:rPr>
          <w:sz w:val="20"/>
          <w:szCs w:val="20"/>
          <w:color w:val="auto"/>
        </w:rPr>
      </w:pPr>
      <w:r>
        <w:rPr>
          <w:rFonts w:ascii="Times New Roman" w:cs="Times New Roman" w:eastAsia="Times New Roman" w:hAnsi="Times New Roman"/>
          <w:sz w:val="16"/>
          <w:szCs w:val="16"/>
          <w:color w:val="auto"/>
        </w:rPr>
        <w:t>Among these services, the Group generates revenue from providing a non-exclusive, non-transferable and sublicensable worldwide license of the Group’s existing and future iteration of technical information, technical solutions, software and intellectual property rights in relation to its electric vehicle platform (collectively referred to as the “Licensed Technologies”) to a related party and its affiliates. The consideration agreed includes one-time fixed amount of license fee plus royalties determined based on licensed products sold by licensee in the future. The functionality of the Licensed Technologies granted to this related party is expected to substantively change during the license period, and the related party is practically required to use the updated Licensed Technologies. This arrangement is considered as one performance obligation to provide access to the Group’s technology, which is continuously developed and upgraded by the Group over the license period. The license fee is recognized in revenue on a straight-line basis over the license period and the sales-based royalties is recognized when the subsequent sale occurs.</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Sales of automotive regulatory credits</w:t>
      </w:r>
    </w:p>
    <w:p>
      <w:pPr>
        <w:spacing w:after="0" w:line="214"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New Energy Vehicle (“NEV”) mandate policy launched by China’s Ministry of Industry and Information Technology (“MIIT”) specifies the NEV credit targets and as all of the Group’s products are NEVs, the Group is able to generate NEV credits above target. The credits earned per vehicle is dependent on various metrics such as vehicle driving range and battery energy efficiency, and is calculated based on the MIIT published formula. Excess positive NEV credits are tradable to other vehicle manufacturers through a credit management system established by the MIIT on a separately negotiated basis. The Group sells these credits at agreed price to other vehicle manufacturers.</w:t>
      </w:r>
    </w:p>
    <w:p>
      <w:pPr>
        <w:spacing w:after="0" w:line="161"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Considerations for automotive regulatory credits are typically received at the point control transfers to the customer, or in accordance with payment terms customary to the business. The Group recognizes revenue on the sale of automotive regulatory credits at the time control of the regulatory credits is transferred to the purchasing party as other sales revenue in the consolidated statements of comprehensive loss.</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Incentives</w:t>
      </w:r>
    </w:p>
    <w:p>
      <w:pPr>
        <w:spacing w:after="0" w:line="216"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Group frequently offers NIO points, a self-managed customer loyalty program, and coupons under various scenarios, which can be redeemed to acquire free or discounted goods or services provided by the Group, including accessories, branded merchandise and other services etc. The major accounting policy for those incentives is described as follows:</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 Incentives in connection with sales transactions</w:t>
      </w:r>
    </w:p>
    <w:p>
      <w:pPr>
        <w:spacing w:after="0" w:line="212" w:lineRule="exact"/>
        <w:rPr>
          <w:sz w:val="20"/>
          <w:szCs w:val="20"/>
          <w:color w:val="auto"/>
        </w:rPr>
      </w:pPr>
    </w:p>
    <w:p>
      <w:pPr>
        <w:jc w:val="both"/>
        <w:ind w:firstLine="297"/>
        <w:spacing w:after="0" w:line="267" w:lineRule="auto"/>
        <w:rPr>
          <w:sz w:val="20"/>
          <w:szCs w:val="20"/>
          <w:color w:val="auto"/>
        </w:rPr>
      </w:pPr>
      <w:r>
        <w:rPr>
          <w:rFonts w:ascii="Times New Roman" w:cs="Times New Roman" w:eastAsia="Times New Roman" w:hAnsi="Times New Roman"/>
          <w:sz w:val="16"/>
          <w:szCs w:val="16"/>
          <w:color w:val="auto"/>
        </w:rPr>
        <w:t>NIO points and coupons granted in connection with the sales transaction that provide a material right to the customer give rise to a separate performance obligation according to ASC 606, and are taken into consideration when allocating the transaction price of the sales. The Group determines the standalone selling price of each point or coupon based on estimated incremental discount adjusted for redemption probability, which is estimated based on the historical redemption pattern. The amount allocated to the NIO points and coupons as separate performance obligation is recorded as contract liability (deferred revenue) and revenue should be recognized when future goods or services are transferred or when the NIO points and coupons expire.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A coupon that can be applied against amounts owed to the Group in a future sale transaction is consideration payable to a customer, which is accounted for as a reduction of the transaction price and, therefore, of revenue.</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(ii) Incentives in other scenarios</w:t>
      </w:r>
    </w:p>
    <w:p>
      <w:pPr>
        <w:spacing w:after="0" w:line="212"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NIO points and coupons are also granted for encouraging user engagement and generating market awareness, such as inviting friends to test drive or purchase a vehicle, frequent sign-ins to the Group’s mobile application, participating in community activities, etc. The Group accounts for such NIO points and coupons as selling, general and administrative expenses with a corresponding liability recorded under other current liabilities of its consolidated balance sheets upon the NIO points and coupons are granted. The Group estimates the liabilities based on cost of the products and services that can be redeemed, and its estimate of probability of redemption. At the time of redemption, the Group records a reduction of inventory and other current liabilities. In certain cases where merchandise is sold for cash in addition to NIO points, the Group records revenue of other sales for the amount of cash received.</w:t>
      </w:r>
    </w:p>
    <w:p>
      <w:pPr>
        <w:spacing w:after="0" w:line="162"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For the years ended December 31, 2023, 2024 and 2025, the revenue portion allocated to the NIO points and coupons as a separate performance obligation was RMB863,627, RMB1,683,234 and RMB1,161,603, respectively, which was recorded as contract liability (deferred revenue). For the years ended December 31, 2023, 2024 and 2025, the total NIO points and coupons recorded as selling, general and administrative expenses was RMB162,875, RMB386,663 and RMB237,236, respectively.</w:t>
      </w:r>
    </w:p>
    <w:p>
      <w:pPr>
        <w:spacing w:after="0" w:line="159"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As of December 31, 2024 and 2025, liabilities recorded related to unredeemed NIO points and coupons were RMB2,017,516, and RMB1,958,937, respectively.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 Cost of Sales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Vehicle</w:t>
      </w:r>
    </w:p>
    <w:p>
      <w:pPr>
        <w:spacing w:after="0" w:line="214"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Cost of vehicle sales includes parts, materials, processing fee, labor costs, manufacturing cost (including depreciation of assets associated with the production) and losses from production related purchase commitments. Cost of vehicle sales also includes reserves for estimated warranty expenses and charges to write-down the carrying value of the inventory when it exceeds its estimated net realizable value and to provide for on-hand inventory that is either obsolete or in excess of forecasted demand.</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Service and Other</w:t>
      </w:r>
    </w:p>
    <w:p>
      <w:pPr>
        <w:spacing w:after="0" w:line="214"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Cost of service and other sales includes direct parts, materials, labor costs, vehicle connectivity costs, depreciation of associated assets used for providing services, and other cost associated with sales of service and others.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(t) Sales and marketing expenses</w:t>
      </w:r>
    </w:p>
    <w:p>
      <w:pPr>
        <w:spacing w:after="0" w:line="216"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Sales and marketing expenses consist primarily of advertising expenses,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years ended December 31, 2023, 2024 and 2025, advertising costs totaled RMB1,242,941, RMB1,480,886 and RMB1,507,447, respectively.</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(u) Research and development expenses</w:t>
      </w:r>
    </w:p>
    <w:p>
      <w:pPr>
        <w:spacing w:after="0" w:line="216"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Certain costs associated with developing internal-use software are capitalized when such costs are incurred within the application development stage of software development. Other than that, all costs associated with research and development (“R&amp;D”) are expensed as incurred. R&amp;D expenses are primary comprised of charges for R&amp;D and consulting work performed by third parties; salaries, bonuses, share-based compensation, and benefits for those employees engaged in research, design and development activities; costs related to design tools; license expenses related to intellectual property, supplies and services; and allocated costs, including depreciation and amortization, rental fees, and utilities.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(v) General and administrative expenses</w:t>
      </w:r>
    </w:p>
    <w:p>
      <w:pPr>
        <w:spacing w:after="0" w:line="216"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bonuses, share-based compensation and benefits for employees involved in general corporate functions, depreciation and amortization of fixed assets which are used in general corporate activities, legal and other professional services fees, rental and other general corporate related expenses.</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(w) Employee benefits</w:t>
      </w:r>
    </w:p>
    <w:p>
      <w:pPr>
        <w:spacing w:after="0" w:line="216"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6"/>
          <w:szCs w:val="16"/>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VIEs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RMB2,349,966, RMB3,005,528 and RMB3,059,580 for the years ended December 31, 2023, 2024 and 2025, respectively.</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(x) Government grants</w:t>
      </w:r>
    </w:p>
    <w:p>
      <w:pPr>
        <w:spacing w:after="0" w:line="216" w:lineRule="exact"/>
        <w:rPr>
          <w:sz w:val="20"/>
          <w:szCs w:val="20"/>
          <w:color w:val="auto"/>
        </w:rPr>
      </w:pPr>
    </w:p>
    <w:p>
      <w:pPr>
        <w:jc w:val="both"/>
        <w:ind w:firstLine="297"/>
        <w:spacing w:after="0" w:line="264" w:lineRule="auto"/>
        <w:rPr>
          <w:sz w:val="20"/>
          <w:szCs w:val="20"/>
          <w:color w:val="auto"/>
        </w:rPr>
      </w:pPr>
      <w:r>
        <w:rPr>
          <w:rFonts w:ascii="Times New Roman" w:cs="Times New Roman" w:eastAsia="Times New Roman" w:hAnsi="Times New Roman"/>
          <w:sz w:val="16"/>
          <w:szCs w:val="16"/>
          <w:color w:val="auto"/>
        </w:rPr>
        <w:t>The Company’s subsidiaries received government subsidies from certain local governments. The Group’s government subsidies consisted of specific subsidies and other subsidies. Specific subsidies are subsidies that the local government has provided for a specific purpose, such as product development and renewal of production facilities.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 The Group recorded specific purpose subsidies as deferred income when received. For specific subsidies, upon government acceptance of the related project development or asset acquisition, the specific purpose subsidies are recognized to reduce related R&amp;D expenses or the depreciation expense of asset during the period when the relevant expenses are recognized. Other subsidies are recognized as other operating income upon receipt as further performance by the Group is not required.</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(y) Income taxes</w:t>
      </w:r>
    </w:p>
    <w:p>
      <w:pPr>
        <w:spacing w:after="0" w:line="216"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 xml:space="preserve">Current income taxes are recorded in accordance with the regulations of the relevant tax jurisdiction. The Group accounts for income taxes under the asset and liability method in accordance with ASC 740, </w:t>
      </w:r>
      <w:r>
        <w:rPr>
          <w:rFonts w:ascii="Times New Roman" w:cs="Times New Roman" w:eastAsia="Times New Roman" w:hAnsi="Times New Roman"/>
          <w:sz w:val="16"/>
          <w:szCs w:val="16"/>
          <w:i w:val="1"/>
          <w:iCs w:val="1"/>
          <w:color w:val="auto"/>
        </w:rPr>
        <w:t>Income Tax</w:t>
      </w:r>
      <w:r>
        <w:rPr>
          <w:rFonts w:ascii="Times New Roman" w:cs="Times New Roman" w:eastAsia="Times New Roman" w:hAnsi="Times New Roman"/>
          <w:sz w:val="16"/>
          <w:szCs w:val="16"/>
          <w:color w:val="auto"/>
        </w:rPr>
        <w:t>. Deferred income taxes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62"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uncertain tax positions as of December 31, 2024 and 2025.</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(z) Share-based compensation</w:t>
      </w:r>
    </w:p>
    <w:p>
      <w:pPr>
        <w:spacing w:after="0" w:line="216"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Company grants restricted shares and share options of the Company and its subsidiary to eligible employees and non-employee consultants and accounts for share-based compensation in accordance with ASC 718, Compensation — Stock Compensation and ASU 2018-07-Compensation-stock compensation (Topic 718)-Improvements to non-employee share-based payment accounting.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Employees’ share-based compensation awards are measured at the grant date fair value of the awards and recognized as expenses a) immediately at the grant date if no vesting conditions are required; or b) for share options or restricted shares granted with only service conditions, using the straight-line vesting method, net of estimated forfeitures, over the vesting period; or c) for share options where the underlying share is liability within the scope of ASC 480, using the graded vesting method, net of estimated forfeitures, over the vesting period, and re-measuring the fair value of the award at each reporting period end until the award is settled.</w:t>
      </w:r>
    </w:p>
    <w:p>
      <w:pPr>
        <w:spacing w:after="0" w:line="161"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37" w:lineRule="exact"/>
        <w:rPr>
          <w:sz w:val="20"/>
          <w:szCs w:val="20"/>
          <w:color w:val="auto"/>
        </w:rPr>
      </w:pPr>
    </w:p>
    <w:p>
      <w:pPr>
        <w:jc w:val="both"/>
        <w:ind w:firstLine="297"/>
        <w:spacing w:after="0" w:line="267" w:lineRule="auto"/>
        <w:rPr>
          <w:sz w:val="20"/>
          <w:szCs w:val="20"/>
          <w:color w:val="auto"/>
        </w:rPr>
      </w:pPr>
      <w:r>
        <w:rPr>
          <w:rFonts w:ascii="Times New Roman" w:cs="Times New Roman" w:eastAsia="Times New Roman" w:hAnsi="Times New Roman"/>
          <w:sz w:val="16"/>
          <w:szCs w:val="16"/>
          <w:color w:val="auto"/>
        </w:rPr>
        <w:t>In April 2019, the Group adopted ASU 2018-07, “Compensation — Stock Compensation (Topic 718): Improvements to Non-employee Share-Based Payment Accounting”. Upon the adoption of this guidance, the Group no longer re-measures equity-classified share-based awards granted to consultants or non-employees at each reporting date through the vesting period and the accounting for these share-based awards to consultants or non-employees and employees was substantially aligned. Share-based compensation expenses for share options and restricted shares granted to non-employees are measured at fair value at the date when such awards are granted and recognized over the period during which the service from the non-employees is provided.</w:t>
      </w:r>
    </w:p>
    <w:p>
      <w:pPr>
        <w:spacing w:after="0" w:line="363"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6"/>
          <w:szCs w:val="16"/>
          <w:color w:val="auto"/>
        </w:rPr>
        <w:t>According to ASC 718, a change in any of the terms or conditions of stock options shall be accounted for as a modification of the plan. Therefore, the Company calculates incremental compensation cost of a modification as the excess of the fair value of the modified option over the fair value of the original option immediately before its terms are modified, measured based on the share price and other pertinent factors at the modification date. For vested options, the Company recognizes incremental compensation cost in the period the modification occurs and for unvested options, the Company recognizes, over the remaining requisite service period, the sum of the incremental compensation cost and the remaining unrecognized compensation cost for the original award on the modification date.</w:t>
      </w:r>
    </w:p>
    <w:p>
      <w:pPr>
        <w:spacing w:after="0" w:line="163"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binomial option-pricing model is used to measure the value of share options. The determination of the fair value is affected by the fair value of the ordinary shares as well as assumptions including the expected share price volatility, actual and projected employee and non-employee share option exercise behavior, risk-free interest rates and expected dividends.</w:t>
      </w:r>
    </w:p>
    <w:p>
      <w:pPr>
        <w:spacing w:after="0" w:line="153"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Group for accounting purposes.</w:t>
      </w:r>
    </w:p>
    <w:p>
      <w:pPr>
        <w:spacing w:after="0" w:line="161" w:lineRule="exact"/>
        <w:rPr>
          <w:sz w:val="20"/>
          <w:szCs w:val="20"/>
          <w:color w:val="auto"/>
        </w:rPr>
      </w:pPr>
    </w:p>
    <w:p>
      <w:pPr>
        <w:jc w:val="both"/>
        <w:ind w:firstLine="297"/>
        <w:spacing w:after="0" w:line="270" w:lineRule="auto"/>
        <w:rPr>
          <w:sz w:val="20"/>
          <w:szCs w:val="20"/>
          <w:color w:val="auto"/>
        </w:rPr>
      </w:pPr>
      <w:r>
        <w:rPr>
          <w:rFonts w:ascii="Times New Roman" w:cs="Times New Roman" w:eastAsia="Times New Roman" w:hAnsi="Times New Roman"/>
          <w:sz w:val="16"/>
          <w:szCs w:val="16"/>
          <w:color w:val="auto"/>
        </w:rPr>
        <w:t>For restricted shares granted by one of the Company’s subsidiaries to employees, determination of related estimated fair values (the subsidiaries are not publicly traded) requires complex and subjective judgments due to limited financial and operating history, unique business risks and limited comparable public information. Key inputs and assumptions underlying the determined fair value of these restricted shares include but are not limited to the pricing of recent rounds of financing, future cash flow forecasts, discount rates, and liquidity factors relevant to each of the respective subsidiaries.</w:t>
      </w:r>
    </w:p>
    <w:p>
      <w:pPr>
        <w:spacing w:after="0" w:line="360"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Forfeitures are estimated at the time of grant and revised in subsequent periods if actual forfeitures differ from those estimates. The Group uses historical data to estimate pre-vesting options and records share-based compensation expenses only for those awards that are expected to vest.</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(aa) Comprehensive income/(loss)</w:t>
      </w:r>
    </w:p>
    <w:p>
      <w:pPr>
        <w:spacing w:after="0" w:line="214" w:lineRule="exact"/>
        <w:rPr>
          <w:sz w:val="20"/>
          <w:szCs w:val="20"/>
          <w:color w:val="auto"/>
        </w:rPr>
      </w:pPr>
    </w:p>
    <w:p>
      <w:pPr>
        <w:jc w:val="both"/>
        <w:ind w:firstLine="297"/>
        <w:spacing w:after="0" w:line="269" w:lineRule="auto"/>
        <w:rPr>
          <w:sz w:val="20"/>
          <w:szCs w:val="20"/>
          <w:color w:val="auto"/>
        </w:rPr>
      </w:pPr>
      <w:r>
        <w:rPr>
          <w:rFonts w:ascii="Times New Roman" w:cs="Times New Roman" w:eastAsia="Times New Roman" w:hAnsi="Times New Roman"/>
          <w:sz w:val="16"/>
          <w:szCs w:val="16"/>
          <w:color w:val="auto"/>
        </w:rPr>
        <w:t xml:space="preserve">The Group applies ASC 220, </w:t>
      </w:r>
      <w:r>
        <w:rPr>
          <w:rFonts w:ascii="Times New Roman" w:cs="Times New Roman" w:eastAsia="Times New Roman" w:hAnsi="Times New Roman"/>
          <w:sz w:val="16"/>
          <w:szCs w:val="16"/>
          <w:i w:val="1"/>
          <w:iCs w:val="1"/>
          <w:color w:val="auto"/>
        </w:rPr>
        <w:t>Comprehensive Income</w:t>
      </w:r>
      <w:r>
        <w:rPr>
          <w:rFonts w:ascii="Times New Roman" w:cs="Times New Roman" w:eastAsia="Times New Roman" w:hAnsi="Times New Roman"/>
          <w:sz w:val="16"/>
          <w:szCs w:val="16"/>
          <w:color w:val="auto"/>
        </w:rPr>
        <w:t>, with respect to reporting and presentation of comprehensive loss and its components in a full set of financial statements. Comprehensive loss is defined to include all changes in equity of the Group during a period arising from transactions and other event and circumstances except those resulting from investments by shareholders and distributions to shareholders. For the years presented, the Group’s comprehensive loss includes net loss and other comprehensive income/(loss), which mainly consists of the foreign currency translation adjustment that have been excluded from the determination of net loss and the change in fair value of available-for-sale debt securities.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(ab) Leases</w:t>
      </w:r>
    </w:p>
    <w:p>
      <w:pPr>
        <w:spacing w:after="0" w:line="216" w:lineRule="exact"/>
        <w:rPr>
          <w:sz w:val="20"/>
          <w:szCs w:val="20"/>
          <w:color w:val="auto"/>
        </w:rPr>
      </w:pPr>
    </w:p>
    <w:p>
      <w:pPr>
        <w:jc w:val="both"/>
        <w:ind w:firstLine="297"/>
        <w:spacing w:after="0" w:line="262" w:lineRule="auto"/>
        <w:rPr>
          <w:sz w:val="20"/>
          <w:szCs w:val="20"/>
          <w:color w:val="auto"/>
        </w:rPr>
      </w:pPr>
      <w:r>
        <w:rPr>
          <w:rFonts w:ascii="Times New Roman" w:cs="Times New Roman" w:eastAsia="Times New Roman" w:hAnsi="Times New Roman"/>
          <w:sz w:val="16"/>
          <w:szCs w:val="16"/>
          <w:color w:val="auto"/>
        </w:rPr>
        <w:t>As the lessee, the Group recognizes in the balance sheet a liability to make lease payments (the lease liability) and a right-of-use asset representing its right to use the underlying asset for the lease term. For leases with a term of 12 months or less, the Group makes an accounting policy election by class of underlying asset not to recognize lease assets and lease liabilities and recognizes lease expenses for such lease generally on a straight-line basis over the lease term. The Group primarily uses the discount rate at the lease commencement date using the rate implicit in the lease. If the information necessary to determine the rate implicit in the lease is not readily available, the Group uses its incremental borrowing rate(“IBR”). The IBR is determined by the Group’s best understanding of the interest rate the Group would bear to borrow an amount equal to the lease payments in a similar economic environment over the lease term based on its credit rating. Operating lease assets are included within right-of-use assets— operating lease, and the corresponding operating lease liabilities are included within operating lease liabilities on the consolidated balance sheets. Finance lease assets are included within other non-current assets, and the corresponding finance lease liabilities are included within accruals and other liabilities for the current portion, and within other non-current liabilities on the consolidated balance sheets.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(ac) Dividends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Dividends are recognized when declared. No dividends were declared for the years ended December 31, 2023, 2024 and 2025.</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(ad) Earnings/(loss) per share</w:t>
      </w:r>
    </w:p>
    <w:p>
      <w:pPr>
        <w:spacing w:after="0" w:line="216" w:lineRule="exact"/>
        <w:rPr>
          <w:sz w:val="20"/>
          <w:szCs w:val="20"/>
          <w:color w:val="auto"/>
        </w:rPr>
      </w:pPr>
    </w:p>
    <w:p>
      <w:pPr>
        <w:jc w:val="both"/>
        <w:ind w:firstLine="297"/>
        <w:spacing w:after="0" w:line="264" w:lineRule="auto"/>
        <w:rPr>
          <w:sz w:val="20"/>
          <w:szCs w:val="20"/>
          <w:color w:val="auto"/>
        </w:rPr>
      </w:pPr>
      <w:r>
        <w:rPr>
          <w:rFonts w:ascii="Times New Roman" w:cs="Times New Roman" w:eastAsia="Times New Roman" w:hAnsi="Times New Roman"/>
          <w:sz w:val="16"/>
          <w:szCs w:val="16"/>
          <w:color w:val="auto"/>
        </w:rPr>
        <w:t>Basic earnings/(loss) per share is computed by dividing net income/(loss) attributable to ordinary shareholders by the weighted average number of ordinary shares outstanding during the period. Accretion of the redeemable noncontrolling interests is deducted from the net income/(loss) to arrive at net income/(loss) attributable to the Company’s ordinary shareholders. Diluted earnings/(loss) per share is calculated by dividing net income/(loss) attributable to ordinary shareholders, by the weighted average number of ordinary and dilutive ordinary equivalent shares outstanding during the period. Ordinary equivalent shares consist of unvested restricted shares, restricted share units and ordinary shares issuable upon the exercise of outstanding share options (using the treasury stock method) and ordinary shares issuable upon the conversion of the convertible senior notes issued by the Company (using the if-converted method). Ordinary equivalent shares are not included in the denominator of the diluted earnings per share calculation when inclusion of such shares would be anti-dilutive.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(ae) Segment reporting</w:t>
      </w:r>
    </w:p>
    <w:p>
      <w:pPr>
        <w:spacing w:after="0" w:line="216" w:lineRule="exact"/>
        <w:rPr>
          <w:sz w:val="20"/>
          <w:szCs w:val="20"/>
          <w:color w:val="auto"/>
        </w:rPr>
      </w:pPr>
    </w:p>
    <w:p>
      <w:pPr>
        <w:jc w:val="both"/>
        <w:ind w:firstLine="297"/>
        <w:spacing w:after="0" w:line="275" w:lineRule="auto"/>
        <w:rPr>
          <w:sz w:val="20"/>
          <w:szCs w:val="20"/>
          <w:color w:val="auto"/>
        </w:rPr>
      </w:pPr>
      <w:r>
        <w:rPr>
          <w:rFonts w:ascii="Times New Roman" w:cs="Times New Roman" w:eastAsia="Times New Roman" w:hAnsi="Times New Roman"/>
          <w:sz w:val="16"/>
          <w:szCs w:val="16"/>
          <w:color w:val="auto"/>
        </w:rPr>
        <w:t>ASC 280, Segment Reporting, establishes standards for companies to report in their financial statements information about operating segments, products, services, geographic areas, and major customers. Operating segments are defined as components of an enterprise for which separate financial information is available and evaluated regularly by the chief operating decision maker in deciding how to allocate resources and in assessing performance.</w:t>
      </w:r>
    </w:p>
    <w:p>
      <w:pPr>
        <w:spacing w:after="0" w:line="358"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This segment is engaged in smart electric vehicles related business. The Group derives revenue primarily in the “PRC” and manages the business activities on a consolidated basis.</w:t>
      </w:r>
    </w:p>
    <w:p>
      <w:pPr>
        <w:spacing w:after="0" w:line="159"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6"/>
          <w:szCs w:val="16"/>
          <w:color w:val="auto"/>
        </w:rPr>
        <w:t>The primary measure of segment profitability for the Group operating segment is considered to be net loss. Net loss is used by the CODM to monitor budget versus actual results as well as comparation with the Group’s competitors, which are used in assessing performance of the segment. Significant segment expenses reviewed by the CODM on a regular basis included within net loss include cost of sales, research and development expenses and selling, general and administrative expenses which are separately presented on the Group’s Consolidated Statements of Comprehensive Loss. Other segment items within net loss include interest and investment income, interest expenses, share of income/(loss) of equity investees, other income/(loss), net and income tax (expense)/benefit.</w:t>
      </w:r>
    </w:p>
    <w:p>
      <w:pPr>
        <w:spacing w:after="0" w:line="163"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The Group does not distinguish between markets or segments for the purpose of internal reporting. As the Group’s long-lived assets are substantially located in the PRC, no geographical segment information is presented.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ind w:left="280" w:hanging="280"/>
        <w:spacing w:after="0"/>
        <w:tabs>
          <w:tab w:leader="none" w:pos="280"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Recently adopted accounting pronouncements</w:t>
      </w:r>
    </w:p>
    <w:p>
      <w:pPr>
        <w:spacing w:after="0" w:line="216"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In December 2023, the FASB issued ASU 2023-08, Accounting for and Disclosure of Crypto Assets (Subtopic 350-60). This ASU requires certain crypto assets to be measured at fair value separately in the balance sheet and income statement each reporting period. This ASU also enhances the other intangible asset disclosure requirements by requiring the name, cost basis, fair value, and number of units for each significant crypto holding. The ASU is effective for annual periods beginning after December 15, 2024, including interim periods within those fiscal years. Adoption of the ASU requires a cumulative-effect adjustment to the opening balance of retained earnings as of the beginning of the annual reporting period in which an entity adopts the amendments. The Group adopted this ASU from January 1, 2025, which did not have a material impact on the Group’s consolidated financial statements.</w:t>
      </w:r>
    </w:p>
    <w:p>
      <w:pPr>
        <w:spacing w:after="0" w:line="365" w:lineRule="exact"/>
        <w:rPr>
          <w:sz w:val="20"/>
          <w:szCs w:val="20"/>
          <w:color w:val="auto"/>
        </w:rPr>
      </w:pPr>
    </w:p>
    <w:p>
      <w:pPr>
        <w:jc w:val="both"/>
        <w:ind w:firstLine="297"/>
        <w:spacing w:after="0" w:line="267" w:lineRule="auto"/>
        <w:rPr>
          <w:sz w:val="20"/>
          <w:szCs w:val="20"/>
          <w:color w:val="auto"/>
        </w:rPr>
      </w:pPr>
      <w:r>
        <w:rPr>
          <w:rFonts w:ascii="Times New Roman" w:cs="Times New Roman" w:eastAsia="Times New Roman" w:hAnsi="Times New Roman"/>
          <w:sz w:val="16"/>
          <w:szCs w:val="16"/>
          <w:color w:val="auto"/>
        </w:rPr>
        <w:t>In December 2023, the FASB issued ASU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resulted in the required additional disclosures being included in our annual consolidated financial statements. The Group adopted this ASU from January 1, 2025, which did not have a material impact on the Group’s consolidated financial statements.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Recently issued accounting pronouncements not yet adopted</w:t>
      </w:r>
    </w:p>
    <w:p>
      <w:pPr>
        <w:spacing w:after="0" w:line="216" w:lineRule="exact"/>
        <w:rPr>
          <w:sz w:val="20"/>
          <w:szCs w:val="20"/>
          <w:color w:val="auto"/>
        </w:rPr>
      </w:pPr>
    </w:p>
    <w:p>
      <w:pPr>
        <w:jc w:val="both"/>
        <w:ind w:firstLine="297"/>
        <w:spacing w:after="0" w:line="261"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Disclosures (Subtopic 220-40): Disaggregation of Income Statement Expenses, and issued subsequent amendment within ASU 2025-01 to clarify the effective date. ASU 2024-03 requires disclosure, in the notes to financial statements, of specified information about certain costs and expenses. A reporting entity is required to 1) disclose the amounts of (a) purchases of inventory, (b) employee compensation, (c) depreciation, (d) intangible asset amortization, and (e) depreciation, depletion, and amortization recognized as part of oil and gas-producing activities (DD&amp;A) (or other amounts of depletion expense) included in each relevant expense caption. A relevant expense caption is an expense caption presented on the face of the income statement within continuing operations that contains any of the expense categories listed in (a)–(e);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The ASU is effective for annual reporting periods beginning after December 15, 2026, and interim reporting periods within annual reporting periods beginning after December 15, 2027. Early adoption is permitted. The Group is in the process of assessing the impact of this ASU on the Group’s consolidated financial statements.</w:t>
      </w:r>
    </w:p>
    <w:p>
      <w:pPr>
        <w:spacing w:after="0" w:line="371"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In November 2024, the FASB issued ASU 2024-04, Debt—Debt with Conversion and Other Options (Subtopic 470-20). The amendments in this ASU clarify the requirements for determining whether certain settlements of convertible debt instruments should be accounted for as an induced conversion. The amendments are effective for annual reporting periods beginning after December 15, 2025, and interim reporting periods within those annual reporting periods. Early adoption is permitted. The Group is in the process of assessing the impact of the amendments on the Group’s consolidated financial statements.</w:t>
      </w:r>
    </w:p>
    <w:p>
      <w:pPr>
        <w:spacing w:after="0" w:line="161"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6"/>
          <w:szCs w:val="16"/>
          <w:color w:val="auto"/>
        </w:rPr>
        <w:t>In July 2025, the FASB issued ASU 2025-05, Financial Instruments—Credit Losses (Topic 326) Measurement of Credit Losses for Accounts Receivable and Contract Assets. The ASU addresses challenges encountered when applying the guidance in Topic 326, Financial Instruments—Credit Losses, to current accounts receivable and current contract assets arising from transactions accounted for under Topic 606, Revenue from Contracts with Customers. The amendments will be effective for annual reporting periods beginning after December 15, 2025, and interim reporting periods within those annual reporting periods. Early adoption is permitted. The Group is in the process of assessing the impact of the amendments on the Group’s consolidated financial statements.</w:t>
      </w:r>
    </w:p>
    <w:p>
      <w:pPr>
        <w:spacing w:after="0" w:line="161" w:lineRule="exact"/>
        <w:rPr>
          <w:sz w:val="20"/>
          <w:szCs w:val="20"/>
          <w:color w:val="auto"/>
        </w:rPr>
      </w:pPr>
    </w:p>
    <w:p>
      <w:pPr>
        <w:jc w:val="both"/>
        <w:ind w:firstLine="297"/>
        <w:spacing w:after="0" w:line="269" w:lineRule="auto"/>
        <w:rPr>
          <w:sz w:val="20"/>
          <w:szCs w:val="20"/>
          <w:color w:val="auto"/>
        </w:rPr>
      </w:pPr>
      <w:r>
        <w:rPr>
          <w:rFonts w:ascii="Times New Roman" w:cs="Times New Roman" w:eastAsia="Times New Roman" w:hAnsi="Times New Roman"/>
          <w:sz w:val="16"/>
          <w:szCs w:val="16"/>
          <w:color w:val="auto"/>
        </w:rPr>
        <w:t xml:space="preserve">In July 2025, the FASB issued ASU 2025-06 </w:t>
      </w:r>
      <w:r>
        <w:rPr>
          <w:rFonts w:ascii="Times New Roman" w:cs="Times New Roman" w:eastAsia="Times New Roman" w:hAnsi="Times New Roman"/>
          <w:sz w:val="16"/>
          <w:szCs w:val="16"/>
          <w:i w:val="1"/>
          <w:iCs w:val="1"/>
          <w:color w:val="auto"/>
        </w:rPr>
        <w:t>Intangibles - Goodwill and Other - Internal-Use Software (Subtopic 350-40)</w:t>
      </w:r>
      <w:r>
        <w:rPr>
          <w:rFonts w:ascii="Times New Roman" w:cs="Times New Roman" w:eastAsia="Times New Roman" w:hAnsi="Times New Roman"/>
          <w:sz w:val="16"/>
          <w:szCs w:val="16"/>
          <w:color w:val="auto"/>
        </w:rPr>
        <w:t>. The ASU modernizes the accounting for internal-use software to reflect current development practices, clarifies when to begin capitalizing costs, and enhances disclosure requirements. The ASU is effective for annual reporting periods beginning after December 15, 2027, and interim reporting periods within those annual reporting periods. Early adoption is permitted. The Group is in the process of assessing the impact of the amendments on the Group’s consolidated financial statements.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3" w:lineRule="exact"/>
        <w:rPr>
          <w:sz w:val="20"/>
          <w:szCs w:val="20"/>
          <w:color w:val="auto"/>
        </w:rPr>
      </w:pPr>
    </w:p>
    <w:p>
      <w:pPr>
        <w:jc w:val="both"/>
        <w:ind w:right="20" w:firstLine="297"/>
        <w:spacing w:after="0" w:line="272" w:lineRule="auto"/>
        <w:rPr>
          <w:sz w:val="20"/>
          <w:szCs w:val="20"/>
          <w:color w:val="auto"/>
        </w:rPr>
      </w:pPr>
      <w:r>
        <w:rPr>
          <w:rFonts w:ascii="Times New Roman" w:cs="Times New Roman" w:eastAsia="Times New Roman" w:hAnsi="Times New Roman"/>
          <w:sz w:val="16"/>
          <w:szCs w:val="16"/>
          <w:color w:val="auto"/>
        </w:rPr>
        <w:t xml:space="preserve">In December 2025, the FASB issued ASU 2025-10, </w:t>
      </w:r>
      <w:r>
        <w:rPr>
          <w:rFonts w:ascii="Times New Roman" w:cs="Times New Roman" w:eastAsia="Times New Roman" w:hAnsi="Times New Roman"/>
          <w:sz w:val="16"/>
          <w:szCs w:val="16"/>
          <w:i w:val="1"/>
          <w:iCs w:val="1"/>
          <w:color w:val="auto"/>
        </w:rPr>
        <w:t>Government Grants (Topic 832)</w:t>
      </w:r>
      <w:r>
        <w:rPr>
          <w:rFonts w:ascii="Times New Roman" w:cs="Times New Roman" w:eastAsia="Times New Roman" w:hAnsi="Times New Roman"/>
          <w:sz w:val="16"/>
          <w:szCs w:val="16"/>
          <w:color w:val="auto"/>
        </w:rPr>
        <w:t>. ASU No. 2025-10 establishes guidance on the recognition, measurement, and presentation of government grants received by business entities. The guidance is effective for annual reporting periods beginning after December 15, 2029, and interim reporting periods within those annual reporting periods. Early adoption is permitted. The Group is in the process of assessing the impact of the amendments on the Group’s consolidated financial statements.</w:t>
      </w:r>
    </w:p>
    <w:p>
      <w:pPr>
        <w:spacing w:after="0" w:line="154" w:lineRule="exact"/>
        <w:rPr>
          <w:sz w:val="20"/>
          <w:szCs w:val="20"/>
          <w:color w:val="auto"/>
        </w:rPr>
      </w:pPr>
    </w:p>
    <w:p>
      <w:pPr>
        <w:ind w:left="280" w:hanging="280"/>
        <w:spacing w:after="0"/>
        <w:tabs>
          <w:tab w:leader="none" w:pos="280"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Concentration and Risks</w:t>
      </w:r>
    </w:p>
    <w:p>
      <w:pPr>
        <w:spacing w:after="0" w:line="212"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(a) Concentration of credit risk</w:t>
      </w:r>
    </w:p>
    <w:p>
      <w:pPr>
        <w:spacing w:after="0" w:line="216" w:lineRule="exact"/>
        <w:rPr>
          <w:sz w:val="20"/>
          <w:szCs w:val="20"/>
          <w:color w:val="auto"/>
        </w:rPr>
      </w:pPr>
    </w:p>
    <w:p>
      <w:pPr>
        <w:jc w:val="both"/>
        <w:ind w:right="20" w:firstLine="297"/>
        <w:spacing w:after="0" w:line="268" w:lineRule="auto"/>
        <w:rPr>
          <w:sz w:val="20"/>
          <w:szCs w:val="20"/>
          <w:color w:val="auto"/>
        </w:rPr>
      </w:pPr>
      <w:r>
        <w:rPr>
          <w:rFonts w:ascii="Times New Roman" w:cs="Times New Roman" w:eastAsia="Times New Roman" w:hAnsi="Times New Roman"/>
          <w:sz w:val="16"/>
          <w:szCs w:val="16"/>
          <w:color w:val="auto"/>
        </w:rPr>
        <w:t>Assets that potentially subject the Group to significant concentrations of credit risk primarily consist of cash and cash equivalents, restricted cash, short-term investment, trade receivable, amount due from related parties, deposits and other receivables. The maximum exposure of such assets to credit risk is their carrying amounts as of the balance sheet dates. As of December 31, 2024 and 2025, the great majority of the Group’s cash and cash equivalents, restricted cash and short-term investments were held by major financial institutions located in the PRC and the United States which management believes are of high credit quality based on their credit ratings.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(b) Currency convertibility risk</w:t>
      </w:r>
    </w:p>
    <w:p>
      <w:pPr>
        <w:spacing w:after="0" w:line="216" w:lineRule="exact"/>
        <w:rPr>
          <w:sz w:val="20"/>
          <w:szCs w:val="20"/>
          <w:color w:val="auto"/>
        </w:rPr>
      </w:pPr>
    </w:p>
    <w:p>
      <w:pPr>
        <w:jc w:val="both"/>
        <w:ind w:right="20" w:firstLine="297"/>
        <w:spacing w:after="0" w:line="265" w:lineRule="auto"/>
        <w:rPr>
          <w:sz w:val="20"/>
          <w:szCs w:val="20"/>
          <w:color w:val="auto"/>
        </w:rPr>
      </w:pPr>
      <w:r>
        <w:rPr>
          <w:rFonts w:ascii="Times New Roman" w:cs="Times New Roman" w:eastAsia="Times New Roman" w:hAnsi="Times New Roman"/>
          <w:sz w:val="16"/>
          <w:szCs w:val="16"/>
          <w:color w:val="auto"/>
        </w:rPr>
        <w:t>The PRC government imposes controls on the convertibility of RMB into foreign currencies. The Group’s cash and cash equivalents and restricted cash denominated in RMB that are subject to such government controls amounted to RMB19,902,484 and RMB22,634,977 as of December 31, 2024 and 2025,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 Foreign currency exchange rate risk</w:t>
      </w:r>
    </w:p>
    <w:p>
      <w:pPr>
        <w:spacing w:after="0" w:line="216" w:lineRule="exact"/>
        <w:rPr>
          <w:sz w:val="20"/>
          <w:szCs w:val="20"/>
          <w:color w:val="auto"/>
        </w:rPr>
      </w:pPr>
    </w:p>
    <w:p>
      <w:pPr>
        <w:jc w:val="both"/>
        <w:ind w:right="20" w:firstLine="297"/>
        <w:spacing w:after="0" w:line="275" w:lineRule="auto"/>
        <w:rPr>
          <w:sz w:val="20"/>
          <w:szCs w:val="20"/>
          <w:color w:val="auto"/>
        </w:rPr>
      </w:pPr>
      <w:r>
        <w:rPr>
          <w:rFonts w:ascii="Times New Roman" w:cs="Times New Roman" w:eastAsia="Times New Roman" w:hAnsi="Times New Roman"/>
          <w:sz w:val="16"/>
          <w:szCs w:val="16"/>
          <w:color w:val="auto"/>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 Concentration of customers and suppliers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tables summarized the customer with greater than 10% of the total revenue and account receivables:</w:t>
      </w:r>
    </w:p>
    <w:p>
      <w:pPr>
        <w:spacing w:after="0" w:line="219" w:lineRule="exact"/>
        <w:rPr>
          <w:sz w:val="20"/>
          <w:szCs w:val="20"/>
          <w:color w:val="auto"/>
        </w:rPr>
      </w:pPr>
    </w:p>
    <w:tbl>
      <w:tblPr>
        <w:tblLayout w:type="fixed"/>
        <w:tblInd w:w="6540" w:type="dxa"/>
        <w:tblCellMar>
          <w:top w:w="0" w:type="dxa"/>
          <w:left w:w="0" w:type="dxa"/>
          <w:bottom w:w="0" w:type="dxa"/>
          <w:right w:w="0" w:type="dxa"/>
        </w:tblCellMar>
      </w:tblPr>
      <w:tr>
        <w:trPr>
          <w:trHeight w:val="158"/>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120" w:type="dxa"/>
            <w:vAlign w:val="bottom"/>
            <w:vMerge w:val="continue"/>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5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294"/>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48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6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Percentage of the total revenue</w:t>
            </w:r>
          </w:p>
        </w:tc>
        <w:tc>
          <w:tcPr>
            <w:tcW w:w="7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right"/>
              <w:ind w:right="160"/>
              <w:spacing w:after="0" w:line="171"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jc w:val="right"/>
              <w:ind w:right="78"/>
              <w:spacing w:after="0" w:line="17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Customer A</w:t>
            </w:r>
            <w:r>
              <w:rPr>
                <w:rFonts w:ascii="Times New Roman" w:cs="Times New Roman" w:eastAsia="Times New Roman" w:hAnsi="Times New Roman"/>
                <w:sz w:val="22"/>
                <w:szCs w:val="22"/>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15 </w:t>
            </w: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80" w:type="dxa"/>
            <w:vAlign w:val="bottom"/>
            <w:vMerge w:val="restart"/>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5"/>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60" w:type="dxa"/>
            <w:vAlign w:val="bottom"/>
            <w:gridSpan w:val="2"/>
          </w:tcPr>
          <w:p>
            <w:pPr>
              <w:jc w:val="center"/>
              <w:ind w:right="31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of the account receivables</w:t>
            </w:r>
          </w:p>
        </w:tc>
        <w:tc>
          <w:tcPr>
            <w:tcW w:w="78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left w:val="single" w:sz="8" w:color="CCEEFF"/>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left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Customer A</w:t>
            </w:r>
            <w:r>
              <w:rPr>
                <w:rFonts w:ascii="Times New Roman" w:cs="Times New Roman" w:eastAsia="Times New Roman" w:hAnsi="Times New Roman"/>
                <w:sz w:val="22"/>
                <w:szCs w:val="22"/>
                <w:color w:val="auto"/>
                <w:vertAlign w:val="superscript"/>
              </w:rPr>
              <w:t>[1]</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200" w:type="dxa"/>
            <w:vAlign w:val="bottom"/>
          </w:tcPr>
          <w:p>
            <w:pPr>
              <w:spacing w:after="0"/>
              <w:rPr>
                <w:sz w:val="17"/>
                <w:szCs w:val="17"/>
                <w:color w:val="auto"/>
              </w:rPr>
            </w:pPr>
          </w:p>
        </w:tc>
        <w:tc>
          <w:tcPr>
            <w:tcW w:w="116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91"/>
        </w:trPr>
        <w:tc>
          <w:tcPr>
            <w:tcW w:w="248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Less than 10%</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[1] A related party of the Group</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tables summarizes the supplier with greater than 10% of the total purchase and payables:</w:t>
      </w:r>
    </w:p>
    <w:p>
      <w:pPr>
        <w:spacing w:after="0" w:line="2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680" w:type="dxa"/>
            <w:vAlign w:val="bottom"/>
          </w:tcPr>
          <w:p>
            <w:pPr>
              <w:ind w:left="65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tcPr>
          <w:p>
            <w:pPr>
              <w:jc w:val="right"/>
              <w:ind w:right="143"/>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gridSpan w:val="2"/>
          </w:tcPr>
          <w:p>
            <w:pPr>
              <w:jc w:val="right"/>
              <w:ind w:right="26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6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of the total purchase</w:t>
            </w:r>
          </w:p>
        </w:tc>
        <w:tc>
          <w:tcPr>
            <w:tcW w:w="5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Supplier A</w:t>
            </w:r>
          </w:p>
        </w:tc>
        <w:tc>
          <w:tcPr>
            <w:tcW w:w="5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7"/>
                <w:szCs w:val="17"/>
                <w:color w:val="auto"/>
              </w:rPr>
            </w:pP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13 %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
        </w:trPr>
        <w:tc>
          <w:tcPr>
            <w:tcW w:w="66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tcPr>
          <w:p>
            <w:pPr>
              <w:jc w:val="center"/>
              <w:ind w:right="23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6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960" w:type="dxa"/>
            <w:vAlign w:val="bottom"/>
            <w:gridSpan w:val="2"/>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6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of the account payables</w:t>
            </w:r>
          </w:p>
        </w:tc>
        <w:tc>
          <w:tcPr>
            <w:tcW w:w="5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righ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Supplier A</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401"/>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  Inventory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24"/>
                <w:szCs w:val="24"/>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6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82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960" w:type="dxa"/>
            <w:vAlign w:val="bottom"/>
            <w:gridSpan w:val="2"/>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6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5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2,273,991</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3,487,344</w:t>
            </w:r>
          </w:p>
        </w:tc>
        <w:tc>
          <w:tcPr>
            <w:tcW w:w="0" w:type="dxa"/>
            <w:vAlign w:val="bottom"/>
          </w:tcPr>
          <w:p>
            <w:pPr>
              <w:spacing w:after="0"/>
              <w:rPr>
                <w:sz w:val="1"/>
                <w:szCs w:val="1"/>
                <w:color w:val="auto"/>
              </w:rPr>
            </w:pPr>
          </w:p>
        </w:tc>
      </w:tr>
      <w:tr>
        <w:trPr>
          <w:trHeight w:val="198"/>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141,195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241,910</w:t>
            </w:r>
          </w:p>
        </w:tc>
        <w:tc>
          <w:tcPr>
            <w:tcW w:w="0" w:type="dxa"/>
            <w:vAlign w:val="bottom"/>
          </w:tcPr>
          <w:p>
            <w:pPr>
              <w:spacing w:after="0"/>
              <w:rPr>
                <w:sz w:val="1"/>
                <w:szCs w:val="1"/>
                <w:color w:val="auto"/>
              </w:rPr>
            </w:pPr>
          </w:p>
        </w:tc>
      </w:tr>
      <w:tr>
        <w:trPr>
          <w:trHeight w:val="198"/>
        </w:trPr>
        <w:tc>
          <w:tcPr>
            <w:tcW w:w="6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4,291,167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4,554,713</w:t>
            </w:r>
          </w:p>
        </w:tc>
        <w:tc>
          <w:tcPr>
            <w:tcW w:w="0" w:type="dxa"/>
            <w:vAlign w:val="bottom"/>
          </w:tcPr>
          <w:p>
            <w:pPr>
              <w:spacing w:after="0"/>
              <w:rPr>
                <w:sz w:val="1"/>
                <w:szCs w:val="1"/>
                <w:color w:val="auto"/>
              </w:rPr>
            </w:pPr>
          </w:p>
        </w:tc>
      </w:tr>
      <w:tr>
        <w:trPr>
          <w:trHeight w:val="198"/>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Merchandise</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626,772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910,903</w:t>
            </w:r>
          </w:p>
        </w:tc>
        <w:tc>
          <w:tcPr>
            <w:tcW w:w="0" w:type="dxa"/>
            <w:vAlign w:val="bottom"/>
          </w:tcPr>
          <w:p>
            <w:pPr>
              <w:spacing w:after="0"/>
              <w:rPr>
                <w:sz w:val="1"/>
                <w:szCs w:val="1"/>
                <w:color w:val="auto"/>
              </w:rPr>
            </w:pPr>
          </w:p>
        </w:tc>
      </w:tr>
      <w:tr>
        <w:trPr>
          <w:trHeight w:val="198"/>
        </w:trPr>
        <w:tc>
          <w:tcPr>
            <w:tcW w:w="6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inventory provision</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(664,016)</w:t>
            </w:r>
          </w:p>
        </w:tc>
        <w:tc>
          <w:tcPr>
            <w:tcW w:w="0" w:type="dxa"/>
            <w:vAlign w:val="bottom"/>
          </w:tcPr>
          <w:p>
            <w:pPr>
              <w:spacing w:after="0"/>
              <w:rPr>
                <w:sz w:val="1"/>
                <w:szCs w:val="1"/>
                <w:color w:val="auto"/>
              </w:rPr>
            </w:pPr>
          </w:p>
        </w:tc>
      </w:tr>
      <w:tr>
        <w:trPr>
          <w:trHeight w:val="19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7,087,223</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8,530,854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Raw materials primarily consist of materials for volume production. Finished goods include vehicles ready for transit at production factory, vehicles in transit to fulfill customer orders, new vehicles available for immediate sale at the Group’s sales and service center locations and charging piles. Merchandise includes parts, accessories and lifestyle merchandises.</w:t>
      </w:r>
    </w:p>
    <w:p>
      <w:pPr>
        <w:spacing w:after="0" w:line="153"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Inventory write-downs recorded in cost of sales for the years ended December 31, 2023, 2024 and 2025 were RMB65,362, RMB123,345 and RMB509,322, respectively.</w:t>
      </w:r>
    </w:p>
    <w:p>
      <w:pPr>
        <w:spacing w:after="0" w:line="13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6.</w:t>
        <w:tab/>
        <w:t>Prepayments and Other Current Assets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Prepayments and other current assets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vMerge w:val="restart"/>
          </w:tcPr>
          <w:p>
            <w:pPr>
              <w:ind w:left="738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54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Deductible VAT input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2,326,470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2,692,485</w:t>
            </w: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Prepayment to vendors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755,376</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1,531,719</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376,130</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298,911</w:t>
            </w: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176,892</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331,945</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2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3,632,956</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4,853,610</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800"/>
              <w:spacing w:after="0"/>
              <w:rPr>
                <w:sz w:val="20"/>
                <w:szCs w:val="20"/>
                <w:color w:val="auto"/>
              </w:rPr>
            </w:pPr>
            <w:r>
              <w:rPr>
                <w:rFonts w:ascii="Times New Roman" w:cs="Times New Roman" w:eastAsia="Times New Roman" w:hAnsi="Times New Roman"/>
                <w:sz w:val="16"/>
                <w:szCs w:val="16"/>
                <w:color w:val="auto"/>
              </w:rPr>
              <w:t>F-31</w:t>
            </w: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75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7.</w:t>
        <w:tab/>
        <w:t>Property, Plant and Equipment, Net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Property, plant and equipment and related accumulated depreciation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vMerge w:val="restart"/>
          </w:tcPr>
          <w:p>
            <w:pPr>
              <w:ind w:left="738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54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Production facilities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6,845,010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10,356,573</w:t>
            </w: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Mold and tooling</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7,108,020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10,299,152</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Charging &amp; battery swap equipment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7,761,253</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9,276,827</w:t>
            </w: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6,124,611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6,365,523</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and electronic equipment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1,922,333</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1,901,435</w:t>
            </w: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Corporate vehicles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1,949,132</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1,666,591</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R&amp;D equipment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1,635,821</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1,648,097</w:t>
            </w: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Purchased software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1,349,419</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1,441,795</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 and constructions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913,281</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911,446</w:t>
            </w: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3,616,078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852,922</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Subscriptions Vehicles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799,846</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791,480</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1,429,868</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1,740,402</w:t>
            </w: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Subtotal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41,454,672</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47,252,243</w:t>
            </w: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(15,559,399)</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(21,421,906)</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impairment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2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25,892,904</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25,827,968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The Group recorded depreciation expenses of RMB3,372,673, RMB5,870,195 and RMB7,141,325 for the years ended December 31, 2023, 2024 and 2025, respectively. As of December 31, 2024 and 2025, certain property, plant, and equipments and land use rights with carrying values of RMB1,131,796 and RMB1,549,257, respectively, were restricted as collateral for long-term borrowings and credit quota from certain supplier.</w:t>
      </w:r>
    </w:p>
    <w:p>
      <w:pPr>
        <w:spacing w:after="0" w:line="14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8.</w:t>
        <w:tab/>
        <w:t>Land Use Rights, Net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Land use rights and related accumulated amortization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vMerge w:val="restart"/>
          </w:tcPr>
          <w:p>
            <w:pPr>
              <w:ind w:left="738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54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use rights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235,198</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235,198</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Accumulated amortization—land use rights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(33,203)</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(38,507)</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land use rights, net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201,995</w:t>
            </w: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196,691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The Group recorded amortization expense for land use rights of RMB5,304, RMB5,304 and RMB5,304 for the years ended December 31, 2023, 2024 and 2025, respectively.</w:t>
      </w: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9.</w:t>
        <w:tab/>
        <w:t>Long-term investments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Group’s long-term investments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ind w:left="738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5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method investments (i)</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1,275,287</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805,296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securities without readily determinable fair value (ii)</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504,282</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securities with readily determinable fair value (iii)</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33,865</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securities using fair value option (iv)</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1,103,150</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Debt investments: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Available-for-sale debt securities (iv)</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173,918</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Held-to-maturity debt securities – time deposit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asset-backed securities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23,419</w:t>
            </w:r>
          </w:p>
        </w:tc>
        <w:tc>
          <w:tcPr>
            <w:tcW w:w="2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3,126,007</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2,480,518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 Equity method investments</w:t>
      </w:r>
    </w:p>
    <w:p>
      <w:pPr>
        <w:spacing w:after="0" w:line="212" w:lineRule="exact"/>
        <w:rPr>
          <w:sz w:val="20"/>
          <w:szCs w:val="20"/>
          <w:color w:val="auto"/>
        </w:rPr>
      </w:pPr>
    </w:p>
    <w:p>
      <w:pPr>
        <w:jc w:val="both"/>
        <w:ind w:right="40" w:firstLine="297"/>
        <w:spacing w:after="0" w:line="263" w:lineRule="auto"/>
        <w:rPr>
          <w:sz w:val="20"/>
          <w:szCs w:val="20"/>
          <w:color w:val="auto"/>
        </w:rPr>
      </w:pPr>
      <w:r>
        <w:rPr>
          <w:rFonts w:ascii="Times New Roman" w:cs="Times New Roman" w:eastAsia="Times New Roman" w:hAnsi="Times New Roman"/>
          <w:sz w:val="16"/>
          <w:szCs w:val="16"/>
          <w:color w:val="auto"/>
        </w:rPr>
        <w:t>In August 2020, the Group and three other third party investors jointly established the Battery Asset Company. The Group invested RMB200,000 in the Battery Asset Company and held 25% of the Battery Asset Company’s equity interests. From 2020 to 2024, the Battery Asset Company entered into some agreements with the Group and the other third-party investors. The Group invested additional RMB270,000 during the period. As a result of additional investments from other third-party investors, the equity interests of the Battery Asset Company owned by the Group was diluted to approximately 19.4% as of December 31, 2024. In 2025, the Battery Asset Company entered into agreements with the Group and other third-party investors for a total additional investment of RMB918,000 and the Group invested additional RMB178,000. As of December 31, 2025, the Group owns approximately 19.4% equity interests of the Battery Asset Company. The Group, as a major shareholder of the Battery Asset Company, is entitled to appoint one out of nine directors in the Battery Asset Company’s board of directors and can exercise significant influence over the Battery Asset Company. Therefore, the investment in the Battery Asset Company is accounted for using the equity method of accounting.</w:t>
      </w:r>
    </w:p>
    <w:p>
      <w:pPr>
        <w:spacing w:after="0" w:line="166" w:lineRule="exact"/>
        <w:rPr>
          <w:sz w:val="20"/>
          <w:szCs w:val="20"/>
          <w:color w:val="auto"/>
        </w:rPr>
      </w:pPr>
    </w:p>
    <w:p>
      <w:pPr>
        <w:jc w:val="both"/>
        <w:ind w:right="40" w:firstLine="297"/>
        <w:spacing w:after="0" w:line="268" w:lineRule="auto"/>
        <w:rPr>
          <w:sz w:val="20"/>
          <w:szCs w:val="20"/>
          <w:color w:val="auto"/>
        </w:rPr>
      </w:pPr>
      <w:r>
        <w:rPr>
          <w:rFonts w:ascii="Times New Roman" w:cs="Times New Roman" w:eastAsia="Times New Roman" w:hAnsi="Times New Roman"/>
          <w:sz w:val="16"/>
          <w:szCs w:val="16"/>
          <w:color w:val="auto"/>
        </w:rPr>
        <w:t>In July 2024, the Group and one of its shareholders, CYVN Holding L.L.C. (“CYVN”), established a joint venture, with total authorized share capital of US$55 million, among which, the Group and CYVN will invest US$28 million and US$27 million, representing equity interests of 51% and 49%, respectively. The Group is not considered as the controlling shareholder of this joint venture given the absence of sufficient voting interests over this joint venture’s significant activities by assessing its influence over decision-making activities in both board of directors and shareholders’ level. As a result, this investment is accounted for using equity method.</w:t>
      </w:r>
    </w:p>
    <w:p>
      <w:pPr>
        <w:spacing w:after="0" w:line="161" w:lineRule="exact"/>
        <w:rPr>
          <w:sz w:val="20"/>
          <w:szCs w:val="20"/>
          <w:color w:val="auto"/>
        </w:rPr>
      </w:pPr>
    </w:p>
    <w:p>
      <w:pPr>
        <w:jc w:val="both"/>
        <w:ind w:right="40" w:firstLine="297"/>
        <w:spacing w:after="0" w:line="278" w:lineRule="auto"/>
        <w:rPr>
          <w:sz w:val="20"/>
          <w:szCs w:val="20"/>
          <w:color w:val="auto"/>
        </w:rPr>
      </w:pPr>
      <w:r>
        <w:rPr>
          <w:rFonts w:ascii="Times New Roman" w:cs="Times New Roman" w:eastAsia="Times New Roman" w:hAnsi="Times New Roman"/>
          <w:sz w:val="16"/>
          <w:szCs w:val="16"/>
          <w:color w:val="auto"/>
        </w:rPr>
        <w:t>In 2024 and 2025, the Group invested in several private funds and entities with a total amount of RMB279,079 and RMB303,760, respectively. The Group does not control but can exercise significant influence over these investees with certain voting rights. Therefore, the Group accounts for these investments under equity method.</w:t>
      </w:r>
    </w:p>
    <w:p>
      <w:pPr>
        <w:spacing w:after="0" w:line="153" w:lineRule="exact"/>
        <w:rPr>
          <w:sz w:val="20"/>
          <w:szCs w:val="20"/>
          <w:color w:val="auto"/>
        </w:rPr>
      </w:pPr>
    </w:p>
    <w:p>
      <w:pPr>
        <w:jc w:val="both"/>
        <w:ind w:right="40" w:firstLine="297"/>
        <w:spacing w:after="0" w:line="278" w:lineRule="auto"/>
        <w:rPr>
          <w:sz w:val="20"/>
          <w:szCs w:val="20"/>
          <w:color w:val="auto"/>
        </w:rPr>
      </w:pPr>
      <w:r>
        <w:rPr>
          <w:rFonts w:ascii="Times New Roman" w:cs="Times New Roman" w:eastAsia="Times New Roman" w:hAnsi="Times New Roman"/>
          <w:sz w:val="16"/>
          <w:szCs w:val="16"/>
          <w:color w:val="auto"/>
        </w:rPr>
        <w:t>During the years ended December 31, 2023, 2024 and 2025, the Group recognized RMB64,394 of shares of income of equity investees and RMB503,193 and RMB1,092,184 of shares of loss of equity investees, respectively, from these equity method investments, which also included the elimination of the unrealized intercompany profit in upstream and downstream transactions.</w:t>
      </w:r>
    </w:p>
    <w:p>
      <w:pPr>
        <w:spacing w:after="0" w:line="153" w:lineRule="exact"/>
        <w:rPr>
          <w:sz w:val="20"/>
          <w:szCs w:val="20"/>
          <w:color w:val="auto"/>
        </w:rPr>
      </w:pPr>
    </w:p>
    <w:p>
      <w:pPr>
        <w:jc w:val="both"/>
        <w:ind w:right="40" w:firstLine="297"/>
        <w:spacing w:after="0" w:line="271" w:lineRule="auto"/>
        <w:rPr>
          <w:sz w:val="20"/>
          <w:szCs w:val="20"/>
          <w:color w:val="auto"/>
        </w:rPr>
      </w:pPr>
      <w:r>
        <w:rPr>
          <w:rFonts w:ascii="Times New Roman" w:cs="Times New Roman" w:eastAsia="Times New Roman" w:hAnsi="Times New Roman"/>
          <w:sz w:val="16"/>
          <w:szCs w:val="16"/>
          <w:color w:val="auto"/>
        </w:rPr>
        <w:t>As of December 31, 2025, because of the elimination of unrealized intercompany profit in connection with the upstream and downstream transactions with investees, the carrying value of certain equity method investments, including the investment in the Battery Asset Company, were reduced to zero and the excess amounts were recorded in deferred profit in accruals and other liabilities (Note 11) and other non-current liabilities (Note 13). The deferred profit was mainly attributable to the transactions with the Battery Asset Company and its affiliates.</w:t>
      </w:r>
    </w:p>
    <w:p>
      <w:pPr>
        <w:spacing w:after="0" w:line="159" w:lineRule="exact"/>
        <w:rPr>
          <w:sz w:val="20"/>
          <w:szCs w:val="20"/>
          <w:color w:val="auto"/>
        </w:rPr>
      </w:pPr>
    </w:p>
    <w:p>
      <w:pPr>
        <w:jc w:val="both"/>
        <w:ind w:right="40" w:firstLine="297"/>
        <w:spacing w:after="0" w:line="298" w:lineRule="auto"/>
        <w:rPr>
          <w:sz w:val="20"/>
          <w:szCs w:val="20"/>
          <w:color w:val="auto"/>
        </w:rPr>
      </w:pPr>
      <w:r>
        <w:rPr>
          <w:rFonts w:ascii="Times New Roman" w:cs="Times New Roman" w:eastAsia="Times New Roman" w:hAnsi="Times New Roman"/>
          <w:sz w:val="16"/>
          <w:szCs w:val="16"/>
          <w:color w:val="auto"/>
        </w:rPr>
        <w:t>As of December 31, 2024 and 2025, none of the Group’s equity method investment, neither individually nor in aggregate, was considered as significant under Reg S-X Rules.</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60"/>
          </w:cols>
          <w:pgMar w:left="980" w:top="482" w:right="9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(ii) Equity securities without readily determinable fair value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vMerge w:val="restart"/>
          </w:tcPr>
          <w:p>
            <w:pPr>
              <w:ind w:left="704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18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CCEEFF"/>
            </w:tcBorders>
            <w:vMerge w:val="continue"/>
          </w:tcPr>
          <w:p>
            <w:pPr>
              <w:spacing w:after="0"/>
              <w:rPr>
                <w:sz w:val="13"/>
                <w:szCs w:val="13"/>
                <w:color w:val="auto"/>
              </w:rPr>
            </w:pPr>
          </w:p>
        </w:tc>
        <w:tc>
          <w:tcPr>
            <w:tcW w:w="12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securities without readily determinable fair value:</w:t>
            </w: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Initial cost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417,497</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cumulative fair value adjustments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86,785</w:t>
            </w:r>
          </w:p>
        </w:tc>
        <w:tc>
          <w:tcPr>
            <w:tcW w:w="26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Carrying value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504,282</w:t>
            </w:r>
          </w:p>
        </w:tc>
        <w:tc>
          <w:tcPr>
            <w:tcW w:w="2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40" w:firstLine="297"/>
        <w:spacing w:after="0" w:line="268" w:lineRule="auto"/>
        <w:rPr>
          <w:sz w:val="20"/>
          <w:szCs w:val="20"/>
          <w:color w:val="auto"/>
        </w:rPr>
      </w:pPr>
      <w:r>
        <w:rPr>
          <w:rFonts w:ascii="Times New Roman" w:cs="Times New Roman" w:eastAsia="Times New Roman" w:hAnsi="Times New Roman"/>
          <w:sz w:val="16"/>
          <w:szCs w:val="16"/>
          <w:color w:val="auto"/>
        </w:rPr>
        <w:t>The Group has certain equity investments which are measured under the measurement alternative. During the years ended December 31, 2023, 2024 and 2025, the Group invested RMB294,657, RMB113,363 and disposed RMB117,350 in equity securities without readily determinable fair value, respectively. The Group re-measured these investments based on recent financing transactions of these investees, which were considered as observable transactions, and recorded fair value losses of RMB4,988, RMB286 and RMB24,245 in investment income during the years ended December 31, 2023, 2024 and 2025, respectively.</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No impairment charges were recognized for the years ended December 31, 2023, 2024 and 2025.</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(iii) Equity securities with readily determinable fair value</w:t>
      </w:r>
    </w:p>
    <w:p>
      <w:pPr>
        <w:spacing w:after="0" w:line="212" w:lineRule="exact"/>
        <w:rPr>
          <w:sz w:val="20"/>
          <w:szCs w:val="20"/>
          <w:color w:val="auto"/>
        </w:rPr>
      </w:pPr>
    </w:p>
    <w:p>
      <w:pPr>
        <w:jc w:val="both"/>
        <w:ind w:right="40" w:firstLine="297"/>
        <w:spacing w:after="0" w:line="278" w:lineRule="auto"/>
        <w:rPr>
          <w:sz w:val="20"/>
          <w:szCs w:val="20"/>
          <w:color w:val="auto"/>
        </w:rPr>
      </w:pPr>
      <w:r>
        <w:rPr>
          <w:rFonts w:ascii="Times New Roman" w:cs="Times New Roman" w:eastAsia="Times New Roman" w:hAnsi="Times New Roman"/>
          <w:sz w:val="16"/>
          <w:szCs w:val="16"/>
          <w:color w:val="auto"/>
        </w:rPr>
        <w:t>During the years ended 2023, 2024 and 2025, the Group invested nil, nil and RMB261,688 in certain public companies, respectively. Since the investments were considered as common stock or in-substance common stock and are therefore measured at fair value with the change of fair value recognized as investment income.</w:t>
      </w:r>
    </w:p>
    <w:p>
      <w:pPr>
        <w:spacing w:after="0" w:line="153" w:lineRule="exact"/>
        <w:rPr>
          <w:sz w:val="20"/>
          <w:szCs w:val="20"/>
          <w:color w:val="auto"/>
        </w:rPr>
      </w:pPr>
    </w:p>
    <w:p>
      <w:pPr>
        <w:jc w:val="both"/>
        <w:ind w:right="40" w:firstLine="297"/>
        <w:spacing w:after="0" w:line="298" w:lineRule="auto"/>
        <w:rPr>
          <w:sz w:val="20"/>
          <w:szCs w:val="20"/>
          <w:color w:val="auto"/>
        </w:rPr>
      </w:pPr>
      <w:r>
        <w:rPr>
          <w:rFonts w:ascii="Times New Roman" w:cs="Times New Roman" w:eastAsia="Times New Roman" w:hAnsi="Times New Roman"/>
          <w:sz w:val="16"/>
          <w:szCs w:val="16"/>
          <w:color w:val="auto"/>
        </w:rPr>
        <w:t>There was no significant change to the fair value of these investments during the years ended December 31, 2023, 2024 and 2025. No impairment charges were recognized for the years ended December 31, 2023, 2024 and 2025.</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(iv) Equity securities using fair value option and available-for-sale debt securities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tcPr>
          <w:p>
            <w:pPr>
              <w:ind w:left="704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1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Initial cost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173,918</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cumulative fair value adjustments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Carrying value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173,918</w:t>
            </w:r>
          </w:p>
        </w:tc>
        <w:tc>
          <w:tcPr>
            <w:tcW w:w="2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979,071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4800"/>
              <w:spacing w:after="0"/>
              <w:rPr>
                <w:sz w:val="20"/>
                <w:szCs w:val="20"/>
                <w:color w:val="auto"/>
              </w:rPr>
            </w:pPr>
            <w:r>
              <w:rPr>
                <w:rFonts w:ascii="Times New Roman" w:cs="Times New Roman" w:eastAsia="Times New Roman" w:hAnsi="Times New Roman"/>
                <w:sz w:val="16"/>
                <w:szCs w:val="16"/>
                <w:color w:val="auto"/>
              </w:rPr>
              <w:t>F-34</w:t>
            </w: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71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82" w:right="9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60" w:lineRule="auto"/>
        <w:rPr>
          <w:sz w:val="20"/>
          <w:szCs w:val="20"/>
          <w:color w:val="auto"/>
        </w:rPr>
      </w:pPr>
      <w:r>
        <w:rPr>
          <w:rFonts w:ascii="Times New Roman" w:cs="Times New Roman" w:eastAsia="Times New Roman" w:hAnsi="Times New Roman"/>
          <w:sz w:val="16"/>
          <w:szCs w:val="16"/>
          <w:color w:val="auto"/>
        </w:rPr>
        <w:t>In July 2021, the Group, together with several third party investors, established a fund with total capital contributions of RMB650,000, among which the Group contributed RMB550,000. According to the fund agreement, the fund is established for the sole purpose of investing in a pre-determined private company and the Group is able to unilaterally determine the operation and investment strategy of the fund. Therefore, the Group consolidated the financial statements of the fund. The investments provided by other investors to the fund with amount of RMB100,000 are classified as non-controlling interest. The fund purchased a minority interest of a private company that was pre-determined with total consideration of RMB650,000. Since the investment contained certain substantive preferential rights, including redemption at the holders’ option upon occurrence of certain contingent events that were out of the investee’s control and liquidation preference over the common shareholders, it was not considered as common stock or in-substance common stock and was therefore classified as available-for-sale debt investment which was measured at its fair value with the change of fair value recognized as other comprehensive income. In 2022, the Group entered into agreements with other third-party investors and disposed certain equity interests of this private company with the total consideration of RMB270,000 and recognized investment gain of RMB171,567, among which RMB4,652 were released from unrealized gains of other comprehensive income. In November 2023, all shareholders of the investee entered into agreements and agreed to terminate their redemption rights, with the other preferential rights remaining effective, including the rights to request the investee’s founders’ to repurchase shares from certain shareholders upon the achievement of certain contingent events (the “Put option”) and liquidation preference over the rights of common shareholders. As a result of these changes, the Group determined that the fund should no longer be considered a debt investment. The Group discontinued available-for-sale debt investment accounting and accounted for this investment as an equity investment using the fair value option. Due to the change in the character of the investment and as a result of the related remeasurement, a gain on the previously held available-for-sale debt security was recognized by recycling a previously unrealized gain of RMB977,294 from other comprehensive income to investment income. Correspondingly, the deferred tax impact associated with this unrealised gain of RMB206,734 that was previously recorded in other comprehensive income was recognized in deferred income tax expenses.</w:t>
      </w:r>
    </w:p>
    <w:p>
      <w:pPr>
        <w:spacing w:after="0" w:line="136" w:lineRule="exact"/>
        <w:rPr>
          <w:sz w:val="20"/>
          <w:szCs w:val="20"/>
          <w:color w:val="auto"/>
        </w:rPr>
      </w:pPr>
    </w:p>
    <w:p>
      <w:pPr>
        <w:jc w:val="both"/>
        <w:ind w:firstLine="297"/>
        <w:spacing w:after="0" w:line="263" w:lineRule="auto"/>
        <w:rPr>
          <w:sz w:val="20"/>
          <w:szCs w:val="20"/>
          <w:color w:val="auto"/>
        </w:rPr>
      </w:pPr>
      <w:r>
        <w:rPr>
          <w:rFonts w:ascii="Times New Roman" w:cs="Times New Roman" w:eastAsia="Times New Roman" w:hAnsi="Times New Roman"/>
          <w:sz w:val="16"/>
          <w:szCs w:val="16"/>
          <w:color w:val="auto"/>
        </w:rPr>
        <w:t>In May and September 2025, the Group entered into agreements with other third-party investors and disposed certain equity interests of this private company with total consideration of RMB577,470 and recognized the investment gain of RMB14,883 accordingly. In addition, upon the completion of new financing transaction by this investee in September 2025, the Group remeasured its remaining investment using a market approach by adopting a backsolve method which benchmarked to this financing transaction, and recognized the investment gain of RMB153,121 in net income, after deducting the tax impact of RMB40,324, with RMB32,148 attributable to non-controlling interests. Furthermore, according to the revised shareholders’ agreement of this investee, all shareholders agreed to restore the redemption obligations of this investee, while other preferential rights over the common shareholders remained unchanged. Due to such change, this investment was reclassified as debt investment and the Group further accounted for this investment as available-for-sale debt investment measured at its fair value with the change of fair value recognized as other comprehensive income.</w:t>
      </w:r>
    </w:p>
    <w:p>
      <w:pPr>
        <w:spacing w:after="0" w:line="330"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In the fourth quarter of 2025, the Group entered into agreements with other third-party investors and disposed certain equity interests of this private company with total consideration of RMB96,428 and the investment loss recognized in earnings was not material. As of December 31, 2025, there were no significant changes of fair value of the Group’s remaining investments in this private company.</w:t>
      </w:r>
    </w:p>
    <w:p>
      <w:pPr>
        <w:spacing w:after="0" w:line="128"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Other than this investment, during the years ended 2023, 2024 and 2025, the Group invested nil, RMB53,918 and RMB159,000 in certain private companies, respectively. Since the investment contains certain substantive preferential rights, including redemption at the holders’ option upon occurrence of certain contingent events that are out of the investee’s control and liquidation preference over the rights of common shareholders, it is not considered as common stock or in-substance common stock and is therefore classified as available-for-sale debt investment which is measured at its fair value with the change of fair value recognized as other comprehensive income.</w:t>
      </w:r>
    </w:p>
    <w:p>
      <w:pPr>
        <w:spacing w:after="0" w:line="124"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There was no significant change to the fair value of these available-for-sale debt securities investments during the years ended December 31, 2023, 2024 and 2025, based on the Company’s fair value assessment. No impairment charges were recognized for the years ended December 31, 2023, 2024 and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Other Non-current Assets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Other non-current assets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vMerge w:val="restart"/>
          </w:tcPr>
          <w:p>
            <w:pPr>
              <w:ind w:left="698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18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CCEEFF"/>
            </w:tcBorders>
            <w:vMerge w:val="continue"/>
          </w:tcPr>
          <w:p>
            <w:pPr>
              <w:spacing w:after="0"/>
              <w:rPr>
                <w:sz w:val="13"/>
                <w:szCs w:val="13"/>
                <w:color w:val="auto"/>
              </w:rPr>
            </w:pPr>
          </w:p>
        </w:tc>
        <w:tc>
          <w:tcPr>
            <w:tcW w:w="12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portion of right of use assets – finance lease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63,635</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5,696,866</w:t>
            </w:r>
          </w:p>
        </w:tc>
        <w:tc>
          <w:tcPr>
            <w:tcW w:w="0" w:type="dxa"/>
            <w:vAlign w:val="bottom"/>
          </w:tcPr>
          <w:p>
            <w:pPr>
              <w:spacing w:after="0"/>
              <w:rPr>
                <w:sz w:val="1"/>
                <w:szCs w:val="1"/>
                <w:color w:val="auto"/>
              </w:rPr>
            </w:pPr>
          </w:p>
        </w:tc>
      </w:tr>
      <w:tr>
        <w:trPr>
          <w:trHeight w:val="198"/>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Long-term deposits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1,196,193</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791,784</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portion of auto financing receivables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863,796</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727,797</w:t>
            </w:r>
          </w:p>
        </w:tc>
        <w:tc>
          <w:tcPr>
            <w:tcW w:w="0" w:type="dxa"/>
            <w:vAlign w:val="bottom"/>
          </w:tcPr>
          <w:p>
            <w:pPr>
              <w:spacing w:after="0"/>
              <w:rPr>
                <w:sz w:val="1"/>
                <w:szCs w:val="1"/>
                <w:color w:val="auto"/>
              </w:rPr>
            </w:pPr>
          </w:p>
        </w:tc>
      </w:tr>
      <w:tr>
        <w:trPr>
          <w:trHeight w:val="198"/>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for long-term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1,246,836</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221,253</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262,063</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10,584</w:t>
            </w:r>
          </w:p>
        </w:tc>
        <w:tc>
          <w:tcPr>
            <w:tcW w:w="0" w:type="dxa"/>
            <w:vAlign w:val="bottom"/>
          </w:tcPr>
          <w:p>
            <w:pPr>
              <w:spacing w:after="0"/>
              <w:rPr>
                <w:sz w:val="1"/>
                <w:szCs w:val="1"/>
                <w:color w:val="auto"/>
              </w:rPr>
            </w:pPr>
          </w:p>
        </w:tc>
      </w:tr>
      <w:tr>
        <w:trPr>
          <w:trHeight w:val="198"/>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(59,386)</w:t>
            </w:r>
          </w:p>
        </w:tc>
        <w:tc>
          <w:tcPr>
            <w:tcW w:w="2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(14,699)</w:t>
            </w:r>
          </w:p>
        </w:tc>
        <w:tc>
          <w:tcPr>
            <w:tcW w:w="0" w:type="dxa"/>
            <w:vAlign w:val="bottom"/>
          </w:tcPr>
          <w:p>
            <w:pPr>
              <w:spacing w:after="0"/>
              <w:rPr>
                <w:sz w:val="1"/>
                <w:szCs w:val="1"/>
                <w:color w:val="auto"/>
              </w:rPr>
            </w:pPr>
          </w:p>
        </w:tc>
      </w:tr>
      <w:tr>
        <w:trPr>
          <w:trHeight w:val="190"/>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3,573,137</w:t>
            </w: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7,433,585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Long-term deposits mainly consists of deposits to vendors for guarantee of production capacity as well as rental deposits which will not be collectible within one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Accruals and Other Liabilities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Accruals and other liabilities consist of the following:</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740" w:type="dxa"/>
            <w:vAlign w:val="bottom"/>
          </w:tcPr>
          <w:p>
            <w:pPr>
              <w:ind w:left="560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5740" w:type="dxa"/>
            <w:vAlign w:val="bottom"/>
            <w:tcBorders>
              <w:bottom w:val="single" w:sz="8" w:color="CCEEFF"/>
            </w:tcBorders>
          </w:tcPr>
          <w:p>
            <w:pPr>
              <w:ind w:left="560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vMerge w:val="continue"/>
          </w:tcPr>
          <w:p>
            <w:pPr>
              <w:spacing w:after="0"/>
              <w:rPr>
                <w:sz w:val="13"/>
                <w:szCs w:val="13"/>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Payables for purchase of property, plant and equipment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3,643,002</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4,292,946</w:t>
            </w:r>
          </w:p>
        </w:tc>
        <w:tc>
          <w:tcPr>
            <w:tcW w:w="0" w:type="dxa"/>
            <w:vAlign w:val="bottom"/>
          </w:tcPr>
          <w:p>
            <w:pPr>
              <w:spacing w:after="0"/>
              <w:rPr>
                <w:sz w:val="1"/>
                <w:szCs w:val="1"/>
                <w:color w:val="auto"/>
              </w:rPr>
            </w:pPr>
          </w:p>
        </w:tc>
      </w:tr>
      <w:tr>
        <w:trPr>
          <w:trHeight w:val="19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deferred revenue/income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3,156,430</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3,146,943</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Payables for marketing events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1,962,341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1,937,905</w:t>
            </w:r>
          </w:p>
        </w:tc>
        <w:tc>
          <w:tcPr>
            <w:tcW w:w="0" w:type="dxa"/>
            <w:vAlign w:val="bottom"/>
          </w:tcPr>
          <w:p>
            <w:pPr>
              <w:spacing w:after="0"/>
              <w:rPr>
                <w:sz w:val="1"/>
                <w:szCs w:val="1"/>
                <w:color w:val="auto"/>
              </w:rPr>
            </w:pPr>
          </w:p>
        </w:tc>
      </w:tr>
      <w:tr>
        <w:trPr>
          <w:trHeight w:val="19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benefits payable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2,082,972</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1,876,515</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Payables for R&amp;D expenses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1,924,269</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1,473,761</w:t>
            </w:r>
          </w:p>
        </w:tc>
        <w:tc>
          <w:tcPr>
            <w:tcW w:w="0" w:type="dxa"/>
            <w:vAlign w:val="bottom"/>
          </w:tcPr>
          <w:p>
            <w:pPr>
              <w:spacing w:after="0"/>
              <w:rPr>
                <w:sz w:val="1"/>
                <w:szCs w:val="1"/>
                <w:color w:val="auto"/>
              </w:rPr>
            </w:pPr>
          </w:p>
        </w:tc>
      </w:tr>
      <w:tr>
        <w:trPr>
          <w:trHeight w:val="19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Advance from customers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918,465</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1,135,508</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warranty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652,633</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856,664</w:t>
            </w:r>
          </w:p>
        </w:tc>
        <w:tc>
          <w:tcPr>
            <w:tcW w:w="0" w:type="dxa"/>
            <w:vAlign w:val="bottom"/>
          </w:tcPr>
          <w:p>
            <w:pPr>
              <w:spacing w:after="0"/>
              <w:rPr>
                <w:sz w:val="1"/>
                <w:szCs w:val="1"/>
                <w:color w:val="auto"/>
              </w:rPr>
            </w:pPr>
          </w:p>
        </w:tc>
      </w:tr>
      <w:tr>
        <w:trPr>
          <w:trHeight w:val="19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Accrued costs of loss on purchase commitments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336,656</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575,709</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418,760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276,938</w:t>
            </w:r>
          </w:p>
        </w:tc>
        <w:tc>
          <w:tcPr>
            <w:tcW w:w="0" w:type="dxa"/>
            <w:vAlign w:val="bottom"/>
          </w:tcPr>
          <w:p>
            <w:pPr>
              <w:spacing w:after="0"/>
              <w:rPr>
                <w:sz w:val="1"/>
                <w:szCs w:val="1"/>
                <w:color w:val="auto"/>
              </w:rPr>
            </w:pPr>
          </w:p>
        </w:tc>
      </w:tr>
      <w:tr>
        <w:trPr>
          <w:trHeight w:val="19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finance lease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13,498</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263,203</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deferred profit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115,114</w:t>
            </w:r>
          </w:p>
        </w:tc>
        <w:tc>
          <w:tcPr>
            <w:tcW w:w="0" w:type="dxa"/>
            <w:vAlign w:val="bottom"/>
          </w:tcPr>
          <w:p>
            <w:pPr>
              <w:spacing w:after="0"/>
              <w:rPr>
                <w:sz w:val="1"/>
                <w:szCs w:val="1"/>
                <w:color w:val="auto"/>
              </w:rPr>
            </w:pPr>
          </w:p>
        </w:tc>
      </w:tr>
      <w:tr>
        <w:trPr>
          <w:trHeight w:val="19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Interest payables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86,474</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74,243</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payable to BaaS users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249,917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21,792</w:t>
            </w:r>
          </w:p>
        </w:tc>
        <w:tc>
          <w:tcPr>
            <w:tcW w:w="0" w:type="dxa"/>
            <w:vAlign w:val="bottom"/>
          </w:tcPr>
          <w:p>
            <w:pPr>
              <w:spacing w:after="0"/>
              <w:rPr>
                <w:sz w:val="1"/>
                <w:szCs w:val="1"/>
                <w:color w:val="auto"/>
              </w:rPr>
            </w:pPr>
          </w:p>
        </w:tc>
      </w:tr>
      <w:tr>
        <w:trPr>
          <w:trHeight w:val="198"/>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595,662</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648,803</w:t>
            </w: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16,041,079</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16,696,044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71" w:lineRule="auto"/>
        <w:rPr>
          <w:sz w:val="20"/>
          <w:szCs w:val="20"/>
          <w:color w:val="auto"/>
        </w:rPr>
      </w:pPr>
      <w:r>
        <w:rPr>
          <w:rFonts w:ascii="Times New Roman" w:cs="Times New Roman" w:eastAsia="Times New Roman" w:hAnsi="Times New Roman"/>
          <w:sz w:val="16"/>
          <w:szCs w:val="16"/>
          <w:color w:val="auto"/>
        </w:rPr>
        <w:t>Payable to BaaS users represents certain monthly subscription fee the Group agreed to compensate to BaaS users, if certain criteria are met. The Group accrued the payable to BaaS users against vehicle sales. Based on the payment schedule, payable to BaaS users due within the next 12 month is recorded as accruals and other liabilities. In 2025, based on a separately negotiated agreement, the Group settled the payable to BaaS users of RMB972,984.</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Borrowings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Borrowings consist of the following:</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740" w:type="dxa"/>
            <w:vAlign w:val="bottom"/>
            <w:vMerge w:val="restart"/>
          </w:tcPr>
          <w:p>
            <w:pPr>
              <w:ind w:left="560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5740" w:type="dxa"/>
            <w:vAlign w:val="bottom"/>
            <w:tcBorders>
              <w:bottom w:val="single" w:sz="8" w:color="CCEEFF"/>
            </w:tcBorders>
            <w:vMerge w:val="continue"/>
          </w:tcPr>
          <w:p>
            <w:pPr>
              <w:spacing w:after="0"/>
              <w:rPr>
                <w:sz w:val="13"/>
                <w:szCs w:val="13"/>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vMerge w:val="continue"/>
          </w:tcPr>
          <w:p>
            <w:pPr>
              <w:spacing w:after="0"/>
              <w:rPr>
                <w:sz w:val="13"/>
                <w:szCs w:val="13"/>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borrowing:</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Bank loan (i)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4,490,000</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3,580,000</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short-term financing arrangements (ii)</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1,239,561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1,111,910</w:t>
            </w:r>
          </w:p>
        </w:tc>
        <w:tc>
          <w:tcPr>
            <w:tcW w:w="0" w:type="dxa"/>
            <w:vAlign w:val="bottom"/>
          </w:tcPr>
          <w:p>
            <w:pPr>
              <w:spacing w:after="0"/>
              <w:rPr>
                <w:sz w:val="1"/>
                <w:szCs w:val="1"/>
                <w:color w:val="auto"/>
              </w:rPr>
            </w:pPr>
          </w:p>
        </w:tc>
      </w:tr>
      <w:tr>
        <w:trPr>
          <w:trHeight w:val="19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portion of long-term bank loan (iii)</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639,180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331,770</w:t>
            </w:r>
          </w:p>
        </w:tc>
        <w:tc>
          <w:tcPr>
            <w:tcW w:w="0" w:type="dxa"/>
            <w:vAlign w:val="bottom"/>
          </w:tcPr>
          <w:p>
            <w:pPr>
              <w:spacing w:after="0"/>
              <w:rPr>
                <w:sz w:val="1"/>
                <w:szCs w:val="1"/>
                <w:color w:val="auto"/>
              </w:rPr>
            </w:pPr>
          </w:p>
        </w:tc>
      </w:tr>
      <w:tr>
        <w:trPr>
          <w:trHeight w:val="198"/>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portion of other financing arrangements (ii)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52,157</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317,792</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portion of convertible notes (iv)</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2,706,285</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w:t>
            </w:r>
          </w:p>
        </w:tc>
        <w:tc>
          <w:tcPr>
            <w:tcW w:w="0" w:type="dxa"/>
            <w:vAlign w:val="bottom"/>
          </w:tcPr>
          <w:p>
            <w:pPr>
              <w:spacing w:after="0"/>
              <w:rPr>
                <w:sz w:val="1"/>
                <w:szCs w:val="1"/>
                <w:color w:val="auto"/>
              </w:rPr>
            </w:pPr>
          </w:p>
        </w:tc>
      </w:tr>
      <w:tr>
        <w:trPr>
          <w:trHeight w:val="19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Convertible notes (iv)</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8,166,996</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7,997,710</w:t>
            </w:r>
          </w:p>
        </w:tc>
        <w:tc>
          <w:tcPr>
            <w:tcW w:w="0" w:type="dxa"/>
            <w:vAlign w:val="bottom"/>
          </w:tcPr>
          <w:p>
            <w:pPr>
              <w:spacing w:after="0"/>
              <w:rPr>
                <w:sz w:val="1"/>
                <w:szCs w:val="1"/>
                <w:color w:val="auto"/>
              </w:rPr>
            </w:pPr>
          </w:p>
        </w:tc>
      </w:tr>
      <w:tr>
        <w:trPr>
          <w:trHeight w:val="198"/>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Bank loan (iii)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2,965,490</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391,220</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financing arrangements (ii)</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308,269</w:t>
            </w:r>
          </w:p>
        </w:tc>
        <w:tc>
          <w:tcPr>
            <w:tcW w:w="2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237,342</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20,567,938</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13,974,153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 Short-term bank loan</w:t>
      </w:r>
    </w:p>
    <w:p>
      <w:pPr>
        <w:spacing w:after="0" w:line="214"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As of December 31, 2024, the Group obtained short-term borrowings from several banks of RMB4,490,000 in aggregate. The annual interest rate of these borrowings is approximately 2.10% to 2.60%.</w:t>
      </w:r>
    </w:p>
    <w:p>
      <w:pPr>
        <w:spacing w:after="0" w:line="137"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As of December 31, 2025, the Group obtained short-term borrowings from several banks of RMB3,580,000 in aggregate. The annual interest rate of these borrowings is approximately 2.20% to 2.90%.</w:t>
      </w:r>
    </w:p>
    <w:p>
      <w:pPr>
        <w:spacing w:after="0" w:line="137"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The short-term borrowings contain covenants including, among others, limitation on liens, consolidation, merger, sale of the Group’s assets and certain financial measures which include upper limit of asset liability ratio. The Group was in compliance with all of the loan covenants as of December 31, 2024 and 2025. As of December 31, 2024 and 2025, no short-term borrowings were guaranteed by the Company’s subsidiaries or pledged with short-term investments.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(ii) Other financing arrangements</w:t>
      </w:r>
    </w:p>
    <w:p>
      <w:pPr>
        <w:spacing w:after="0" w:line="214"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Other financing arrangements mainly consist of financial liabilities arising from sale and leaseback arrangements of certain vehicles, production facilities and power swap station assets that the control of the underlying assets are not transferred from the Group (the seller-lessee) to the buyer-lessor. For the years ended December 31, 2024 and 2025, financial liabilities arising from certain sales and leaseback arrangements of RMB157,001 and RMB1,024,395 were settled upon ultimate transfer of control of related assets, respectively.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(iii) Long-term bank loan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20" w:type="dxa"/>
            <w:vAlign w:val="bottom"/>
          </w:tcPr>
          <w:p>
            <w:pPr>
              <w:spacing w:after="0"/>
              <w:rPr>
                <w:sz w:val="10"/>
                <w:szCs w:val="10"/>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w w:val="98"/>
              </w:rPr>
              <w:t>As of December 31, 2024</w:t>
            </w:r>
          </w:p>
        </w:tc>
        <w:tc>
          <w:tcPr>
            <w:tcW w:w="920" w:type="dxa"/>
            <w:vAlign w:val="bottom"/>
            <w:tcBorders>
              <w:bottom w:val="single" w:sz="8" w:color="auto"/>
            </w:tcBorders>
          </w:tcPr>
          <w:p>
            <w:pPr>
              <w:spacing w:after="0"/>
              <w:rPr>
                <w:sz w:val="10"/>
                <w:szCs w:val="1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w w:val="98"/>
              </w:rPr>
              <w:t>As of December 31, 2025</w:t>
            </w:r>
          </w:p>
        </w:tc>
        <w:tc>
          <w:tcPr>
            <w:tcW w:w="940" w:type="dxa"/>
            <w:vAlign w:val="bottom"/>
            <w:tcBorders>
              <w:bottom w:val="single" w:sz="8" w:color="auto"/>
            </w:tcBorders>
          </w:tcPr>
          <w:p>
            <w:pPr>
              <w:spacing w:after="0"/>
              <w:rPr>
                <w:sz w:val="10"/>
                <w:szCs w:val="10"/>
                <w:color w:val="auto"/>
              </w:rPr>
            </w:pPr>
          </w:p>
        </w:tc>
      </w:tr>
      <w:tr>
        <w:trPr>
          <w:trHeight w:val="90"/>
        </w:trPr>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3"/>
          </w:tcPr>
          <w:p>
            <w:pPr>
              <w:jc w:val="center"/>
              <w:ind w:right="220"/>
              <w:spacing w:after="0" w:line="91" w:lineRule="exact"/>
              <w:rPr>
                <w:sz w:val="20"/>
                <w:szCs w:val="20"/>
                <w:color w:val="auto"/>
              </w:rPr>
            </w:pPr>
            <w:r>
              <w:rPr>
                <w:rFonts w:ascii="Times New Roman" w:cs="Times New Roman" w:eastAsia="Times New Roman" w:hAnsi="Times New Roman"/>
                <w:sz w:val="10"/>
                <w:szCs w:val="10"/>
                <w:b w:val="1"/>
                <w:bCs w:val="1"/>
                <w:color w:val="auto"/>
                <w:w w:val="98"/>
              </w:rPr>
              <w:t>Current portion</w:t>
            </w:r>
          </w:p>
        </w:tc>
        <w:tc>
          <w:tcPr>
            <w:tcW w:w="920" w:type="dxa"/>
            <w:vAlign w:val="bottom"/>
          </w:tcPr>
          <w:p>
            <w:pPr>
              <w:jc w:val="right"/>
              <w:ind w:right="50"/>
              <w:spacing w:after="0" w:line="91" w:lineRule="exact"/>
              <w:rPr>
                <w:sz w:val="20"/>
                <w:szCs w:val="20"/>
                <w:color w:val="auto"/>
              </w:rPr>
            </w:pPr>
            <w:r>
              <w:rPr>
                <w:rFonts w:ascii="Times New Roman" w:cs="Times New Roman" w:eastAsia="Times New Roman" w:hAnsi="Times New Roman"/>
                <w:sz w:val="10"/>
                <w:szCs w:val="10"/>
                <w:b w:val="1"/>
                <w:bCs w:val="1"/>
                <w:color w:val="auto"/>
                <w:w w:val="99"/>
              </w:rPr>
              <w:t>Long-term portion</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3"/>
          </w:tcPr>
          <w:p>
            <w:pPr>
              <w:jc w:val="center"/>
              <w:ind w:right="200"/>
              <w:spacing w:after="0" w:line="91" w:lineRule="exact"/>
              <w:rPr>
                <w:sz w:val="20"/>
                <w:szCs w:val="20"/>
                <w:color w:val="auto"/>
              </w:rPr>
            </w:pPr>
            <w:r>
              <w:rPr>
                <w:rFonts w:ascii="Times New Roman" w:cs="Times New Roman" w:eastAsia="Times New Roman" w:hAnsi="Times New Roman"/>
                <w:sz w:val="10"/>
                <w:szCs w:val="10"/>
                <w:b w:val="1"/>
                <w:bCs w:val="1"/>
                <w:color w:val="auto"/>
                <w:w w:val="98"/>
              </w:rPr>
              <w:t>Current portion</w:t>
            </w:r>
          </w:p>
        </w:tc>
        <w:tc>
          <w:tcPr>
            <w:tcW w:w="940" w:type="dxa"/>
            <w:vAlign w:val="bottom"/>
          </w:tcPr>
          <w:p>
            <w:pPr>
              <w:jc w:val="center"/>
              <w:ind w:right="10"/>
              <w:spacing w:after="0" w:line="91" w:lineRule="exact"/>
              <w:rPr>
                <w:sz w:val="20"/>
                <w:szCs w:val="20"/>
                <w:color w:val="auto"/>
              </w:rPr>
            </w:pPr>
            <w:r>
              <w:rPr>
                <w:rFonts w:ascii="Times New Roman" w:cs="Times New Roman" w:eastAsia="Times New Roman" w:hAnsi="Times New Roman"/>
                <w:sz w:val="10"/>
                <w:szCs w:val="10"/>
                <w:b w:val="1"/>
                <w:bCs w:val="1"/>
                <w:color w:val="auto"/>
                <w:w w:val="99"/>
              </w:rPr>
              <w:t>Long-term portion</w:t>
            </w:r>
          </w:p>
        </w:tc>
      </w:tr>
      <w:tr>
        <w:trPr>
          <w:trHeight w:val="111"/>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7"/>
              </w:rPr>
              <w:t>Date of</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ind w:left="200"/>
              <w:spacing w:after="0" w:line="112" w:lineRule="exact"/>
              <w:rPr>
                <w:sz w:val="20"/>
                <w:szCs w:val="20"/>
                <w:color w:val="auto"/>
              </w:rPr>
            </w:pPr>
            <w:r>
              <w:rPr>
                <w:rFonts w:ascii="Times New Roman" w:cs="Times New Roman" w:eastAsia="Times New Roman" w:hAnsi="Times New Roman"/>
                <w:sz w:val="10"/>
                <w:szCs w:val="10"/>
                <w:b w:val="1"/>
                <w:bCs w:val="1"/>
                <w:color w:val="auto"/>
              </w:rPr>
              <w:t>Maturity/</w:t>
            </w:r>
          </w:p>
        </w:tc>
        <w:tc>
          <w:tcPr>
            <w:tcW w:w="160" w:type="dxa"/>
            <w:vAlign w:val="bottom"/>
          </w:tcPr>
          <w:p>
            <w:pPr>
              <w:spacing w:after="0"/>
              <w:rPr>
                <w:sz w:val="9"/>
                <w:szCs w:val="9"/>
                <w:color w:val="auto"/>
              </w:rPr>
            </w:pPr>
          </w:p>
        </w:tc>
        <w:tc>
          <w:tcPr>
            <w:tcW w:w="68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160" w:type="dxa"/>
            <w:vAlign w:val="bottom"/>
          </w:tcPr>
          <w:p>
            <w:pPr>
              <w:spacing w:after="0"/>
              <w:rPr>
                <w:sz w:val="9"/>
                <w:szCs w:val="9"/>
                <w:color w:val="auto"/>
              </w:rPr>
            </w:pPr>
          </w:p>
        </w:tc>
        <w:tc>
          <w:tcPr>
            <w:tcW w:w="1140" w:type="dxa"/>
            <w:vAlign w:val="bottom"/>
            <w:gridSpan w:val="3"/>
          </w:tcPr>
          <w:p>
            <w:pPr>
              <w:jc w:val="center"/>
              <w:ind w:right="220"/>
              <w:spacing w:after="0" w:line="112" w:lineRule="exact"/>
              <w:rPr>
                <w:sz w:val="20"/>
                <w:szCs w:val="20"/>
                <w:color w:val="auto"/>
              </w:rPr>
            </w:pPr>
            <w:r>
              <w:rPr>
                <w:rFonts w:ascii="Times New Roman" w:cs="Times New Roman" w:eastAsia="Times New Roman" w:hAnsi="Times New Roman"/>
                <w:sz w:val="10"/>
                <w:szCs w:val="10"/>
                <w:b w:val="1"/>
                <w:bCs w:val="1"/>
                <w:color w:val="auto"/>
                <w:w w:val="97"/>
              </w:rPr>
              <w:t>according to</w:t>
            </w:r>
          </w:p>
        </w:tc>
        <w:tc>
          <w:tcPr>
            <w:tcW w:w="1080" w:type="dxa"/>
            <w:vAlign w:val="bottom"/>
            <w:gridSpan w:val="2"/>
          </w:tcPr>
          <w:p>
            <w:pPr>
              <w:jc w:val="right"/>
              <w:ind w:right="330"/>
              <w:spacing w:after="0" w:line="112" w:lineRule="exact"/>
              <w:rPr>
                <w:sz w:val="20"/>
                <w:szCs w:val="20"/>
                <w:color w:val="auto"/>
              </w:rPr>
            </w:pPr>
            <w:r>
              <w:rPr>
                <w:rFonts w:ascii="Times New Roman" w:cs="Times New Roman" w:eastAsia="Times New Roman" w:hAnsi="Times New Roman"/>
                <w:sz w:val="10"/>
                <w:szCs w:val="10"/>
                <w:b w:val="1"/>
                <w:bCs w:val="1"/>
                <w:color w:val="auto"/>
              </w:rPr>
              <w:t>according to</w:t>
            </w:r>
          </w:p>
        </w:tc>
        <w:tc>
          <w:tcPr>
            <w:tcW w:w="6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160" w:type="dxa"/>
            <w:vAlign w:val="bottom"/>
          </w:tcPr>
          <w:p>
            <w:pPr>
              <w:spacing w:after="0"/>
              <w:rPr>
                <w:sz w:val="9"/>
                <w:szCs w:val="9"/>
                <w:color w:val="auto"/>
              </w:rPr>
            </w:pPr>
          </w:p>
        </w:tc>
        <w:tc>
          <w:tcPr>
            <w:tcW w:w="1160" w:type="dxa"/>
            <w:vAlign w:val="bottom"/>
            <w:gridSpan w:val="3"/>
          </w:tcPr>
          <w:p>
            <w:pPr>
              <w:jc w:val="center"/>
              <w:ind w:right="220"/>
              <w:spacing w:after="0" w:line="112" w:lineRule="exact"/>
              <w:rPr>
                <w:sz w:val="20"/>
                <w:szCs w:val="20"/>
                <w:color w:val="auto"/>
              </w:rPr>
            </w:pPr>
            <w:r>
              <w:rPr>
                <w:rFonts w:ascii="Times New Roman" w:cs="Times New Roman" w:eastAsia="Times New Roman" w:hAnsi="Times New Roman"/>
                <w:sz w:val="10"/>
                <w:szCs w:val="10"/>
                <w:b w:val="1"/>
                <w:bCs w:val="1"/>
                <w:color w:val="auto"/>
              </w:rPr>
              <w:t>according to</w:t>
            </w:r>
          </w:p>
        </w:tc>
        <w:tc>
          <w:tcPr>
            <w:tcW w:w="940" w:type="dxa"/>
            <w:vAlign w:val="bottom"/>
          </w:tcPr>
          <w:p>
            <w:pPr>
              <w:jc w:val="center"/>
              <w:ind w:right="10"/>
              <w:spacing w:after="0" w:line="112" w:lineRule="exact"/>
              <w:rPr>
                <w:sz w:val="20"/>
                <w:szCs w:val="20"/>
                <w:color w:val="auto"/>
              </w:rPr>
            </w:pPr>
            <w:r>
              <w:rPr>
                <w:rFonts w:ascii="Times New Roman" w:cs="Times New Roman" w:eastAsia="Times New Roman" w:hAnsi="Times New Roman"/>
                <w:sz w:val="10"/>
                <w:szCs w:val="10"/>
                <w:b w:val="1"/>
                <w:bCs w:val="1"/>
                <w:color w:val="auto"/>
                <w:w w:val="97"/>
              </w:rPr>
              <w:t>according to</w:t>
            </w:r>
          </w:p>
        </w:tc>
      </w:tr>
      <w:tr>
        <w:trPr>
          <w:trHeight w:val="125"/>
        </w:trPr>
        <w:tc>
          <w:tcPr>
            <w:tcW w:w="4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Ref.</w:t>
            </w:r>
          </w:p>
        </w:tc>
        <w:tc>
          <w:tcPr>
            <w:tcW w:w="1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borrowing</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0"/>
                <w:szCs w:val="10"/>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Lender/Banks</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  Repayment date</w:t>
            </w:r>
          </w:p>
        </w:tc>
        <w:tc>
          <w:tcPr>
            <w:tcW w:w="16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loan</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 repayment schedule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repayment schedule   ​​​</w:t>
            </w: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0"/>
                <w:szCs w:val="10"/>
                <w:b w:val="1"/>
                <w:bCs w:val="1"/>
                <w:color w:val="auto"/>
              </w:rPr>
              <w:t>loan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 repayment schedule   ​​​</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w w:val="98"/>
              </w:rPr>
              <w:t>repayment schedule</w:t>
            </w:r>
          </w:p>
        </w:tc>
      </w:tr>
      <w:tr>
        <w:trPr>
          <w:trHeight w:val="104"/>
        </w:trPr>
        <w:tc>
          <w:tcPr>
            <w:tcW w:w="420" w:type="dxa"/>
            <w:vAlign w:val="bottom"/>
            <w:tcBorders>
              <w:top w:val="single" w:sz="8" w:color="auto"/>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June 15, 2022</w:t>
            </w: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Bank of Shanghai</w:t>
            </w: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June 15, 2025</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80,340</w:t>
            </w:r>
          </w:p>
        </w:tc>
        <w:tc>
          <w:tcPr>
            <w:tcW w:w="16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80,340</w:t>
            </w: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w:t>
            </w:r>
          </w:p>
        </w:tc>
      </w:tr>
      <w:tr>
        <w:trPr>
          <w:trHeight w:val="111"/>
        </w:trPr>
        <w:tc>
          <w:tcPr>
            <w:tcW w:w="42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2</w:t>
            </w:r>
          </w:p>
        </w:tc>
        <w:tc>
          <w:tcPr>
            <w:tcW w:w="140" w:type="dxa"/>
            <w:vAlign w:val="bottom"/>
          </w:tcPr>
          <w:p>
            <w:pPr>
              <w:spacing w:after="0"/>
              <w:rPr>
                <w:sz w:val="9"/>
                <w:szCs w:val="9"/>
                <w:color w:val="auto"/>
              </w:rPr>
            </w:pPr>
          </w:p>
        </w:tc>
        <w:tc>
          <w:tcPr>
            <w:tcW w:w="90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July 25, 2022</w:t>
            </w:r>
          </w:p>
        </w:tc>
        <w:tc>
          <w:tcPr>
            <w:tcW w:w="140" w:type="dxa"/>
            <w:vAlign w:val="bottom"/>
          </w:tcPr>
          <w:p>
            <w:pPr>
              <w:spacing w:after="0"/>
              <w:rPr>
                <w:sz w:val="9"/>
                <w:szCs w:val="9"/>
                <w:color w:val="auto"/>
              </w:rPr>
            </w:pPr>
          </w:p>
        </w:tc>
        <w:tc>
          <w:tcPr>
            <w:tcW w:w="120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China Construction Bank</w:t>
            </w:r>
          </w:p>
        </w:tc>
        <w:tc>
          <w:tcPr>
            <w:tcW w:w="1000" w:type="dxa"/>
            <w:vAlign w:val="bottom"/>
            <w:gridSpan w:val="2"/>
          </w:tcPr>
          <w:p>
            <w:pPr>
              <w:ind w:left="140"/>
              <w:spacing w:after="0" w:line="112" w:lineRule="exact"/>
              <w:rPr>
                <w:sz w:val="20"/>
                <w:szCs w:val="20"/>
                <w:color w:val="auto"/>
              </w:rPr>
            </w:pPr>
            <w:r>
              <w:rPr>
                <w:rFonts w:ascii="Times New Roman" w:cs="Times New Roman" w:eastAsia="Times New Roman" w:hAnsi="Times New Roman"/>
                <w:sz w:val="10"/>
                <w:szCs w:val="10"/>
                <w:color w:val="auto"/>
              </w:rPr>
              <w:t>July 25, 2029</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6,460</w:t>
            </w:r>
          </w:p>
        </w:tc>
        <w:tc>
          <w:tcPr>
            <w:tcW w:w="110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1,360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5,100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3,060</w:t>
            </w:r>
          </w:p>
        </w:tc>
        <w:tc>
          <w:tcPr>
            <w:tcW w:w="160" w:type="dxa"/>
            <w:vAlign w:val="bottom"/>
          </w:tcPr>
          <w:p>
            <w:pPr>
              <w:spacing w:after="0"/>
              <w:rPr>
                <w:sz w:val="9"/>
                <w:szCs w:val="9"/>
                <w:color w:val="auto"/>
              </w:rPr>
            </w:pPr>
          </w:p>
        </w:tc>
        <w:tc>
          <w:tcPr>
            <w:tcW w:w="1160" w:type="dxa"/>
            <w:vAlign w:val="bottom"/>
            <w:gridSpan w:val="3"/>
          </w:tcPr>
          <w:p>
            <w:pPr>
              <w:jc w:val="right"/>
              <w:ind w:right="2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3,060</w:t>
            </w:r>
          </w:p>
        </w:tc>
      </w:tr>
      <w:tr>
        <w:trPr>
          <w:trHeight w:val="100"/>
        </w:trPr>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shd w:val="clear" w:color="auto" w:fill="CCEEFF"/>
          </w:tcPr>
          <w:p>
            <w:pPr>
              <w:ind w:left="20"/>
              <w:spacing w:after="0" w:line="100" w:lineRule="exact"/>
              <w:rPr>
                <w:sz w:val="20"/>
                <w:szCs w:val="20"/>
                <w:color w:val="auto"/>
              </w:rPr>
            </w:pPr>
            <w:r>
              <w:rPr>
                <w:rFonts w:ascii="Times New Roman" w:cs="Times New Roman" w:eastAsia="Times New Roman" w:hAnsi="Times New Roman"/>
                <w:sz w:val="10"/>
                <w:szCs w:val="10"/>
                <w:color w:val="auto"/>
              </w:rPr>
              <w:t>Industrial and Commercial</w:t>
            </w: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123"/>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3</w:t>
            </w:r>
          </w:p>
        </w:tc>
        <w:tc>
          <w:tcPr>
            <w:tcW w:w="1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July 26, 2022</w:t>
            </w:r>
          </w:p>
        </w:tc>
        <w:tc>
          <w:tcPr>
            <w:tcW w:w="14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Bank of China</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July 25, 2029</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9,690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2,040</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7,650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r>
      <w:tr>
        <w:trPr>
          <w:trHeight w:val="111"/>
        </w:trPr>
        <w:tc>
          <w:tcPr>
            <w:tcW w:w="42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4</w:t>
            </w:r>
          </w:p>
        </w:tc>
        <w:tc>
          <w:tcPr>
            <w:tcW w:w="140" w:type="dxa"/>
            <w:vAlign w:val="bottom"/>
          </w:tcPr>
          <w:p>
            <w:pPr>
              <w:spacing w:after="0"/>
              <w:rPr>
                <w:sz w:val="9"/>
                <w:szCs w:val="9"/>
                <w:color w:val="auto"/>
              </w:rPr>
            </w:pPr>
          </w:p>
        </w:tc>
        <w:tc>
          <w:tcPr>
            <w:tcW w:w="90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August 24, 2022</w:t>
            </w:r>
          </w:p>
        </w:tc>
        <w:tc>
          <w:tcPr>
            <w:tcW w:w="140" w:type="dxa"/>
            <w:vAlign w:val="bottom"/>
          </w:tcPr>
          <w:p>
            <w:pPr>
              <w:spacing w:after="0"/>
              <w:rPr>
                <w:sz w:val="9"/>
                <w:szCs w:val="9"/>
                <w:color w:val="auto"/>
              </w:rPr>
            </w:pPr>
          </w:p>
        </w:tc>
        <w:tc>
          <w:tcPr>
            <w:tcW w:w="120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China Construction Bank</w:t>
            </w:r>
          </w:p>
        </w:tc>
        <w:tc>
          <w:tcPr>
            <w:tcW w:w="1000" w:type="dxa"/>
            <w:vAlign w:val="bottom"/>
            <w:gridSpan w:val="2"/>
          </w:tcPr>
          <w:p>
            <w:pPr>
              <w:ind w:left="140"/>
              <w:spacing w:after="0" w:line="112" w:lineRule="exact"/>
              <w:rPr>
                <w:sz w:val="20"/>
                <w:szCs w:val="20"/>
                <w:color w:val="auto"/>
              </w:rPr>
            </w:pPr>
            <w:r>
              <w:rPr>
                <w:rFonts w:ascii="Times New Roman" w:cs="Times New Roman" w:eastAsia="Times New Roman" w:hAnsi="Times New Roman"/>
                <w:sz w:val="10"/>
                <w:szCs w:val="10"/>
                <w:color w:val="auto"/>
              </w:rPr>
              <w:t>July 25, 2029</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18,810</w:t>
            </w:r>
          </w:p>
        </w:tc>
        <w:tc>
          <w:tcPr>
            <w:tcW w:w="110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3,960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14,850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8,910</w:t>
            </w:r>
          </w:p>
        </w:tc>
        <w:tc>
          <w:tcPr>
            <w:tcW w:w="160" w:type="dxa"/>
            <w:vAlign w:val="bottom"/>
          </w:tcPr>
          <w:p>
            <w:pPr>
              <w:spacing w:after="0"/>
              <w:rPr>
                <w:sz w:val="9"/>
                <w:szCs w:val="9"/>
                <w:color w:val="auto"/>
              </w:rPr>
            </w:pPr>
          </w:p>
        </w:tc>
        <w:tc>
          <w:tcPr>
            <w:tcW w:w="1160" w:type="dxa"/>
            <w:vAlign w:val="bottom"/>
            <w:gridSpan w:val="3"/>
          </w:tcPr>
          <w:p>
            <w:pPr>
              <w:jc w:val="right"/>
              <w:ind w:right="2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8,910</w:t>
            </w:r>
          </w:p>
        </w:tc>
      </w:tr>
      <w:tr>
        <w:trPr>
          <w:trHeight w:val="111"/>
        </w:trPr>
        <w:tc>
          <w:tcPr>
            <w:tcW w:w="4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5</w:t>
            </w:r>
          </w:p>
        </w:tc>
        <w:tc>
          <w:tcPr>
            <w:tcW w:w="140" w:type="dxa"/>
            <w:vAlign w:val="bottom"/>
            <w:shd w:val="clear" w:color="auto" w:fill="CCEEFF"/>
          </w:tcPr>
          <w:p>
            <w:pPr>
              <w:spacing w:after="0"/>
              <w:rPr>
                <w:sz w:val="9"/>
                <w:szCs w:val="9"/>
                <w:color w:val="auto"/>
              </w:rPr>
            </w:pPr>
          </w:p>
        </w:tc>
        <w:tc>
          <w:tcPr>
            <w:tcW w:w="90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January 19, 2023</w:t>
            </w:r>
          </w:p>
        </w:tc>
        <w:tc>
          <w:tcPr>
            <w:tcW w:w="140" w:type="dxa"/>
            <w:vAlign w:val="bottom"/>
            <w:shd w:val="clear" w:color="auto" w:fill="CCEEFF"/>
          </w:tcPr>
          <w:p>
            <w:pPr>
              <w:spacing w:after="0"/>
              <w:rPr>
                <w:sz w:val="9"/>
                <w:szCs w:val="9"/>
                <w:color w:val="auto"/>
              </w:rPr>
            </w:pPr>
          </w:p>
        </w:tc>
        <w:tc>
          <w:tcPr>
            <w:tcW w:w="120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China Construction Bank</w:t>
            </w:r>
          </w:p>
        </w:tc>
        <w:tc>
          <w:tcPr>
            <w:tcW w:w="1000" w:type="dxa"/>
            <w:vAlign w:val="bottom"/>
            <w:gridSpan w:val="2"/>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July 25, 2029</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297,730</w:t>
            </w:r>
          </w:p>
        </w:tc>
        <w:tc>
          <w:tcPr>
            <w:tcW w:w="110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62,680</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235,050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158,030</w:t>
            </w:r>
          </w:p>
        </w:tc>
        <w:tc>
          <w:tcPr>
            <w:tcW w:w="112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17,000</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141,030</w:t>
            </w:r>
          </w:p>
        </w:tc>
      </w:tr>
      <w:tr>
        <w:trPr>
          <w:trHeight w:val="100"/>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0"/>
                <w:szCs w:val="10"/>
                <w:color w:val="auto"/>
              </w:rPr>
              <w:t>Industrial and Commercial</w:t>
            </w: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23"/>
        </w:trPr>
        <w:tc>
          <w:tcPr>
            <w:tcW w:w="420" w:type="dxa"/>
            <w:vAlign w:val="bottom"/>
          </w:tcPr>
          <w:p>
            <w:pPr>
              <w:spacing w:after="0"/>
              <w:rPr>
                <w:sz w:val="20"/>
                <w:szCs w:val="20"/>
                <w:color w:val="auto"/>
              </w:rPr>
            </w:pPr>
            <w:r>
              <w:rPr>
                <w:rFonts w:ascii="Times New Roman" w:cs="Times New Roman" w:eastAsia="Times New Roman" w:hAnsi="Times New Roman"/>
                <w:sz w:val="10"/>
                <w:szCs w:val="10"/>
                <w:color w:val="auto"/>
              </w:rPr>
              <w:t>6</w:t>
            </w:r>
          </w:p>
        </w:tc>
        <w:tc>
          <w:tcPr>
            <w:tcW w:w="14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January 20, 2023</w:t>
            </w:r>
          </w:p>
        </w:tc>
        <w:tc>
          <w:tcPr>
            <w:tcW w:w="140" w:type="dxa"/>
            <w:vAlign w:val="bottom"/>
          </w:tcPr>
          <w:p>
            <w:pPr>
              <w:spacing w:after="0"/>
              <w:rPr>
                <w:sz w:val="10"/>
                <w:szCs w:val="1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Bank of China</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July 25, 2029</w:t>
            </w:r>
          </w:p>
        </w:tc>
        <w:tc>
          <w:tcPr>
            <w:tcW w:w="1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474,810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99,960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374,850</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30,090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224,910</w:t>
            </w:r>
          </w:p>
        </w:tc>
      </w:tr>
      <w:tr>
        <w:trPr>
          <w:trHeight w:val="111"/>
        </w:trPr>
        <w:tc>
          <w:tcPr>
            <w:tcW w:w="4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7</w:t>
            </w:r>
          </w:p>
        </w:tc>
        <w:tc>
          <w:tcPr>
            <w:tcW w:w="140" w:type="dxa"/>
            <w:vAlign w:val="bottom"/>
            <w:shd w:val="clear" w:color="auto" w:fill="CCEEFF"/>
          </w:tcPr>
          <w:p>
            <w:pPr>
              <w:spacing w:after="0"/>
              <w:rPr>
                <w:sz w:val="9"/>
                <w:szCs w:val="9"/>
                <w:color w:val="auto"/>
              </w:rPr>
            </w:pPr>
          </w:p>
        </w:tc>
        <w:tc>
          <w:tcPr>
            <w:tcW w:w="90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September 18, 2023</w:t>
            </w:r>
          </w:p>
        </w:tc>
        <w:tc>
          <w:tcPr>
            <w:tcW w:w="140" w:type="dxa"/>
            <w:vAlign w:val="bottom"/>
            <w:shd w:val="clear" w:color="auto" w:fill="CCEEFF"/>
          </w:tcPr>
          <w:p>
            <w:pPr>
              <w:spacing w:after="0"/>
              <w:rPr>
                <w:sz w:val="9"/>
                <w:szCs w:val="9"/>
                <w:color w:val="auto"/>
              </w:rPr>
            </w:pPr>
          </w:p>
        </w:tc>
        <w:tc>
          <w:tcPr>
            <w:tcW w:w="120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Bank of Shanghai</w:t>
            </w:r>
          </w:p>
        </w:tc>
        <w:tc>
          <w:tcPr>
            <w:tcW w:w="1000" w:type="dxa"/>
            <w:vAlign w:val="bottom"/>
            <w:gridSpan w:val="2"/>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September 18,2026</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213,040</w:t>
            </w:r>
          </w:p>
        </w:tc>
        <w:tc>
          <w:tcPr>
            <w:tcW w:w="110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108,600</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104,440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104,440</w:t>
            </w:r>
          </w:p>
        </w:tc>
        <w:tc>
          <w:tcPr>
            <w:tcW w:w="112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104,440</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r>
      <w:tr>
        <w:trPr>
          <w:trHeight w:val="111"/>
        </w:trPr>
        <w:tc>
          <w:tcPr>
            <w:tcW w:w="42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8</w:t>
            </w:r>
          </w:p>
        </w:tc>
        <w:tc>
          <w:tcPr>
            <w:tcW w:w="140" w:type="dxa"/>
            <w:vAlign w:val="bottom"/>
          </w:tcPr>
          <w:p>
            <w:pPr>
              <w:spacing w:after="0"/>
              <w:rPr>
                <w:sz w:val="9"/>
                <w:szCs w:val="9"/>
                <w:color w:val="auto"/>
              </w:rPr>
            </w:pPr>
          </w:p>
        </w:tc>
        <w:tc>
          <w:tcPr>
            <w:tcW w:w="90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March 18, 2024</w:t>
            </w:r>
          </w:p>
        </w:tc>
        <w:tc>
          <w:tcPr>
            <w:tcW w:w="140" w:type="dxa"/>
            <w:vAlign w:val="bottom"/>
          </w:tcPr>
          <w:p>
            <w:pPr>
              <w:spacing w:after="0"/>
              <w:rPr>
                <w:sz w:val="9"/>
                <w:szCs w:val="9"/>
                <w:color w:val="auto"/>
              </w:rPr>
            </w:pPr>
          </w:p>
        </w:tc>
        <w:tc>
          <w:tcPr>
            <w:tcW w:w="120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China Construction Bank</w:t>
            </w:r>
          </w:p>
        </w:tc>
        <w:tc>
          <w:tcPr>
            <w:tcW w:w="1000" w:type="dxa"/>
            <w:vAlign w:val="bottom"/>
            <w:gridSpan w:val="2"/>
          </w:tcPr>
          <w:p>
            <w:pPr>
              <w:ind w:left="140"/>
              <w:spacing w:after="0" w:line="112" w:lineRule="exact"/>
              <w:rPr>
                <w:sz w:val="20"/>
                <w:szCs w:val="20"/>
                <w:color w:val="auto"/>
              </w:rPr>
            </w:pPr>
            <w:r>
              <w:rPr>
                <w:rFonts w:ascii="Times New Roman" w:cs="Times New Roman" w:eastAsia="Times New Roman" w:hAnsi="Times New Roman"/>
                <w:sz w:val="10"/>
                <w:szCs w:val="10"/>
                <w:color w:val="auto"/>
              </w:rPr>
              <w:t>January 15,2031</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637,010</w:t>
            </w:r>
          </w:p>
        </w:tc>
        <w:tc>
          <w:tcPr>
            <w:tcW w:w="110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29,900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607,110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60" w:type="dxa"/>
            <w:vAlign w:val="bottom"/>
            <w:gridSpan w:val="3"/>
          </w:tcPr>
          <w:p>
            <w:pPr>
              <w:jc w:val="right"/>
              <w:ind w:right="2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r>
      <w:tr>
        <w:trPr>
          <w:trHeight w:val="100"/>
        </w:trPr>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shd w:val="clear" w:color="auto" w:fill="CCEEFF"/>
          </w:tcPr>
          <w:p>
            <w:pPr>
              <w:ind w:left="20"/>
              <w:spacing w:after="0" w:line="100" w:lineRule="exact"/>
              <w:rPr>
                <w:sz w:val="20"/>
                <w:szCs w:val="20"/>
                <w:color w:val="auto"/>
              </w:rPr>
            </w:pPr>
            <w:r>
              <w:rPr>
                <w:rFonts w:ascii="Times New Roman" w:cs="Times New Roman" w:eastAsia="Times New Roman" w:hAnsi="Times New Roman"/>
                <w:sz w:val="10"/>
                <w:szCs w:val="10"/>
                <w:color w:val="auto"/>
              </w:rPr>
              <w:t>Industrial and Commercial</w:t>
            </w: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123"/>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9</w:t>
            </w:r>
          </w:p>
        </w:tc>
        <w:tc>
          <w:tcPr>
            <w:tcW w:w="1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March 18, 2024</w:t>
            </w:r>
          </w:p>
        </w:tc>
        <w:tc>
          <w:tcPr>
            <w:tcW w:w="14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Bank of China</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January 15,2031</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497,660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23,360</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474,300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r>
      <w:tr>
        <w:trPr>
          <w:trHeight w:val="111"/>
        </w:trPr>
        <w:tc>
          <w:tcPr>
            <w:tcW w:w="42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10</w:t>
            </w:r>
          </w:p>
        </w:tc>
        <w:tc>
          <w:tcPr>
            <w:tcW w:w="140" w:type="dxa"/>
            <w:vAlign w:val="bottom"/>
          </w:tcPr>
          <w:p>
            <w:pPr>
              <w:spacing w:after="0"/>
              <w:rPr>
                <w:sz w:val="9"/>
                <w:szCs w:val="9"/>
                <w:color w:val="auto"/>
              </w:rPr>
            </w:pPr>
          </w:p>
        </w:tc>
        <w:tc>
          <w:tcPr>
            <w:tcW w:w="90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March 18, 2024</w:t>
            </w:r>
          </w:p>
        </w:tc>
        <w:tc>
          <w:tcPr>
            <w:tcW w:w="140" w:type="dxa"/>
            <w:vAlign w:val="bottom"/>
          </w:tcPr>
          <w:p>
            <w:pPr>
              <w:spacing w:after="0"/>
              <w:rPr>
                <w:sz w:val="9"/>
                <w:szCs w:val="9"/>
                <w:color w:val="auto"/>
              </w:rPr>
            </w:pPr>
          </w:p>
        </w:tc>
        <w:tc>
          <w:tcPr>
            <w:tcW w:w="120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China Minsheng Bank</w:t>
            </w:r>
          </w:p>
        </w:tc>
        <w:tc>
          <w:tcPr>
            <w:tcW w:w="1000" w:type="dxa"/>
            <w:vAlign w:val="bottom"/>
            <w:gridSpan w:val="2"/>
          </w:tcPr>
          <w:p>
            <w:pPr>
              <w:ind w:left="140"/>
              <w:spacing w:after="0" w:line="112" w:lineRule="exact"/>
              <w:rPr>
                <w:sz w:val="20"/>
                <w:szCs w:val="20"/>
                <w:color w:val="auto"/>
              </w:rPr>
            </w:pPr>
            <w:r>
              <w:rPr>
                <w:rFonts w:ascii="Times New Roman" w:cs="Times New Roman" w:eastAsia="Times New Roman" w:hAnsi="Times New Roman"/>
                <w:sz w:val="10"/>
                <w:szCs w:val="10"/>
                <w:color w:val="auto"/>
              </w:rPr>
              <w:t>January 15,2031</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497,670</w:t>
            </w:r>
          </w:p>
        </w:tc>
        <w:tc>
          <w:tcPr>
            <w:tcW w:w="110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23,380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474,290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60" w:type="dxa"/>
            <w:vAlign w:val="bottom"/>
            <w:gridSpan w:val="3"/>
          </w:tcPr>
          <w:p>
            <w:pPr>
              <w:jc w:val="right"/>
              <w:ind w:right="2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r>
      <w:tr>
        <w:trPr>
          <w:trHeight w:val="111"/>
        </w:trPr>
        <w:tc>
          <w:tcPr>
            <w:tcW w:w="4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11</w:t>
            </w:r>
          </w:p>
        </w:tc>
        <w:tc>
          <w:tcPr>
            <w:tcW w:w="140" w:type="dxa"/>
            <w:vAlign w:val="bottom"/>
            <w:shd w:val="clear" w:color="auto" w:fill="CCEEFF"/>
          </w:tcPr>
          <w:p>
            <w:pPr>
              <w:spacing w:after="0"/>
              <w:rPr>
                <w:sz w:val="9"/>
                <w:szCs w:val="9"/>
                <w:color w:val="auto"/>
              </w:rPr>
            </w:pPr>
          </w:p>
        </w:tc>
        <w:tc>
          <w:tcPr>
            <w:tcW w:w="90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March 18, 2024</w:t>
            </w:r>
          </w:p>
        </w:tc>
        <w:tc>
          <w:tcPr>
            <w:tcW w:w="140" w:type="dxa"/>
            <w:vAlign w:val="bottom"/>
            <w:shd w:val="clear" w:color="auto" w:fill="CCEEFF"/>
          </w:tcPr>
          <w:p>
            <w:pPr>
              <w:spacing w:after="0"/>
              <w:rPr>
                <w:sz w:val="9"/>
                <w:szCs w:val="9"/>
                <w:color w:val="auto"/>
              </w:rPr>
            </w:pPr>
          </w:p>
        </w:tc>
        <w:tc>
          <w:tcPr>
            <w:tcW w:w="120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Agricultural Bank of China</w:t>
            </w:r>
          </w:p>
        </w:tc>
        <w:tc>
          <w:tcPr>
            <w:tcW w:w="1000" w:type="dxa"/>
            <w:vAlign w:val="bottom"/>
            <w:gridSpan w:val="2"/>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January 15,2031</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497,660</w:t>
            </w:r>
          </w:p>
        </w:tc>
        <w:tc>
          <w:tcPr>
            <w:tcW w:w="110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23,360</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474,300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160" w:type="dxa"/>
            <w:vAlign w:val="bottom"/>
            <w:gridSpan w:val="3"/>
            <w:shd w:val="clear" w:color="auto" w:fill="CCEEFF"/>
          </w:tcPr>
          <w:p>
            <w:pPr>
              <w:jc w:val="right"/>
              <w:ind w:right="2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r>
      <w:tr>
        <w:trPr>
          <w:trHeight w:val="111"/>
        </w:trPr>
        <w:tc>
          <w:tcPr>
            <w:tcW w:w="42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12</w:t>
            </w:r>
          </w:p>
        </w:tc>
        <w:tc>
          <w:tcPr>
            <w:tcW w:w="140" w:type="dxa"/>
            <w:vAlign w:val="bottom"/>
          </w:tcPr>
          <w:p>
            <w:pPr>
              <w:spacing w:after="0"/>
              <w:rPr>
                <w:sz w:val="9"/>
                <w:szCs w:val="9"/>
                <w:color w:val="auto"/>
              </w:rPr>
            </w:pPr>
          </w:p>
        </w:tc>
        <w:tc>
          <w:tcPr>
            <w:tcW w:w="90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April 12, 2024</w:t>
            </w:r>
          </w:p>
        </w:tc>
        <w:tc>
          <w:tcPr>
            <w:tcW w:w="140" w:type="dxa"/>
            <w:vAlign w:val="bottom"/>
          </w:tcPr>
          <w:p>
            <w:pPr>
              <w:spacing w:after="0"/>
              <w:rPr>
                <w:sz w:val="9"/>
                <w:szCs w:val="9"/>
                <w:color w:val="auto"/>
              </w:rPr>
            </w:pPr>
          </w:p>
        </w:tc>
        <w:tc>
          <w:tcPr>
            <w:tcW w:w="120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Bank of Shanghai</w:t>
            </w:r>
          </w:p>
        </w:tc>
        <w:tc>
          <w:tcPr>
            <w:tcW w:w="1000" w:type="dxa"/>
            <w:vAlign w:val="bottom"/>
            <w:gridSpan w:val="2"/>
          </w:tcPr>
          <w:p>
            <w:pPr>
              <w:ind w:left="140"/>
              <w:spacing w:after="0" w:line="112" w:lineRule="exact"/>
              <w:rPr>
                <w:sz w:val="20"/>
                <w:szCs w:val="20"/>
                <w:color w:val="auto"/>
              </w:rPr>
            </w:pPr>
            <w:r>
              <w:rPr>
                <w:rFonts w:ascii="Times New Roman" w:cs="Times New Roman" w:eastAsia="Times New Roman" w:hAnsi="Times New Roman"/>
                <w:sz w:val="10"/>
                <w:szCs w:val="10"/>
                <w:color w:val="auto"/>
              </w:rPr>
              <w:t>January 11, 2027</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145,550</w:t>
            </w:r>
          </w:p>
        </w:tc>
        <w:tc>
          <w:tcPr>
            <w:tcW w:w="110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72,600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72,950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72,950</w:t>
            </w:r>
          </w:p>
        </w:tc>
        <w:tc>
          <w:tcPr>
            <w:tcW w:w="112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72,600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350</w:t>
            </w:r>
          </w:p>
        </w:tc>
      </w:tr>
      <w:tr>
        <w:trPr>
          <w:trHeight w:val="111"/>
        </w:trPr>
        <w:tc>
          <w:tcPr>
            <w:tcW w:w="4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13</w:t>
            </w:r>
          </w:p>
        </w:tc>
        <w:tc>
          <w:tcPr>
            <w:tcW w:w="140" w:type="dxa"/>
            <w:vAlign w:val="bottom"/>
            <w:shd w:val="clear" w:color="auto" w:fill="CCEEFF"/>
          </w:tcPr>
          <w:p>
            <w:pPr>
              <w:spacing w:after="0"/>
              <w:rPr>
                <w:sz w:val="9"/>
                <w:szCs w:val="9"/>
                <w:color w:val="auto"/>
              </w:rPr>
            </w:pPr>
          </w:p>
        </w:tc>
        <w:tc>
          <w:tcPr>
            <w:tcW w:w="90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May 15, 2024</w:t>
            </w:r>
          </w:p>
        </w:tc>
        <w:tc>
          <w:tcPr>
            <w:tcW w:w="140" w:type="dxa"/>
            <w:vAlign w:val="bottom"/>
            <w:shd w:val="clear" w:color="auto" w:fill="CCEEFF"/>
          </w:tcPr>
          <w:p>
            <w:pPr>
              <w:spacing w:after="0"/>
              <w:rPr>
                <w:sz w:val="9"/>
                <w:szCs w:val="9"/>
                <w:color w:val="auto"/>
              </w:rPr>
            </w:pPr>
          </w:p>
        </w:tc>
        <w:tc>
          <w:tcPr>
            <w:tcW w:w="120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Bank of Shanghai</w:t>
            </w:r>
          </w:p>
        </w:tc>
        <w:tc>
          <w:tcPr>
            <w:tcW w:w="1000" w:type="dxa"/>
            <w:vAlign w:val="bottom"/>
            <w:gridSpan w:val="2"/>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February15,2027</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228,240</w:t>
            </w:r>
          </w:p>
        </w:tc>
        <w:tc>
          <w:tcPr>
            <w:tcW w:w="110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107,640</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120,600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120,600</w:t>
            </w:r>
          </w:p>
        </w:tc>
        <w:tc>
          <w:tcPr>
            <w:tcW w:w="112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107,640</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12,960</w:t>
            </w:r>
          </w:p>
        </w:tc>
      </w:tr>
      <w:tr>
        <w:trPr>
          <w:trHeight w:val="10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0"/>
                <w:szCs w:val="10"/>
                <w:color w:val="auto"/>
              </w:rPr>
              <w:t>Total</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3,604,670</w:t>
            </w:r>
          </w:p>
        </w:tc>
        <w:tc>
          <w:tcPr>
            <w:tcW w:w="160" w:type="dxa"/>
            <w:vAlign w:val="bottom"/>
          </w:tcPr>
          <w:p>
            <w:pPr>
              <w:spacing w:after="0"/>
              <w:rPr>
                <w:sz w:val="9"/>
                <w:szCs w:val="9"/>
                <w:color w:val="auto"/>
              </w:rPr>
            </w:pPr>
          </w:p>
        </w:tc>
        <w:tc>
          <w:tcPr>
            <w:tcW w:w="94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639,180</w:t>
            </w:r>
          </w:p>
        </w:tc>
        <w:tc>
          <w:tcPr>
            <w:tcW w:w="16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2,965,490</w:t>
            </w:r>
          </w:p>
        </w:tc>
        <w:tc>
          <w:tcPr>
            <w:tcW w:w="16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722,990</w:t>
            </w:r>
          </w:p>
        </w:tc>
        <w:tc>
          <w:tcPr>
            <w:tcW w:w="160" w:type="dxa"/>
            <w:vAlign w:val="bottom"/>
          </w:tcPr>
          <w:p>
            <w:pPr>
              <w:spacing w:after="0"/>
              <w:rPr>
                <w:sz w:val="9"/>
                <w:szCs w:val="9"/>
                <w:color w:val="auto"/>
              </w:rPr>
            </w:pPr>
          </w:p>
        </w:tc>
        <w:tc>
          <w:tcPr>
            <w:tcW w:w="96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331,770</w:t>
            </w:r>
          </w:p>
        </w:tc>
        <w:tc>
          <w:tcPr>
            <w:tcW w:w="16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391,220</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The long-term borrowings contain covenants including, among others, limitation on liens, consolidation, merger and sale of the Group’s assets, and certain performance and financial measures which include liabilities to assets ratio. The Group was in compliance with all of the loan covenants as of December 31, 2024 and 2025.</w:t>
      </w:r>
    </w:p>
    <w:p>
      <w:pPr>
        <w:spacing w:after="0" w:line="153" w:lineRule="exact"/>
        <w:rPr>
          <w:sz w:val="20"/>
          <w:szCs w:val="20"/>
          <w:color w:val="auto"/>
        </w:rPr>
      </w:pPr>
    </w:p>
    <w:p>
      <w:pPr>
        <w:jc w:val="both"/>
        <w:ind w:right="20" w:firstLine="297"/>
        <w:spacing w:after="0" w:line="268" w:lineRule="auto"/>
        <w:rPr>
          <w:sz w:val="20"/>
          <w:szCs w:val="20"/>
          <w:color w:val="auto"/>
        </w:rPr>
      </w:pPr>
      <w:r>
        <w:rPr>
          <w:rFonts w:ascii="Times New Roman" w:cs="Times New Roman" w:eastAsia="Times New Roman" w:hAnsi="Times New Roman"/>
          <w:sz w:val="16"/>
          <w:szCs w:val="16"/>
          <w:color w:val="auto"/>
        </w:rPr>
        <w:t>As of December 31, 2024, the Group had bank credit quotas with aggregated amount of RMB73,772,832 which consists of non-collateral based bank credit quotas of RMB15,441,290 and collateral-based bank credit quotas of RMB58,331,542. Out of the total non-collateral bank credit quotas, RMB7,104,500, RMB2,537,005 and RMB330,000 were used for bank borrowing, issuance of letters of guarantee and bank’s acceptance notes, respectively. Out of the total collateral-based bank credit quotas, RMB2,058,607 and RMB16,658,660 were used for issuance of letters of guarantee and bank’s acceptance notes, respectively.</w:t>
      </w:r>
    </w:p>
    <w:p>
      <w:pPr>
        <w:spacing w:after="0" w:line="161" w:lineRule="exact"/>
        <w:rPr>
          <w:sz w:val="20"/>
          <w:szCs w:val="20"/>
          <w:color w:val="auto"/>
        </w:rPr>
      </w:pPr>
    </w:p>
    <w:p>
      <w:pPr>
        <w:jc w:val="both"/>
        <w:ind w:right="20" w:firstLine="297"/>
        <w:spacing w:after="0" w:line="268" w:lineRule="auto"/>
        <w:rPr>
          <w:sz w:val="20"/>
          <w:szCs w:val="20"/>
          <w:color w:val="auto"/>
        </w:rPr>
      </w:pPr>
      <w:r>
        <w:rPr>
          <w:rFonts w:ascii="Times New Roman" w:cs="Times New Roman" w:eastAsia="Times New Roman" w:hAnsi="Times New Roman"/>
          <w:sz w:val="16"/>
          <w:szCs w:val="16"/>
          <w:color w:val="auto"/>
        </w:rPr>
        <w:t>As of December 31, 2025, the Group had bank credit quotas with aggregated amount of RMB77,756,566 which consists of non-collateral based bank credit quotas of RMB7,752,160 and collateral-based bank credit quotas of RMB70,004,406 Out of the total non-collateral bank credit quotas, RMB2,480,000, RMB690,000 and RMB237,000 were used for bank borrowing, issuance of letters of guarantee and banks’ acceptance notes, respectively. Out of the total collateral-based bank credit quotas, RMB24,447,520, RMB8,088,343 and RMB102,052 were used for bank’s acceptance notes, issuance of letters of guarantee and letter of cedit, respectively.</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(iv) Convertible notes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u w:val="single" w:color="auto"/>
          <w:color w:val="auto"/>
        </w:rPr>
        <w:t>2024 Notes</w:t>
      </w:r>
    </w:p>
    <w:p>
      <w:pPr>
        <w:spacing w:after="0" w:line="212" w:lineRule="exact"/>
        <w:rPr>
          <w:sz w:val="20"/>
          <w:szCs w:val="20"/>
          <w:color w:val="auto"/>
        </w:rPr>
      </w:pPr>
    </w:p>
    <w:p>
      <w:pPr>
        <w:jc w:val="both"/>
        <w:ind w:firstLine="297"/>
        <w:spacing w:after="0" w:line="260" w:lineRule="auto"/>
        <w:rPr>
          <w:sz w:val="20"/>
          <w:szCs w:val="20"/>
          <w:color w:val="auto"/>
        </w:rPr>
      </w:pPr>
      <w:r>
        <w:rPr>
          <w:rFonts w:ascii="Times New Roman" w:cs="Times New Roman" w:eastAsia="Times New Roman" w:hAnsi="Times New Roman"/>
          <w:sz w:val="16"/>
          <w:szCs w:val="16"/>
          <w:color w:val="auto"/>
        </w:rPr>
        <w:t>In February 2019, the Group issued US$650,000 convertible senior notes and additional US$100,000 senior notes (collectively the “2024 Notes”) to the Notes purchasers (the “Notes Offering”). The 2024 Notes bears interest at a rate of 4.50% per year, payable semi-annually in arrears on February 1 and August 1 of each year, beginning on August 1, 2019. The 2024 Notes is convertible into the Company’s American Depositary Shares at the pre-agreed fixed conversion price at the discretion of the holders and will mature for repayment on February 1, 2024. Holders of the 2024 Notes are entitled to require the Company to repurchase all or part of the 2024 Notes in cash on February 1, 2022 or in the event of certain fundamental changes. In connection with the Notes Offering, the Company entered into capped call transactions with certain Notes purchasers and/or their respective affiliates and/or other financial institutions (the “Capped Call Option Counterparties”) and used a portion of the net proceeds of the Notes Offering to pay the cost of such transactions. In addition, the Company also entered into privately negotiated zero-strike call option transactions with certain Notes purchasers or their respective affiliates (the “Zero-Strike Call Option Counterparties”) and used a portion of the net proceeds of the Notes Offering to pay the aggregate premium under such transactions. The Company accounts for the 2024 Notes as a single instruments as a long-term debt. The debt issuance cost were recorded as reduction to the long-term debts and are amortized as interest expenses using the effective interest method. The value of the 2024 Notes are measured by the cash received. The cost for the capped call transactions have been recorded as deduction of additional paid-in capital within total shareholders’ equity. The zero-strike call option was deemed as a prepaid forward to purchase the Company’s own shares and recognized as permanent equity at its fair value at inception as a reduction to additional paid in capital in the consolidated balance sheet. In November 2020, US$7 in aggregate principal amount of such Notes were converted, pursuant to which the Company issued 735 Class A ordinary shares to the holders of such Notes. The balance of the Notes converted were derecognized and recorded as ordinary shares and additional paid-in capital.</w:t>
      </w:r>
    </w:p>
    <w:p>
      <w:pPr>
        <w:spacing w:after="0" w:line="375"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6"/>
          <w:szCs w:val="16"/>
          <w:color w:val="auto"/>
        </w:rPr>
        <w:t>On January 15, 2021, the Company entered into separate and individually privately negotiated agreements with certain holders of its outstanding 2024 Notes to exchange US$581,685 principal amount of the outstanding 2024 Notes for 62,192,017 ADSs with a conversion premium of US$56,359 (the “2024 Notes Exchanges”). In connection with the 2024 Notes Exchanges, the Company also entered into agreements with certain financial institutions to terminate a portion of the capped call transactions and Zero-Strike Call transactions with the amount corresponding to the portion of the principal amount of the 2024 Notes that were exchanged. With above termination of the capped call transactions and Zero-Strike Call transactions, the Company received 16,402,643 treasury shares accordingly.</w:t>
      </w:r>
    </w:p>
    <w:p>
      <w:pPr>
        <w:spacing w:after="0" w:line="163"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For the 2024 Notes Exchanges, the 2024 Notes with carrying amount of US$578,902 were derecognised with a corresponding amount being recognised as share capital and additional paid-in capital. The conversion premium of US$56,359 was recorded as interest expenses according to ASC 470-20-40-16, which requires a reporting entity to recognize an expense equal to the fair value of the shares or other consideration issued to induce conversion, i.e., the excess of the fair value of all consideration transferred over the fair value of the securities transferred pursuant to the original conversion terms. For the terminations of the capped call transactions and Zero-Strike Call transactions, the amount of the purchase price of the capped call transactions and Zero-Strike Call transactions terminated of RMB1,849,600 that was previously recorded in the additional paid-in capital was reclassified to treasury stock.</w:t>
      </w:r>
    </w:p>
    <w:p>
      <w:pPr>
        <w:spacing w:after="0" w:line="162" w:lineRule="exact"/>
        <w:rPr>
          <w:sz w:val="20"/>
          <w:szCs w:val="20"/>
          <w:color w:val="auto"/>
        </w:rPr>
      </w:pPr>
    </w:p>
    <w:p>
      <w:pPr>
        <w:jc w:val="both"/>
        <w:ind w:firstLine="297"/>
        <w:spacing w:after="0" w:line="270" w:lineRule="auto"/>
        <w:rPr>
          <w:sz w:val="20"/>
          <w:szCs w:val="20"/>
          <w:color w:val="auto"/>
        </w:rPr>
      </w:pPr>
      <w:r>
        <w:rPr>
          <w:rFonts w:ascii="Times New Roman" w:cs="Times New Roman" w:eastAsia="Times New Roman" w:hAnsi="Times New Roman"/>
          <w:sz w:val="16"/>
          <w:szCs w:val="16"/>
          <w:color w:val="auto"/>
        </w:rPr>
        <w:t>On February 1, 2024, the Company repaid the then outstanding 2024 Notes in full upon the maturity of the 2024 Notes with carrying amount of US$164,520 (RMB1,168,732). The Company also entered into agreements with certain financial institutions to terminate the capped call transactions and Zero-Strike Call transactions and received 13,404,825 treasury shares accordingly. The amount of the purchase price of the capped call transactions and Zero-Strike Call transactions terminated of RMB709,490 that was previously recorded in the additional paid-in capital was reclassified to treasury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u w:val="single" w:color="auto"/>
          <w:color w:val="auto"/>
        </w:rPr>
        <w:t>2026 and 2027 Notes</w:t>
      </w:r>
    </w:p>
    <w:p>
      <w:pPr>
        <w:spacing w:after="0" w:line="212" w:lineRule="exact"/>
        <w:rPr>
          <w:sz w:val="20"/>
          <w:szCs w:val="20"/>
          <w:color w:val="auto"/>
        </w:rPr>
      </w:pPr>
    </w:p>
    <w:p>
      <w:pPr>
        <w:jc w:val="both"/>
        <w:ind w:firstLine="297"/>
        <w:spacing w:after="0" w:line="262" w:lineRule="auto"/>
        <w:rPr>
          <w:sz w:val="20"/>
          <w:szCs w:val="20"/>
          <w:color w:val="auto"/>
        </w:rPr>
      </w:pPr>
      <w:r>
        <w:rPr>
          <w:rFonts w:ascii="Times New Roman" w:cs="Times New Roman" w:eastAsia="Times New Roman" w:hAnsi="Times New Roman"/>
          <w:sz w:val="16"/>
          <w:szCs w:val="16"/>
          <w:color w:val="auto"/>
        </w:rPr>
        <w:t>In January 2021, the Group issued US$750,000 convertible senior Notes due 2026 (the “2026 Notes”) and US$750,000 convertible senior Notes due 2027 (the “2027 Notes”). The 2026 Notes bears no interest and the 2027 Notes bears interest at a rate of 0.50% per year, which is payable semiannually in arrears on February 1 and August 1 of each year, beginning on August 1, 2021. Holders may convert their 2026 Notes at their option prior to the close of business on the business day immediately preceding August 1, 2025, and holders may convert their 2027 Notes at their option prior to the close of business on the business day immediately preceding August 1, 2026. The initial conversion price is US$93.06 per ADS for the Notes, subject to customary anti-dilution adjustments. Upon conversion, the Company will pay or deliver, as the case may be, cash, ADSs, or a combination of cash and ADSs, at the Company’s discretion. Holders of the 2026 Notes have the right to require the Company to repurchase in cash for all or part of their Notes on February 1, 2024 or in the event of certain fundamental changes at a repurchase price equal to 100% of the principal amount of the Notes to be repurchased. Holders of the 2027 Notes have the right to require the Company to repurchase in cash for all or part of their Notes on February 1, 2025 or in the event of certain fundamental changes at a repurchase price equal to 100% of the principal amount of the Notes to be repurchased, plus accrued and unpaid interest.</w:t>
      </w:r>
    </w:p>
    <w:p>
      <w:pPr>
        <w:spacing w:after="0" w:line="167"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The Company early adopted ASU 2020-06 which eliminates the cash conversion accounting models for 2026 Notes and 2027 Notes. Accordingly, the principal amount of these Notes was reported as one single unit of account in long-term borrowings at its principal amount, net of debt issuance costs of US$26,340, on the basis of not electing fair value option for the Notes and no substantial premium to be offered. The Notes are subsequently measured at amortized cost with interest expenses accrued over the term of these Notes using the effective interest method.</w:t>
      </w:r>
    </w:p>
    <w:p>
      <w:pPr>
        <w:spacing w:after="0" w:line="159"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In 2022, the Group repurchased the aggregated portion of 2026 Notes with the carrying amount of US$190,962 (RMB1,317,106). In 2023, the Group repurchased the aggregated portion of 2026 Notes and 2027 Notes with the carrying amount of US$ 253,762 (RMB1,801,685) and US$242,249 (RMB1,719,944), respectively. In February 2024, upon the exercise of repurchase prices by the holders of the 2026 Notes, the Group repurchased the portion of 2026 Notes with the aggregated carrying amount of US$298,689 (RMB2,122,155).</w:t>
      </w:r>
    </w:p>
    <w:p>
      <w:pPr>
        <w:spacing w:after="0" w:line="159"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In November and December 2024, as separately negotiated, the Group settled certain 2027 Notes with a principal amount of $127,090 by delivering 27,690,071 Company’s ADSs and cancelled the same amount of treasury shares, with the exchange ratio ranged from 207.0 to 227.6 ADSs per $1,000 principal amount of the 2027 Notes. The Group did not receive any cash proceeds from the issuance of the ADSs upon exchange. The Group derecognized treasury stock of RMB2,214,029, with the difference of RMB1,311,200 recorded in additional paid-in capital accordingly.</w:t>
      </w:r>
    </w:p>
    <w:p>
      <w:pPr>
        <w:spacing w:after="0" w:line="159"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As of December 31, 2024, the carrying amount of the remaining 2026 Notes and 2027 Notes were RMB6,534 and RMB2,706,285, respectively. As of December 31, 2024, the Company reclassified the carrying value of 2027 Notes with the amount of RMB2,706,285 in current liabilities to reflect the early redemption right by 2027 Notes holders on February 1, 2025.</w:t>
      </w:r>
    </w:p>
    <w:p>
      <w:pPr>
        <w:spacing w:after="0" w:line="153"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In February 2025, upon the exercise of repurchase rights by the holders of the 2027 Notes, the Group repurchased the portion of 2027 Notes with the aggregated carrying amount of US$378,312 (RMB2,712,412).</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December 31, 2025, the carrying amount of the remaining 2026 Notes and 2027 Notes were RMB6,409 and RMB1,493,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u w:val="single" w:color="auto"/>
          <w:color w:val="auto"/>
        </w:rPr>
        <w:t>2029 and 2030 Notes</w:t>
      </w:r>
    </w:p>
    <w:p>
      <w:pPr>
        <w:spacing w:after="0" w:line="212" w:lineRule="exact"/>
        <w:rPr>
          <w:sz w:val="20"/>
          <w:szCs w:val="20"/>
          <w:color w:val="auto"/>
        </w:rPr>
      </w:pPr>
    </w:p>
    <w:p>
      <w:pPr>
        <w:jc w:val="both"/>
        <w:ind w:right="20" w:firstLine="297"/>
        <w:spacing w:after="0" w:line="261" w:lineRule="auto"/>
        <w:rPr>
          <w:sz w:val="20"/>
          <w:szCs w:val="20"/>
          <w:color w:val="auto"/>
        </w:rPr>
      </w:pPr>
      <w:r>
        <w:rPr>
          <w:rFonts w:ascii="Times New Roman" w:cs="Times New Roman" w:eastAsia="Times New Roman" w:hAnsi="Times New Roman"/>
          <w:sz w:val="16"/>
          <w:szCs w:val="16"/>
          <w:color w:val="auto"/>
        </w:rPr>
        <w:t>In September and October 2023, the Company issued US$575,000 convertible senior Notes due 2029 (the “2029 Notes”) and US$575,000 convertible senior Notes due 2030 (the “2030 Notes”). The 2029 Notes bears interest at a rate of 3.875% per year, payable semiannually in arrears on April 15 and October 15 of each year, beginning on April 15, 2024. The 2030 Notes bears interest at a rate of 4.625% per year, payable semiannually in arrears on April 15 and October 15 of each year, beginning on April 15, 2024. Holders may convert their 2029 Notes at their option prior to the close of business on the second scheduled trading day immediately preceding October 15, 2029, and holders may convert their 2030 Notes at their option prior to the close of business on the second scheduled trading day immediately preceding October 15, 2030. The initial conversion price is US$11.12 per ADS for the Notes, subject to customary anti-dilution adjustments. Upon conversion, the Company will pay or deliver, as the case may be, cash, ADSs, or a combination of cash and ADSs, at the Company’s discretion. Holders of the 2029 Notes have the right to require the Company to repurchase in cash for all or part of their Notes on October 15, 2027 or in the event of certain fundamental changes at a repurchase price equal to 100% of the principal amount of the Notes to be repurchased. Holders of the 2030 Notes have the right to require the Company to repurchase in cash for all or part of their Notes on October 15, 2028 or in the event of certain fundamental changes at a repurchase price equal to 100% of the principal amount of the Notes to be repurchased, plus accrued and unpaid interest.</w:t>
      </w:r>
    </w:p>
    <w:p>
      <w:pPr>
        <w:spacing w:after="0" w:line="173" w:lineRule="exact"/>
        <w:rPr>
          <w:sz w:val="20"/>
          <w:szCs w:val="20"/>
          <w:color w:val="auto"/>
        </w:rPr>
      </w:pPr>
    </w:p>
    <w:p>
      <w:pPr>
        <w:jc w:val="both"/>
        <w:ind w:right="20" w:firstLine="297"/>
        <w:spacing w:after="0" w:line="268" w:lineRule="auto"/>
        <w:rPr>
          <w:sz w:val="20"/>
          <w:szCs w:val="20"/>
          <w:color w:val="auto"/>
        </w:rPr>
      </w:pPr>
      <w:r>
        <w:rPr>
          <w:rFonts w:ascii="Times New Roman" w:cs="Times New Roman" w:eastAsia="Times New Roman" w:hAnsi="Times New Roman"/>
          <w:sz w:val="16"/>
          <w:szCs w:val="16"/>
          <w:color w:val="auto"/>
        </w:rPr>
        <w:t>The Company accounted for 2029 Notes and 2030 Notes in accordance with ASU 2020-06 which eliminates the cash conversion accounting models. Accordingly, the principal amount of these Notes was reported as one single unit of account in long-term borrowings at its principal amount, net of debt issuance costs of US$17,855, on the basis of not electing fair value option for the Notes and no substantial premium to be offered. The Notes are subsequently measured at amortized cost with interest expenses accrued over the term of these Notes using the effective interest method. As of December 31, 2024 and 2025, the carrying amount of the Notes were RMB8,160,462 and RMB7,996,217, respectively.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Other Non-Current Liabilities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Other non-current liabilities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vMerge w:val="restart"/>
          </w:tcPr>
          <w:p>
            <w:pPr>
              <w:ind w:left="698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18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CCEEFF"/>
            </w:tcBorders>
            <w:vMerge w:val="continue"/>
          </w:tcPr>
          <w:p>
            <w:pPr>
              <w:spacing w:after="0"/>
              <w:rPr>
                <w:sz w:val="13"/>
                <w:szCs w:val="13"/>
                <w:color w:val="auto"/>
              </w:rPr>
            </w:pPr>
          </w:p>
        </w:tc>
        <w:tc>
          <w:tcPr>
            <w:tcW w:w="12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Non-current finance lease liabilities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35,145</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4,769,972</w:t>
            </w:r>
          </w:p>
        </w:tc>
        <w:tc>
          <w:tcPr>
            <w:tcW w:w="0" w:type="dxa"/>
            <w:vAlign w:val="bottom"/>
          </w:tcPr>
          <w:p>
            <w:pPr>
              <w:spacing w:after="0"/>
              <w:rPr>
                <w:sz w:val="1"/>
                <w:szCs w:val="1"/>
                <w:color w:val="auto"/>
              </w:rPr>
            </w:pPr>
          </w:p>
        </w:tc>
      </w:tr>
      <w:tr>
        <w:trPr>
          <w:trHeight w:val="198"/>
        </w:trPr>
        <w:tc>
          <w:tcPr>
            <w:tcW w:w="7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Warranty liabilities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4,068,079</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4,606,225</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3,045,846</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2,872,987</w:t>
            </w:r>
          </w:p>
        </w:tc>
        <w:tc>
          <w:tcPr>
            <w:tcW w:w="0" w:type="dxa"/>
            <w:vAlign w:val="bottom"/>
          </w:tcPr>
          <w:p>
            <w:pPr>
              <w:spacing w:after="0"/>
              <w:rPr>
                <w:sz w:val="1"/>
                <w:szCs w:val="1"/>
                <w:color w:val="auto"/>
              </w:rPr>
            </w:pPr>
          </w:p>
        </w:tc>
      </w:tr>
      <w:tr>
        <w:trPr>
          <w:trHeight w:val="198"/>
        </w:trPr>
        <w:tc>
          <w:tcPr>
            <w:tcW w:w="7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government grants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391,116</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568,919</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profit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255,496</w:t>
            </w:r>
          </w:p>
        </w:tc>
        <w:tc>
          <w:tcPr>
            <w:tcW w:w="0" w:type="dxa"/>
            <w:vAlign w:val="bottom"/>
          </w:tcPr>
          <w:p>
            <w:pPr>
              <w:spacing w:after="0"/>
              <w:rPr>
                <w:sz w:val="1"/>
                <w:szCs w:val="1"/>
                <w:color w:val="auto"/>
              </w:rPr>
            </w:pPr>
          </w:p>
        </w:tc>
      </w:tr>
      <w:tr>
        <w:trPr>
          <w:trHeight w:val="198"/>
        </w:trPr>
        <w:tc>
          <w:tcPr>
            <w:tcW w:w="7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Payable to BaaS users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779,695</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193,845</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308,715</w:t>
            </w:r>
          </w:p>
        </w:tc>
        <w:tc>
          <w:tcPr>
            <w:tcW w:w="26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423,334</w:t>
            </w:r>
          </w:p>
        </w:tc>
        <w:tc>
          <w:tcPr>
            <w:tcW w:w="0" w:type="dxa"/>
            <w:vAlign w:val="bottom"/>
          </w:tcPr>
          <w:p>
            <w:pPr>
              <w:spacing w:after="0"/>
              <w:rPr>
                <w:sz w:val="1"/>
                <w:szCs w:val="1"/>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8,628,596</w:t>
            </w:r>
          </w:p>
        </w:tc>
        <w:tc>
          <w:tcPr>
            <w:tcW w:w="2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13,690,778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Deferred government grants mainly consist of specific government subsidies for purchase of land use right and buildings, charging and battery swap equipment, which is amortized using the straight-line method as a deduction of the amortization or depreciation expense of the relevant assets over their remaining estimated useful life.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Leases</w:t>
      </w:r>
    </w:p>
    <w:p>
      <w:pPr>
        <w:spacing w:after="0" w:line="216"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The Group has entered into various non-cancellable operating and finance lease agreements for certain offices, warehouses, retail and service locations, equipment and vehicles worldwide. The Group determines if an arrangement is a lease, or contains a lease, at inception and record the leases in the financial statements upon lease commencement, which is the date when the underlying asset is made available for use by the lessor.</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balances for the operating and finance leases where the Group is the lessee are presented as follows within the consolidated balance sheet: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5"/>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vMerge w:val="restart"/>
          </w:tcPr>
          <w:p>
            <w:pPr>
              <w:jc w:val="center"/>
              <w:ind w:left="3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3"/>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4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Right-of-use assets - operating lease</w:t>
            </w:r>
          </w:p>
        </w:tc>
        <w:tc>
          <w:tcPr>
            <w:tcW w:w="4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12,797,158</w:t>
            </w:r>
          </w:p>
        </w:tc>
        <w:tc>
          <w:tcPr>
            <w:tcW w:w="2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11,711,306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1,945,987</w:t>
            </w: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2,163,768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11,260,735</w:t>
            </w:r>
          </w:p>
        </w:tc>
        <w:tc>
          <w:tcPr>
            <w:tcW w:w="2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10,092,039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13,206,722</w:t>
            </w: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12,255,807</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 finance lease</w:t>
            </w:r>
          </w:p>
        </w:tc>
        <w:tc>
          <w:tcPr>
            <w:tcW w:w="4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63,635</w:t>
            </w:r>
          </w:p>
        </w:tc>
        <w:tc>
          <w:tcPr>
            <w:tcW w:w="2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5,696,866</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Current portion of finance lease liabilities</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13,498</w:t>
            </w:r>
          </w:p>
        </w:tc>
        <w:tc>
          <w:tcPr>
            <w:tcW w:w="260" w:type="dxa"/>
            <w:vAlign w:val="bottom"/>
          </w:tcPr>
          <w:p>
            <w:pPr>
              <w:spacing w:after="0"/>
              <w:rPr>
                <w:sz w:val="15"/>
                <w:szCs w:val="15"/>
                <w:color w:val="auto"/>
              </w:rPr>
            </w:pPr>
          </w:p>
        </w:tc>
        <w:tc>
          <w:tcPr>
            <w:tcW w:w="12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263,203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finance lease liabilities</w:t>
            </w:r>
          </w:p>
        </w:tc>
        <w:tc>
          <w:tcPr>
            <w:tcW w:w="4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35,145</w:t>
            </w:r>
          </w:p>
        </w:tc>
        <w:tc>
          <w:tcPr>
            <w:tcW w:w="260" w:type="dxa"/>
            <w:vAlign w:val="bottom"/>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4,769,972</w:t>
            </w:r>
          </w:p>
        </w:tc>
        <w:tc>
          <w:tcPr>
            <w:tcW w:w="0" w:type="dxa"/>
            <w:vAlign w:val="bottom"/>
          </w:tcPr>
          <w:p>
            <w:pPr>
              <w:spacing w:after="0"/>
              <w:rPr>
                <w:sz w:val="1"/>
                <w:szCs w:val="1"/>
                <w:color w:val="auto"/>
              </w:rPr>
            </w:pPr>
          </w:p>
        </w:tc>
      </w:tr>
      <w:tr>
        <w:trPr>
          <w:trHeight w:val="190"/>
        </w:trPr>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48,643</w:t>
            </w:r>
          </w:p>
        </w:tc>
        <w:tc>
          <w:tcPr>
            <w:tcW w:w="26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5,033,175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The components of lease expenses were as follows:</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center"/>
              <w:ind w:right="86"/>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jc w:val="center"/>
              <w:ind w:left="1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cost:</w:t>
            </w: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1,825,182</w:t>
            </w:r>
          </w:p>
        </w:tc>
        <w:tc>
          <w:tcPr>
            <w:tcW w:w="26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2,228,651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of operating lease liabilities</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573,031</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543,698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Expenses for short-term leases within 12 months and other non-lease component</w:t>
            </w:r>
          </w:p>
        </w:tc>
        <w:tc>
          <w:tcPr>
            <w:tcW w:w="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227,990</w:t>
            </w:r>
          </w:p>
        </w:tc>
        <w:tc>
          <w:tcPr>
            <w:tcW w:w="2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92,361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4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2,626,203</w:t>
            </w: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2,864,710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Other information related to leases where the Group is the lessee is as follows:</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680" w:type="dxa"/>
            <w:vAlign w:val="bottom"/>
            <w:gridSpan w:val="2"/>
            <w:vMerge w:val="restart"/>
          </w:tcPr>
          <w:p>
            <w:pPr>
              <w:ind w:left="656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gridSpan w:val="4"/>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80" w:type="dxa"/>
            <w:vAlign w:val="bottom"/>
            <w:gridSpan w:val="2"/>
            <w:vMerge w:val="continue"/>
          </w:tcPr>
          <w:p>
            <w:pPr>
              <w:spacing w:after="0"/>
              <w:rPr>
                <w:sz w:val="13"/>
                <w:szCs w:val="13"/>
                <w:color w:val="auto"/>
              </w:rPr>
            </w:pPr>
          </w:p>
        </w:tc>
        <w:tc>
          <w:tcPr>
            <w:tcW w:w="7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860" w:type="dxa"/>
            <w:vAlign w:val="bottom"/>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Weighted-average remaining lease term:</w:t>
            </w:r>
          </w:p>
        </w:tc>
        <w:tc>
          <w:tcPr>
            <w:tcW w:w="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Operating leases</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4"/>
          </w:tcPr>
          <w:p>
            <w:pPr>
              <w:jc w:val="right"/>
              <w:ind w:right="114"/>
              <w:spacing w:after="0"/>
              <w:rPr>
                <w:sz w:val="20"/>
                <w:szCs w:val="20"/>
                <w:color w:val="auto"/>
              </w:rPr>
            </w:pPr>
            <w:r>
              <w:rPr>
                <w:rFonts w:ascii="Times New Roman" w:cs="Times New Roman" w:eastAsia="Times New Roman" w:hAnsi="Times New Roman"/>
                <w:sz w:val="16"/>
                <w:szCs w:val="16"/>
                <w:color w:val="auto"/>
              </w:rPr>
              <w:t>10.9 years</w:t>
            </w:r>
          </w:p>
        </w:tc>
        <w:tc>
          <w:tcPr>
            <w:tcW w:w="260" w:type="dxa"/>
            <w:vAlign w:val="bottom"/>
          </w:tcPr>
          <w:p>
            <w:pPr>
              <w:spacing w:after="0"/>
              <w:rPr>
                <w:sz w:val="17"/>
                <w:szCs w:val="17"/>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10.6 years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Finance leases</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14"/>
              <w:spacing w:after="0"/>
              <w:rPr>
                <w:sz w:val="20"/>
                <w:szCs w:val="20"/>
                <w:color w:val="auto"/>
              </w:rPr>
            </w:pPr>
            <w:r>
              <w:rPr>
                <w:rFonts w:ascii="Times New Roman" w:cs="Times New Roman" w:eastAsia="Times New Roman" w:hAnsi="Times New Roman"/>
                <w:sz w:val="16"/>
                <w:szCs w:val="16"/>
                <w:color w:val="auto"/>
              </w:rPr>
              <w:t>5.5 years</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18.9 years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Weighted-average discount rate:</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Operating leases</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3"/>
          </w:tcPr>
          <w:p>
            <w:pPr>
              <w:jc w:val="center"/>
              <w:ind w:right="86"/>
              <w:spacing w:after="0"/>
              <w:rPr>
                <w:sz w:val="20"/>
                <w:szCs w:val="20"/>
                <w:color w:val="auto"/>
              </w:rPr>
            </w:pPr>
            <w:r>
              <w:rPr>
                <w:rFonts w:ascii="Times New Roman" w:cs="Times New Roman" w:eastAsia="Times New Roman" w:hAnsi="Times New Roman"/>
                <w:sz w:val="16"/>
                <w:szCs w:val="16"/>
                <w:color w:val="auto"/>
              </w:rPr>
              <w:t>4.45 %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4.39 %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Finance leases</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ind w:right="86"/>
              <w:spacing w:after="0"/>
              <w:rPr>
                <w:sz w:val="20"/>
                <w:szCs w:val="20"/>
                <w:color w:val="auto"/>
              </w:rPr>
            </w:pPr>
            <w:r>
              <w:rPr>
                <w:rFonts w:ascii="Times New Roman" w:cs="Times New Roman" w:eastAsia="Times New Roman" w:hAnsi="Times New Roman"/>
                <w:sz w:val="16"/>
                <w:szCs w:val="16"/>
                <w:color w:val="auto"/>
              </w:rPr>
              <w:t>4.14 %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4.20 %</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6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Supplemental cash flow information related to leases where we are the lessee is as follows: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center"/>
              <w:ind w:right="86"/>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2,385,552</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2,402,489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cash outflows from finance leases (interest payments)</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26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90,864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cash outflows from finance leases</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37,854</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101,113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3,698,231</w:t>
            </w:r>
          </w:p>
        </w:tc>
        <w:tc>
          <w:tcPr>
            <w:tcW w:w="2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6,512,719</w:t>
            </w: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6680" w:type="dxa"/>
            <w:vAlign w:val="bottom"/>
            <w:gridSpan w:val="2"/>
          </w:tcPr>
          <w:p>
            <w:pPr>
              <w:ind w:left="4780"/>
              <w:spacing w:after="0"/>
              <w:rPr>
                <w:sz w:val="20"/>
                <w:szCs w:val="20"/>
                <w:color w:val="auto"/>
              </w:rPr>
            </w:pPr>
            <w:r>
              <w:rPr>
                <w:rFonts w:ascii="Times New Roman" w:cs="Times New Roman" w:eastAsia="Times New Roman" w:hAnsi="Times New Roman"/>
                <w:sz w:val="16"/>
                <w:szCs w:val="16"/>
                <w:color w:val="auto"/>
              </w:rPr>
              <w:t>F-42</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December 31, 2024 and 2025, the maturities of our operating and finance lease liabilities (excluding short-term leases)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20" w:type="dxa"/>
            <w:vAlign w:val="bottom"/>
          </w:tcPr>
          <w:p>
            <w:pPr>
              <w:spacing w:after="0"/>
              <w:rPr>
                <w:sz w:val="12"/>
                <w:szCs w:val="12"/>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58"/>
        </w:trPr>
        <w:tc>
          <w:tcPr>
            <w:tcW w:w="536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60" w:type="dxa"/>
            <w:vAlign w:val="bottom"/>
            <w:vMerge w:val="restart"/>
          </w:tcPr>
          <w:p>
            <w:pPr>
              <w:ind w:left="524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Finance</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Finance</w:t>
            </w:r>
          </w:p>
        </w:tc>
        <w:tc>
          <w:tcPr>
            <w:tcW w:w="0" w:type="dxa"/>
            <w:vAlign w:val="bottom"/>
          </w:tcPr>
          <w:p>
            <w:pPr>
              <w:spacing w:after="0"/>
              <w:rPr>
                <w:sz w:val="1"/>
                <w:szCs w:val="1"/>
                <w:color w:val="auto"/>
              </w:rPr>
            </w:pPr>
          </w:p>
        </w:tc>
      </w:tr>
      <w:tr>
        <w:trPr>
          <w:trHeight w:val="158"/>
        </w:trPr>
        <w:tc>
          <w:tcPr>
            <w:tcW w:w="5360" w:type="dxa"/>
            <w:vAlign w:val="bottom"/>
            <w:vMerge w:val="continue"/>
          </w:tcPr>
          <w:p>
            <w:pPr>
              <w:spacing w:after="0"/>
              <w:rPr>
                <w:sz w:val="13"/>
                <w:szCs w:val="13"/>
                <w:color w:val="auto"/>
              </w:rPr>
            </w:pPr>
          </w:p>
        </w:tc>
        <w:tc>
          <w:tcPr>
            <w:tcW w:w="98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360" w:type="dxa"/>
            <w:vAlign w:val="bottom"/>
            <w:gridSpan w:val="2"/>
            <w:vMerge w:val="continue"/>
          </w:tcPr>
          <w:p>
            <w:pPr>
              <w:spacing w:after="0"/>
              <w:rPr>
                <w:sz w:val="13"/>
                <w:szCs w:val="13"/>
                <w:color w:val="auto"/>
              </w:rPr>
            </w:pPr>
          </w:p>
        </w:tc>
        <w:tc>
          <w:tcPr>
            <w:tcW w:w="840" w:type="dxa"/>
            <w:vAlign w:val="bottom"/>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220" w:type="dxa"/>
            <w:vAlign w:val="bottom"/>
            <w:vMerge w:val="continue"/>
          </w:tcPr>
          <w:p>
            <w:pPr>
              <w:spacing w:after="0"/>
              <w:rPr>
                <w:sz w:val="13"/>
                <w:szCs w:val="13"/>
                <w:color w:val="auto"/>
              </w:rPr>
            </w:pPr>
          </w:p>
        </w:tc>
        <w:tc>
          <w:tcPr>
            <w:tcW w:w="98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320" w:type="dxa"/>
            <w:vAlign w:val="bottom"/>
            <w:gridSpan w:val="2"/>
            <w:vMerge w:val="continue"/>
          </w:tcPr>
          <w:p>
            <w:pPr>
              <w:spacing w:after="0"/>
              <w:rPr>
                <w:sz w:val="13"/>
                <w:szCs w:val="13"/>
                <w:color w:val="auto"/>
              </w:rPr>
            </w:pPr>
          </w:p>
        </w:tc>
        <w:tc>
          <w:tcPr>
            <w:tcW w:w="88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0" w:type="dxa"/>
            <w:vAlign w:val="bottom"/>
          </w:tcPr>
          <w:p>
            <w:pPr>
              <w:spacing w:after="0"/>
              <w:rPr>
                <w:sz w:val="1"/>
                <w:szCs w:val="1"/>
                <w:color w:val="auto"/>
              </w:rPr>
            </w:pPr>
          </w:p>
        </w:tc>
      </w:tr>
      <w:tr>
        <w:trPr>
          <w:trHeight w:val="19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2,531,918</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16,993</w:t>
            </w: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2,306,078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15,497</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2,420,506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409,668</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1,899,976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13,352</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2,079,015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400,900</w:t>
            </w:r>
          </w:p>
        </w:tc>
        <w:tc>
          <w:tcPr>
            <w:tcW w:w="0" w:type="dxa"/>
            <w:vAlign w:val="bottom"/>
          </w:tcPr>
          <w:p>
            <w:pPr>
              <w:spacing w:after="0"/>
              <w:rPr>
                <w:sz w:val="1"/>
                <w:szCs w:val="1"/>
                <w:color w:val="auto"/>
              </w:rPr>
            </w:pPr>
          </w:p>
        </w:tc>
      </w:tr>
      <w:tr>
        <w:trPr>
          <w:trHeight w:val="198"/>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1,504,174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8,788</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1,725,211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388,453</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1,228,528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1,474,031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379,880</w:t>
            </w:r>
          </w:p>
        </w:tc>
        <w:tc>
          <w:tcPr>
            <w:tcW w:w="0" w:type="dxa"/>
            <w:vAlign w:val="bottom"/>
          </w:tcPr>
          <w:p>
            <w:pPr>
              <w:spacing w:after="0"/>
              <w:rPr>
                <w:sz w:val="1"/>
                <w:szCs w:val="1"/>
                <w:color w:val="auto"/>
              </w:rPr>
            </w:pPr>
          </w:p>
        </w:tc>
      </w:tr>
      <w:tr>
        <w:trPr>
          <w:trHeight w:val="198"/>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1,184,585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374,286</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7,388,703</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8,485</w:t>
            </w:r>
          </w:p>
        </w:tc>
        <w:tc>
          <w:tcPr>
            <w:tcW w:w="2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7,480,193</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5,249,953</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16,859,377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67,352</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16,363,541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7,203,140</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(3,652,655)</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(18,709)</w:t>
            </w:r>
          </w:p>
        </w:tc>
        <w:tc>
          <w:tcPr>
            <w:tcW w:w="2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(4,107,734)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(2,169,965)</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Present value of lease obligations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13,206,722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48,643</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12,255,807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5,033,175</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(1,945,987)</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(13,498)</w:t>
            </w:r>
          </w:p>
        </w:tc>
        <w:tc>
          <w:tcPr>
            <w:tcW w:w="2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(2,163,768)</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(263,203)</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Long-term portion of lease obligations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11,260,735</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35,145</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10,092,039</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4,769,972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As of December 31, 2024 and 2025, the Group had future minimum lease payments for non-cancelable short-term operating leases of RMB497,773 and RMB24,467,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Revenue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Revenue by source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40" w:type="dxa"/>
            <w:vAlign w:val="bottom"/>
            <w:vMerge w:val="restart"/>
          </w:tcPr>
          <w:p>
            <w:pPr>
              <w:ind w:left="612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vMerge w:val="continue"/>
          </w:tcPr>
          <w:p>
            <w:pPr>
              <w:spacing w:after="0"/>
              <w:rPr>
                <w:sz w:val="11"/>
                <w:szCs w:val="11"/>
                <w:color w:val="auto"/>
              </w:rPr>
            </w:pPr>
          </w:p>
        </w:tc>
        <w:tc>
          <w:tcPr>
            <w:tcW w:w="1060" w:type="dxa"/>
            <w:vAlign w:val="bottom"/>
            <w:tcBorders>
              <w:bottom w:val="single" w:sz="8" w:color="auto"/>
            </w:tcBorders>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CCEEFF"/>
            </w:tcBorders>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 sales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49,257,270</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58,234,086</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76,883,876</w:t>
            </w:r>
          </w:p>
        </w:tc>
        <w:tc>
          <w:tcPr>
            <w:tcW w:w="0" w:type="dxa"/>
            <w:vAlign w:val="bottom"/>
          </w:tcPr>
          <w:p>
            <w:pPr>
              <w:spacing w:after="0"/>
              <w:rPr>
                <w:sz w:val="1"/>
                <w:szCs w:val="1"/>
                <w:color w:val="auto"/>
              </w:rPr>
            </w:pPr>
          </w:p>
        </w:tc>
      </w:tr>
      <w:tr>
        <w:trPr>
          <w:trHeight w:val="198"/>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Parts, accessories and after-sales vehicle services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2,337,490</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3,324,321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4,174,135</w:t>
            </w: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of power solution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1,666,346</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2,100,553</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2,464,441</w:t>
            </w:r>
          </w:p>
        </w:tc>
        <w:tc>
          <w:tcPr>
            <w:tcW w:w="0" w:type="dxa"/>
            <w:vAlign w:val="bottom"/>
          </w:tcPr>
          <w:p>
            <w:pPr>
              <w:spacing w:after="0"/>
              <w:rPr>
                <w:sz w:val="1"/>
                <w:szCs w:val="1"/>
                <w:color w:val="auto"/>
              </w:rPr>
            </w:pPr>
          </w:p>
        </w:tc>
      </w:tr>
      <w:tr>
        <w:trPr>
          <w:trHeight w:val="198"/>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2,356,827</w:t>
            </w:r>
          </w:p>
        </w:tc>
        <w:tc>
          <w:tcPr>
            <w:tcW w:w="2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2,072,599</w:t>
            </w: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3,965,058</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55,617,933</w:t>
            </w:r>
          </w:p>
        </w:tc>
        <w:tc>
          <w:tcPr>
            <w:tcW w:w="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65,731,559</w:t>
            </w: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87,487,510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2023, 2024 and 2025, revenue recognised at a point in time was RMB52,943,443, RMB62,271,688 and RMB82,615,445, respectively, and revenue recognised over time was RMB2,674,490, RMB3,459,871 and RMB4,872,065, respectively.</w:t>
      </w:r>
    </w:p>
    <w:p>
      <w:pPr>
        <w:spacing w:after="0" w:line="146" w:lineRule="exact"/>
        <w:rPr>
          <w:sz w:val="20"/>
          <w:szCs w:val="20"/>
          <w:color w:val="auto"/>
        </w:rPr>
      </w:pPr>
    </w:p>
    <w:p>
      <w:pPr>
        <w:ind w:left="280" w:hanging="280"/>
        <w:spacing w:after="0"/>
        <w:tabs>
          <w:tab w:leader="none" w:pos="280" w:val="left"/>
        </w:tabs>
        <w:numPr>
          <w:ilvl w:val="0"/>
          <w:numId w:val="1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Deferred Revenue/Income</w:t>
      </w:r>
    </w:p>
    <w:p>
      <w:pPr>
        <w:spacing w:after="0" w:line="216"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shows a reconciliation in the current reporting period related to carried-forward deferred revenue/income.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40" w:type="dxa"/>
            <w:vAlign w:val="bottom"/>
            <w:vMerge w:val="restart"/>
          </w:tcPr>
          <w:p>
            <w:pPr>
              <w:ind w:left="612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vMerge w:val="continue"/>
          </w:tcPr>
          <w:p>
            <w:pPr>
              <w:spacing w:after="0"/>
              <w:rPr>
                <w:sz w:val="11"/>
                <w:szCs w:val="11"/>
                <w:color w:val="auto"/>
              </w:rPr>
            </w:pPr>
          </w:p>
        </w:tc>
        <w:tc>
          <w:tcPr>
            <w:tcW w:w="1060" w:type="dxa"/>
            <w:vAlign w:val="bottom"/>
            <w:tcBorders>
              <w:bottom w:val="single" w:sz="8" w:color="auto"/>
            </w:tcBorders>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CCEEFF"/>
            </w:tcBorders>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revenue/income–beginning of year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3,561,890</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4,996,043</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6,202,276</w:t>
            </w:r>
          </w:p>
        </w:tc>
        <w:tc>
          <w:tcPr>
            <w:tcW w:w="0" w:type="dxa"/>
            <w:vAlign w:val="bottom"/>
          </w:tcPr>
          <w:p>
            <w:pPr>
              <w:spacing w:after="0"/>
              <w:rPr>
                <w:sz w:val="1"/>
                <w:szCs w:val="1"/>
                <w:color w:val="auto"/>
              </w:rPr>
            </w:pPr>
          </w:p>
        </w:tc>
      </w:tr>
      <w:tr>
        <w:trPr>
          <w:trHeight w:val="198"/>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3,138,343</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3,263,495</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2,335,784</w:t>
            </w: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Recognition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(1,705,134)</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(2,055,119)</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(2,522,435)</w:t>
            </w:r>
          </w:p>
        </w:tc>
        <w:tc>
          <w:tcPr>
            <w:tcW w:w="0" w:type="dxa"/>
            <w:vAlign w:val="bottom"/>
          </w:tcPr>
          <w:p>
            <w:pPr>
              <w:spacing w:after="0"/>
              <w:rPr>
                <w:sz w:val="1"/>
                <w:szCs w:val="1"/>
                <w:color w:val="auto"/>
              </w:rPr>
            </w:pPr>
          </w:p>
        </w:tc>
      </w:tr>
      <w:tr>
        <w:trPr>
          <w:trHeight w:val="198"/>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Effects on foreign exchange adjustment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2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revenue/income–end of year</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4,996,043</w:t>
            </w:r>
          </w:p>
        </w:tc>
        <w:tc>
          <w:tcPr>
            <w:tcW w:w="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6,202,276</w:t>
            </w: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6,019,930</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800"/>
              <w:spacing w:after="0"/>
              <w:rPr>
                <w:sz w:val="20"/>
                <w:szCs w:val="20"/>
                <w:color w:val="auto"/>
              </w:rPr>
            </w:pPr>
            <w:r>
              <w:rPr>
                <w:rFonts w:ascii="Times New Roman" w:cs="Times New Roman" w:eastAsia="Times New Roman" w:hAnsi="Times New Roman"/>
                <w:sz w:val="16"/>
                <w:szCs w:val="16"/>
                <w:color w:val="auto"/>
              </w:rPr>
              <w:t>F-43</w:t>
            </w: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6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Deferred revenue mainly includes the transaction price allocated to the performance obligations that are unsatisfied, or partially satisfied, which mainly arises from the vehicle connectivity services, the extended warranty services, battery swapping services as well as the points offered to customers, with unrecognized deferred revenue balance of RMB6,202,276 and RMB6,019,930 as of December 31, 2024 and 2025, respectively.</w:t>
      </w:r>
    </w:p>
    <w:p>
      <w:pPr>
        <w:spacing w:after="0" w:line="153"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Group expects that approximately 52% of the transaction price allocated to unsatisfied performance obligation as at December 31, 2025 will be recognized as revenue during the period from January 1, 2026 to December 31, 2026. The remaining 48% will be recognized during the period from January 1, 2027 to December 31, 2040.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Manufacturing in collaboration with JAC</w:t>
      </w:r>
    </w:p>
    <w:p>
      <w:pPr>
        <w:spacing w:after="0" w:line="216" w:lineRule="exact"/>
        <w:rPr>
          <w:sz w:val="20"/>
          <w:szCs w:val="20"/>
          <w:color w:val="auto"/>
        </w:rPr>
      </w:pPr>
    </w:p>
    <w:p>
      <w:pPr>
        <w:jc w:val="both"/>
        <w:ind w:firstLine="297"/>
        <w:spacing w:after="0" w:line="262" w:lineRule="auto"/>
        <w:rPr>
          <w:sz w:val="20"/>
          <w:szCs w:val="20"/>
          <w:color w:val="auto"/>
        </w:rPr>
      </w:pPr>
      <w:r>
        <w:rPr>
          <w:rFonts w:ascii="Times New Roman" w:cs="Times New Roman" w:eastAsia="Times New Roman" w:hAnsi="Times New Roman"/>
          <w:sz w:val="16"/>
          <w:szCs w:val="16"/>
          <w:color w:val="auto"/>
        </w:rPr>
        <w:t>Since 2016, the Group have been partnering with Jianghuai Automobile Group Ltd., or JAC, a major state-owned automobile manufacturer in China, for the joint manufacturing of the Group’s vehicles. JAC built the JAC-NIO manufacturing plant in Hefei, Anhui province, the first advanced manufacturing base, or the F1 Plant, for the production of the ES8, the ES6, the EC6, the ET7 and potentially the Group’s other vehicle models. Further, in September 2022, the Group entered into a manufacturing cooperation agreement with JAC, under which JAC will jointly manufacture the ET5 and potentially the Group’s other vehicle models in the second advanced manufacturing base, or the F2 Plant, in NeoPark, a smart electric vehicle industry park at Xinqiao, Hefei. The fees payable to JAC under the above agreements consist of the following: (i) asset depreciation and amortization with regard to the assets JAC invested and to invest for the manufacture of NIO models as actually incurred, payable monthly and subject to adjustment annually; (ii) vehicle production and processing fees recorded on per-vehicle basis, payable monthly and subject to adjustment annually; (iii) purchase amount of certain production materials; and (iv) relevant tax. In addition, the Group also agreed to pay certain compensation up to a capped amount for JAC’s investment in F1 Plant, including for the land, factory and equipment.</w:t>
      </w:r>
    </w:p>
    <w:p>
      <w:pPr>
        <w:spacing w:after="0" w:line="170" w:lineRule="exact"/>
        <w:rPr>
          <w:sz w:val="20"/>
          <w:szCs w:val="20"/>
          <w:color w:val="auto"/>
        </w:rPr>
      </w:pPr>
    </w:p>
    <w:p>
      <w:pPr>
        <w:jc w:val="both"/>
        <w:ind w:firstLine="297"/>
        <w:spacing w:after="0" w:line="261" w:lineRule="auto"/>
        <w:rPr>
          <w:sz w:val="20"/>
          <w:szCs w:val="20"/>
          <w:color w:val="auto"/>
        </w:rPr>
      </w:pPr>
      <w:r>
        <w:rPr>
          <w:rFonts w:ascii="Times New Roman" w:cs="Times New Roman" w:eastAsia="Times New Roman" w:hAnsi="Times New Roman"/>
          <w:sz w:val="16"/>
          <w:szCs w:val="16"/>
          <w:color w:val="auto"/>
        </w:rPr>
        <w:t>In conjunction with the aforementioned manufacturing cooperation agreement, in December 2022, the Group and JAC entered into an Asset Transfer Agreement where the Group agreed to sell and JAC agreed to acquire certain production facilities (the “Transferred Assets”) with a total consideration of RMB1.7 billion inclusive of tax. As of December 31, 2022, JAC had accepted the Transferred Assets and assumed the legal title of the Transferred Assets. Considering that (1) the Transferred Assets are designated to be used for the manufacturing of the Group’s vehicle models only and do not have substantive alternative use; (2) all costs incurred in relation to the Transferred Assets, including depreciation and maintenance costs and relevant tax and surcharges, are undertaken by and charged to the Group; (3) the Group also has the right to obtain the economic benefits from all outputs of the Transferred Assets, management concluded that the Group still retained the control of the Transferred Assets and this transaction was a failed sale and leaseback transaction with no sales of the Transferred Assets recognized by the Group. The Transferred Assets continue to be accounted for as the Group’s property, plant and equipment subject to depreciation. The sales consideration from JAC will be recorded as a financing payable when the Group receives the cash. As of December 31, 2023, JAC had fully paid the consideration. In December 2023, pursuant to an asset transfer agreement with JAC, the Group agreed to purchase the Transferred Assets back at the consideration of RMB1.7 billion, inclusive of tax, and the consideration was paid in full by end of December 2023. In December 2023, the Group also agreed to purchase the production facilities in F1 Plant from JAC at the consideration of RMB1.9 billion, inclusive of tax. As of December 31, 2023, both purchases of the Transferred Assets and F1 Plant have been consummated.</w:t>
      </w:r>
    </w:p>
    <w:p>
      <w:pPr>
        <w:spacing w:after="0" w:line="369"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Following above transaction, the Group ceased aforementioned manufacturing cooperation with JAC since early 2024 and the Group commenced independent manufacturing of all current vehicles models in the F1 Plant and the F2 Plant.</w:t>
      </w:r>
    </w:p>
    <w:p>
      <w:pPr>
        <w:spacing w:after="0" w:line="137"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2023, 2024 and 2025, the aggregate fees to JAC under the above collaboration arrangement were RMB1,318,524, RMB179,375 and nil, respectively, and were included in cost of sales.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Research and Development Expenses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Research and development expenses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20" w:type="dxa"/>
            <w:vAlign w:val="bottom"/>
            <w:vMerge w:val="restart"/>
          </w:tcPr>
          <w:p>
            <w:pPr>
              <w:ind w:left="6300"/>
              <w:spacing w:after="0"/>
              <w:rPr>
                <w:sz w:val="20"/>
                <w:szCs w:val="20"/>
                <w:color w:val="auto"/>
              </w:rPr>
            </w:pPr>
            <w:r>
              <w:rPr>
                <w:rFonts w:ascii="Times New Roman" w:cs="Times New Roman" w:eastAsia="Times New Roman" w:hAnsi="Times New Roman"/>
                <w:sz w:val="13"/>
                <w:szCs w:val="13"/>
                <w:b w:val="1"/>
                <w:bCs w:val="1"/>
                <w:color w:val="auto"/>
              </w:rPr>
              <w:t>​​​</w:t>
            </w:r>
          </w:p>
        </w:tc>
        <w:tc>
          <w:tcPr>
            <w:tcW w:w="2700" w:type="dxa"/>
            <w:vAlign w:val="bottom"/>
            <w:tcBorders>
              <w:bottom w:val="single" w:sz="8" w:color="auto"/>
            </w:tcBorders>
            <w:gridSpan w:val="5"/>
          </w:tcPr>
          <w:p>
            <w:pPr>
              <w:jc w:val="center"/>
              <w:ind w:left="681"/>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420" w:type="dxa"/>
            <w:vAlign w:val="bottom"/>
            <w:vMerge w:val="continue"/>
          </w:tcPr>
          <w:p>
            <w:pPr>
              <w:spacing w:after="0"/>
              <w:rPr>
                <w:sz w:val="11"/>
                <w:szCs w:val="11"/>
                <w:color w:val="auto"/>
              </w:rPr>
            </w:pPr>
          </w:p>
        </w:tc>
        <w:tc>
          <w:tcPr>
            <w:tcW w:w="1020" w:type="dxa"/>
            <w:vAlign w:val="bottom"/>
          </w:tcPr>
          <w:p>
            <w:pPr>
              <w:jc w:val="right"/>
              <w:ind w:right="3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31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compensation</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8,998,415</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8,829,163</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7,641,448</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Design and development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3,019,403</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2,561,769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1,699,274</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720,737</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991,074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710,737</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Rental and related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273,493</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235,535</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Travel and entertainment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135,891</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82,955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55,807</w:t>
            </w:r>
          </w:p>
        </w:tc>
        <w:tc>
          <w:tcPr>
            <w:tcW w:w="0" w:type="dxa"/>
            <w:vAlign w:val="bottom"/>
          </w:tcPr>
          <w:p>
            <w:pPr>
              <w:spacing w:after="0"/>
              <w:rPr>
                <w:sz w:val="1"/>
                <w:szCs w:val="1"/>
                <w:color w:val="auto"/>
              </w:rPr>
            </w:pPr>
          </w:p>
        </w:tc>
      </w:tr>
      <w:tr>
        <w:trPr>
          <w:trHeight w:val="198"/>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283,460</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321,746</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262,192</w:t>
            </w:r>
          </w:p>
        </w:tc>
        <w:tc>
          <w:tcPr>
            <w:tcW w:w="0" w:type="dxa"/>
            <w:vAlign w:val="bottom"/>
          </w:tcPr>
          <w:p>
            <w:pPr>
              <w:spacing w:after="0"/>
              <w:rPr>
                <w:sz w:val="1"/>
                <w:szCs w:val="1"/>
                <w:color w:val="auto"/>
              </w:rPr>
            </w:pPr>
          </w:p>
        </w:tc>
      </w:tr>
      <w:tr>
        <w:trPr>
          <w:trHeight w:val="19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13,431,399</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13,037,304</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10,604,993</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19. Selling, General and Administrative Expenses</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 consist of the following:</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420" w:type="dxa"/>
            <w:vAlign w:val="bottom"/>
            <w:vMerge w:val="restart"/>
          </w:tcPr>
          <w:p>
            <w:pPr>
              <w:ind w:left="6260"/>
              <w:spacing w:after="0"/>
              <w:rPr>
                <w:sz w:val="20"/>
                <w:szCs w:val="20"/>
                <w:color w:val="auto"/>
              </w:rPr>
            </w:pPr>
            <w:r>
              <w:rPr>
                <w:rFonts w:ascii="Times New Roman" w:cs="Times New Roman" w:eastAsia="Times New Roman" w:hAnsi="Times New Roman"/>
                <w:sz w:val="13"/>
                <w:szCs w:val="13"/>
                <w:b w:val="1"/>
                <w:bCs w:val="1"/>
                <w:color w:val="auto"/>
              </w:rPr>
              <w:t>​​​</w:t>
            </w:r>
          </w:p>
        </w:tc>
        <w:tc>
          <w:tcPr>
            <w:tcW w:w="2700" w:type="dxa"/>
            <w:vAlign w:val="bottom"/>
            <w:tcBorders>
              <w:bottom w:val="single" w:sz="8" w:color="auto"/>
            </w:tcBorders>
            <w:gridSpan w:val="5"/>
          </w:tcPr>
          <w:p>
            <w:pPr>
              <w:jc w:val="center"/>
              <w:ind w:left="681"/>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420" w:type="dxa"/>
            <w:vAlign w:val="bottom"/>
            <w:vMerge w:val="continue"/>
          </w:tcPr>
          <w:p>
            <w:pPr>
              <w:spacing w:after="0"/>
              <w:rPr>
                <w:sz w:val="11"/>
                <w:szCs w:val="11"/>
                <w:color w:val="auto"/>
              </w:rPr>
            </w:pPr>
          </w:p>
        </w:tc>
        <w:tc>
          <w:tcPr>
            <w:tcW w:w="1020" w:type="dxa"/>
            <w:vAlign w:val="bottom"/>
          </w:tcPr>
          <w:p>
            <w:pPr>
              <w:jc w:val="right"/>
              <w:ind w:right="3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31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compensation</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5,929,888</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7,405,828</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7,751,345</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Marketing and promotional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2,642,531</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3,408,931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3,124,734</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 and related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1,683,929</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1,930,423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2,153,985</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672,669</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882,860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989,332</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services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550,011</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598,568</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IT consumable, office supply and other low value consumable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581,193</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475,648</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taxes and surcharges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290,456</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409,690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386,251</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Travel and entertainment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218,396</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147,180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101,384</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credit losses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(26,315)</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(46,691)</w:t>
            </w:r>
          </w:p>
        </w:tc>
        <w:tc>
          <w:tcPr>
            <w:tcW w:w="0" w:type="dxa"/>
            <w:vAlign w:val="bottom"/>
          </w:tcPr>
          <w:p>
            <w:pPr>
              <w:spacing w:after="0"/>
              <w:rPr>
                <w:sz w:val="1"/>
                <w:szCs w:val="1"/>
                <w:color w:val="auto"/>
              </w:rPr>
            </w:pPr>
          </w:p>
        </w:tc>
      </w:tr>
      <w:tr>
        <w:trPr>
          <w:trHeight w:val="198"/>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341,798</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456,840</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553,191</w:t>
            </w:r>
          </w:p>
        </w:tc>
        <w:tc>
          <w:tcPr>
            <w:tcW w:w="0" w:type="dxa"/>
            <w:vAlign w:val="bottom"/>
          </w:tcPr>
          <w:p>
            <w:pPr>
              <w:spacing w:after="0"/>
              <w:rPr>
                <w:sz w:val="1"/>
                <w:szCs w:val="1"/>
                <w:color w:val="auto"/>
              </w:rPr>
            </w:pPr>
          </w:p>
        </w:tc>
      </w:tr>
      <w:tr>
        <w:trPr>
          <w:trHeight w:val="19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12,884,556</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15,741,057</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16,087,747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Redeemable non-controlling interests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u w:val="single" w:color="auto"/>
          <w:color w:val="auto"/>
        </w:rPr>
        <w:t>Investment in NIO China</w:t>
      </w:r>
    </w:p>
    <w:p>
      <w:pPr>
        <w:spacing w:after="0" w:line="212" w:lineRule="exact"/>
        <w:rPr>
          <w:sz w:val="20"/>
          <w:szCs w:val="20"/>
          <w:color w:val="auto"/>
        </w:rPr>
      </w:pPr>
    </w:p>
    <w:p>
      <w:pPr>
        <w:jc w:val="both"/>
        <w:ind w:right="20" w:firstLine="297"/>
        <w:spacing w:after="0" w:line="262" w:lineRule="auto"/>
        <w:rPr>
          <w:sz w:val="20"/>
          <w:szCs w:val="20"/>
          <w:color w:val="auto"/>
        </w:rPr>
      </w:pPr>
      <w:r>
        <w:rPr>
          <w:rFonts w:ascii="Times New Roman" w:cs="Times New Roman" w:eastAsia="Times New Roman" w:hAnsi="Times New Roman"/>
          <w:sz w:val="16"/>
          <w:szCs w:val="16"/>
          <w:color w:val="auto"/>
        </w:rPr>
        <w:t>On April 29, 2020, the Company and certain of its subsidiaries entered into definitive agreements, as amended and supplemented in May and June 2020, for investments in NIO China, with a group of investors (collectively, the “Existing Strategic Investors”), pursuant to which, the Existing Strategic Investors agreed to invest an aggregate of RMB7.0 billion in cash into NIO China for its non-controlling interest. In June and July 2020, the Group received RMB5.0 billion. On September 16, 2020, pursuant to a share transfer agreement, the Group repurchased 8.612% equity interests owned by one of the Existing Strategic Investors with the total consideration of RMB511,458, consisting of the actual capital investment plus accrued interest, and the Group assumed the remaining cash consideration obligation of RMB2.0 billion of the Existing Strategic Investors. In February 2021, the Group, purchased from two of the Existing Strategic Investors an aggregate of 3.305% equity interests in NIO China for a total consideration of RMB5.5 billion and subscribed for newly increased registered capital of NIO China at a subscription price of RMB10.0 billion. In September 2021, the Company repurchased 1.418% equity interests from the Existing strategic investors for a total consideration of RMB2.5 billion and recorded an amount of RMB2,023,534 in accretion on redeemable non-controlling interests to redemption value.</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63" w:lineRule="auto"/>
        <w:rPr>
          <w:sz w:val="20"/>
          <w:szCs w:val="20"/>
          <w:color w:val="auto"/>
        </w:rPr>
      </w:pPr>
      <w:r>
        <w:rPr>
          <w:rFonts w:ascii="Times New Roman" w:cs="Times New Roman" w:eastAsia="Times New Roman" w:hAnsi="Times New Roman"/>
          <w:sz w:val="16"/>
          <w:szCs w:val="16"/>
          <w:color w:val="auto"/>
        </w:rPr>
        <w:t>Each of the Existing Strategic Investors has the right to request the Group to redeem their equity interests in NIO China at an agreed price in case of NIO China’s failure to submit the application for a qualified initial public offering in 48 months commencing from June 29, 2020, failure to complete a qualified initial public offering in 60 months commencing from June 29, 2020, or other events as set forth in the share purchase agreement. The agreed price is calculated based on each non-controlling shareholder’s cash investment to NIO China plus an annual interest rate of 8.5%. On March 30, 2024, the Company and certain of its subsidiaries entered into a shareholders agreement with the Existing Strategic Investors, which amended certain shareholders’ rights in NIO China, including the redemption rights. In particular, if NIO China fails to complete the listing application or to issue the material assets restructuring plan related to the qualified initial public offering before December 31, 2027, or fails to complete the qualified initial public offering before December 31, 2028, the Existing Strategic Investors may request the Company to redeem the equity interest in NIO China then held by them.</w:t>
      </w:r>
    </w:p>
    <w:p>
      <w:pPr>
        <w:spacing w:after="0" w:line="330"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As the redemption is at the holders’ option and is upon the occurrence of the events that are not solely within the control of the Company, these Existing Strategic Investors’ contributions in NIO China were classified as mezzanine equity and is subsequently accreted to the redemption price using the effective interest method with accretion recorded as a reduction of additional paid in capital.</w:t>
      </w:r>
    </w:p>
    <w:p>
      <w:pPr>
        <w:spacing w:after="0" w:line="116"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6"/>
          <w:szCs w:val="16"/>
          <w:color w:val="auto"/>
        </w:rPr>
        <w:t>On September 29, 2024, pursuant to definitive investment agreements, a group of new investors (the “New Strategic Investors”) agreed to invest an aggregate of RMB3.3 billion in cash to subscribe for newly issued shares of NIO China. Concurrently, the Group agreed to invest an aggregate of RMB10 billion in cash to subscribe for newly issued shares of NIO China. Upon completion of this transaction, the Group held 88.25% of controlling equity interest in NIO China, while the New Strategic Investors together with the Existing Strategic Investors collectively held the remaining 11.75% of equity interest in NIO China. In addition, NIO also had the right to invest an additional RMB20 billion in NIO China by December 31, 2025, based on the same price and terms of this transaction.</w:t>
      </w:r>
    </w:p>
    <w:p>
      <w:pPr>
        <w:spacing w:after="0" w:line="138"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In July 2025, the Group entered into a definitive agreement to exercise its right to make an additional investment of RMB20 billion in NIO China, pursuant to the definitive investment agreement entered into with the New Strategic Investors. After the completion of this additional investment, the Group held a controlling equity interest of 91.8% in NIO China.</w:t>
      </w:r>
    </w:p>
    <w:p>
      <w:pPr>
        <w:spacing w:after="0" w:line="116"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As of December 31, 2025, the Group has completed its investment of RMB10 billion and has additionally invested RMB20 billion pursuant to the definitive investment agreements entered into with the New Strategic Investors, and the Company has received RMB2.8 billion from certain New Strategic Investors. Each of the New Strategic Investors has the right to request the Group to redeem their equity interests in NIO China at an agreed price in case of NIO China’s failure to complete the listing application or to issue the material assets restructuring plan related to the qualified initial public offering before December 31, 2027, failure to complete a qualified initial public offering before December 31, 2028, or other events as set forth in the share purchase agreement. The agreed price is calculated based on each non-controlling shareholder’s cash investment to NIO China plus an annual interest rate of 7.5%, or the market value in the latest financing activities, if any.</w:t>
      </w:r>
    </w:p>
    <w:p>
      <w:pPr>
        <w:spacing w:after="0" w:line="125"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For the years ended December 31, 2023, 2024 and 2025, the Company recorded RMB303,163, RMB329,939 and RMB567,877 of accretion on redeemable non-controlling interests to redemption value. As of December 31, 2024 and 2025, the balance of redeemable non-controlling interests was RMB6,985,787 and RMB7,553,664, respectively.</w:t>
      </w:r>
    </w:p>
    <w:p>
      <w:pPr>
        <w:spacing w:after="0" w:line="153"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In December 2025 and January 2026, the Company entered into agreements with certain investors of NIO China to purchase their holdings of approximately 1.08% of the equity interest of NIO China, which will be settled in three tranches by September 2026, for a total consideration of no more than RMB1.002 billion, subject to certain closing conditions. Following the completion of the purchases, the Company expects its controlling equity interest in NIO China to increase to 92.9%.</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u w:val="single" w:color="auto"/>
          <w:color w:val="auto"/>
        </w:rPr>
        <w:t>Investment in PE CNHC</w:t>
      </w:r>
    </w:p>
    <w:p>
      <w:pPr>
        <w:spacing w:after="0" w:line="212"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On May 31, 2024, the Company and certain of its subsidiaries entered into definitive agreements for the investment in PE CNHC with an investor (the “PE Strategic Investor”), pursuant to which, the PE Strategic Investor agreed to invest an aggregate of RMB1.0 billion in cash into PE CNHC for its non-controlling interest, representing 10% equity interests in PE CNHC. In connection with this transaction, PE CNHC also issued warrants to PE Strategic Investor which entitle PE Strategic Investor the right, at its sole discretion, to purchase additional RMB0.5 billion equity interests of PE CNHC at the same price, before PE CNHC’s next round of financing (the “Warrants”). In June 2024 and August 2025, the Group received RMB0.5 billion and RMB0.5 billion, respectively. As of December 31, 2024 and 2025, the Company held 90.91% controlling equity interests in PE CNHC.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PE Strategic Investor has the right to request the Group to redeem their equity interests in PE CNHC at an agreed price after 60 months commencing from June 19, 2024, or other events as set forth in the share purchase agreement. The agreed price is calculated based on each non-controlling shareholder’s cash investment to PE CNHC plus an annual interest rate of 5%.</w:t>
      </w:r>
    </w:p>
    <w:p>
      <w:pPr>
        <w:spacing w:after="0" w:line="153"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As the redemption is at the holders’ option and is upon the occurrence of the events that are not solely within the control of the Company, the PE Strategic Investor’s contributions in PE CNHC were classified as mezzanine equity and is subsequently accreted to the redemption price using the effective interest method with accretion recorded as a reduction of additional paid in capital.</w:t>
      </w:r>
    </w:p>
    <w:p>
      <w:pPr>
        <w:spacing w:after="0" w:line="153"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For the Warrants, the Group classified the Warrants as financial liabilities under ASC 480 as the Warrants conditionally obligated the Group to ultimately transfer assets. The proceeds received by PE CNHC from PE Strategic Investor’s investment were allocated first to the warrant liabilities based on their fair value and the residual was allocated to the mezzanine equity.</w:t>
      </w:r>
    </w:p>
    <w:p>
      <w:pPr>
        <w:spacing w:after="0" w:line="153"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For the years ended December 31, 2024 and 2025, the Group recorded an accretion of RMB17,577 and RMB41,980 on redeemable non-controlling interests to redemption value. As of December 31, 2024 and 2025, the balance of redeemable non-controlling interests was RMB456,210 and RMB998,190, respectively, and the balance of the warrant liabilities was RMB53,146 and RMB72,409,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Ordinary Shares</w:t>
      </w:r>
    </w:p>
    <w:p>
      <w:pPr>
        <w:spacing w:after="0" w:line="216"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Upon inception, each ordinary share was issued at a par value of US$0.00025 per share. Various numbers of ordinary shares have been issued to share-based compensation award recipients since inception. Each Class A ordinary share shall entitle the holder thereof to one (1) vote on all matters subject to vote at general meetings of the Company, each Class B ordinary share shall entitle the holder thereof to four (4) votes on all matters subject to vote at general meetings of the Company, and each Class C ordinary share shall entitle the holder thereof to eight (8) votes on all matters subject to vote at general meetings of the Company.</w:t>
      </w:r>
    </w:p>
    <w:p>
      <w:pPr>
        <w:spacing w:after="0" w:line="161"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Each Class C ordinary share is convertible into one Class A ordinary share, whereas Class A ordinary shares are not convertible into Class C ordinary shares under any circumstances. Upon any transfer of Class C ordinary shares by a holder thereof to any person or entity which is not an affiliate of such holder, such Class C ordinary shares are automatically and immediately converted into the equal number of Class A ordinary shares.</w:t>
      </w:r>
    </w:p>
    <w:p>
      <w:pPr>
        <w:spacing w:after="0" w:line="153"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As of December 31, 2024 and 2025, the authorized share capital of the Company is US$1,000 divided into 4,000,000,000 shares, comprising of: 2,632,030,222 Class A Ordinary Shares, nil Class B Ordinary Shares, 148,500,000 Class C Ordinary Shares, and 1,219,469,778 shares with each of such class or classes as the board of directors may determine.</w:t>
      </w:r>
    </w:p>
    <w:p>
      <w:pPr>
        <w:spacing w:after="0" w:line="153"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In 2020, the Company consummated the follow-on offerings of a total of 82,800,000, 101,775,000 and 78,200,000 American depositary shares (the “ADSs”) at a price of US$ 5.95, US$17.00 and US$ 39.00 per ADS, respectively.</w:t>
      </w:r>
    </w:p>
    <w:p>
      <w:pPr>
        <w:spacing w:after="0" w:line="137"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In 2021, the Company completed the issuance of 53,292,401 ADSs with net proceeds of RMB12,677,554 (US$1,974,000) through an at-the-market offering.</w:t>
      </w:r>
    </w:p>
    <w:p>
      <w:pPr>
        <w:spacing w:after="0" w:line="137"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In 2023, the Company completed a US$2,943.5 million strategic equity investment from CYVN Investments RSC Ltd, an affiliate of CYVN Holdings L.L.C., an investment vehicle majority owned by the Abu Dhabi Government (collectively referred to as “CYVN Entities”) which subscribed 378,695,543 newly issued Class A ordinary shares from the Company.</w:t>
      </w:r>
    </w:p>
    <w:p>
      <w:pPr>
        <w:spacing w:after="0" w:line="153"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Upon the Company’s listing of Class A ordinary shares on the Hong Kong Stock Exchange, all of the Company’s Class B ordinary shares were converted to Class A ordinary shares pursuant to the conversion notice delivered by the relevant shareholders. The shareholding structure of Class B ordinary shares and provisions related to Class B ordinary shares have been removed in the Company’s amended and restated memorandum and articles of association, as approved by the Company’s shareholders at the annual general meeting held at August 25, 2022.</w:t>
      </w:r>
    </w:p>
    <w:p>
      <w:pPr>
        <w:spacing w:after="0" w:line="159"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In May 2024, the Company participated as a lender in the borrowing and lending program (the “Share Lending Arrangement”) initiated by the Singapore Exchange Securities Trading Limited (the “SGX”), by agreeing to lend up to 2,000,000 of the Company’s Class A ordinary shares to The Central Depositary (Pte) Limited (“CDP”).</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There was no fixed lending period. Both the Company and CDP can terminate the share lending by issuing termination notification. The Company did not receive any proceeds from entering into this Share Lending Arrangement and was entitled to receive lending fee during the lending period. Upon the termination of share lending, CDP is required to re-deliver loaned shares to the Company within the re-delivery period, with no option for paying cash as the settlement.</w:t>
      </w:r>
    </w:p>
    <w:p>
      <w:pPr>
        <w:spacing w:after="0" w:line="122"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In accordance with ASC 815-40, the Company has accounted for the Share Lending Arrangement as equity instrument. Shares lent under the arrangement were issued out of treasury stock, and concurrently the Company recognized a right to receive returned shares from CDP as a debit to additional paid-in-capital, measured based on the fair value of shares issued. No subsequent remeasurement is required for this equity classified right to receive shares, which would be transferred to treasury stock when shares are returned. The lending fee received from the Share Lending Arrangement is recognized as capital contribution upon receipt.</w:t>
      </w:r>
    </w:p>
    <w:p>
      <w:pPr>
        <w:spacing w:after="0" w:line="124"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As of December 31, 2024 and 2025, the total amount released from treasury shares to additional paid-in capital was RMB105.7 million RMB115.4 million, respectively. The lending fee received during the lending period was immaterial.</w:t>
      </w:r>
    </w:p>
    <w:p>
      <w:pPr>
        <w:spacing w:after="0" w:line="112"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In November and December 2024, the Company issued 27,690,071 ADSs to exchange the convertible notes as disclosed in Note 12 (iv) through treasury shares.</w:t>
      </w:r>
    </w:p>
    <w:p>
      <w:pPr>
        <w:spacing w:after="0" w:line="100"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In April 2025, the Company completed the offering of 136,800,000 class A ordinary shares of the Company at an offering price of HK$29.46 per share, with total offering consideration of HK$4,030,130 (RMB3,684,893).</w:t>
      </w:r>
    </w:p>
    <w:p>
      <w:pPr>
        <w:spacing w:after="0" w:line="100"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In September 2025, the Company completed an offering of 188,095,918 ADSs and 20,995,000 Class A ordinary shares of the Company at an offering price of US$5.57 per ADS, and HK$43.36 per Class A ordinary share, respectively, with total offering consideration of US$1,047,694 (RMB7,444,392) and HK$910,343 (RMB831,195).</w:t>
      </w:r>
    </w:p>
    <w:p>
      <w:pPr>
        <w:spacing w:after="0" w:line="128"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As of December 31, 2024 and 2025, 4,000,000,000 ordinary shares were authorized, 2,094,978,828 shares and 2,477,224,852 shares were issued, and 2,091,505,895 shares and 2,474,273,324 shares were outstanding, respectively. The share number excludes 51,467,289 Class A Ordinary Shares issued to the depositary bank for bulk issuance of ADSs reserved for future issuance upon the exercise or vesting of awards granted under the Company’s share incentive plans.</w:t>
      </w:r>
    </w:p>
    <w:p>
      <w:pPr>
        <w:spacing w:after="0" w:line="155" w:lineRule="exact"/>
        <w:rPr>
          <w:sz w:val="20"/>
          <w:szCs w:val="20"/>
          <w:color w:val="auto"/>
        </w:rPr>
      </w:pPr>
    </w:p>
    <w:p>
      <w:pPr>
        <w:ind w:left="280" w:hanging="280"/>
        <w:spacing w:after="0"/>
        <w:tabs>
          <w:tab w:leader="none" w:pos="280" w:val="left"/>
        </w:tabs>
        <w:numPr>
          <w:ilvl w:val="0"/>
          <w:numId w:val="1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w:t>
      </w:r>
    </w:p>
    <w:p>
      <w:pPr>
        <w:spacing w:after="0" w:line="216"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Compensation expenses recognized for share-based awards granted by the Company were as follows:</w:t>
      </w:r>
    </w:p>
    <w:p>
      <w:pPr>
        <w:spacing w:after="0" w:line="21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129"/>
        </w:trPr>
        <w:tc>
          <w:tcPr>
            <w:tcW w:w="5120" w:type="dxa"/>
            <w:vAlign w:val="bottom"/>
            <w:gridSpan w:val="2"/>
          </w:tcPr>
          <w:p>
            <w:pPr>
              <w:ind w:left="50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9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83,972</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71,779</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57,954</w:t>
            </w:r>
          </w:p>
        </w:tc>
      </w:tr>
      <w:tr>
        <w:trPr>
          <w:trHeight w:val="198"/>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1,517,206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1,296,136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1,129,859</w:t>
            </w:r>
          </w:p>
        </w:tc>
      </w:tr>
      <w:tr>
        <w:trPr>
          <w:trHeight w:val="198"/>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767,863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560,597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602,914</w:t>
            </w:r>
          </w:p>
        </w:tc>
      </w:tr>
      <w:tr>
        <w:trPr>
          <w:trHeight w:val="19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2,369,041</w:t>
            </w:r>
          </w:p>
        </w:tc>
        <w:tc>
          <w:tcPr>
            <w:tcW w:w="16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1,928,512</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1,790,727</w:t>
            </w:r>
          </w:p>
        </w:tc>
      </w:tr>
      <w:tr>
        <w:trPr>
          <w:trHeight w:val="20"/>
        </w:trPr>
        <w:tc>
          <w:tcPr>
            <w:tcW w:w="5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There was no income tax benefit recognized in the consolidated statements of comprehensive loss for share-based compensation expenses and the Group did not capitalize any of the share-based compensation expenses as part of the cost of any assets in the years ended December 31, 2023, 2024 and 2025.</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 NIO Incentive Plans</w:t>
      </w:r>
    </w:p>
    <w:p>
      <w:pPr>
        <w:spacing w:after="0" w:line="216"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In 2015, the Company adopted the 2015 Stock Incentive Plan (the “2015 Plan”), which allows the plan administrator to grant share options and restricted shares of the Company to its employees, directors, and consultants.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right="20" w:firstLine="297"/>
        <w:spacing w:after="0" w:line="268" w:lineRule="auto"/>
        <w:rPr>
          <w:sz w:val="20"/>
          <w:szCs w:val="20"/>
          <w:color w:val="auto"/>
        </w:rPr>
      </w:pPr>
      <w:r>
        <w:rPr>
          <w:rFonts w:ascii="Times New Roman" w:cs="Times New Roman" w:eastAsia="Times New Roman" w:hAnsi="Times New Roman"/>
          <w:sz w:val="16"/>
          <w:szCs w:val="16"/>
          <w:color w:val="auto"/>
        </w:rPr>
        <w:t>The Company granted both share options and restricted shares to the employees. In 2016, 2017, 2018 and 2024, the Board of Directors further approved the 2016 Stock Incentive Plan (the “2016 Plan”), the 2017 Stock Incentive Plan (the “2017 Plan”), the 2018 Stock Incentive Plan (the “2018 Plan”) and the 2024 Stock Incentive Plan (the “2024 Plan”), which provide for share options and restricted shares. The share options and the restricted shares vest immediately or over a period of one to five years of continuous service and achieved performance target and the stock options are exercisable over a maximum period of 10 years.</w:t>
      </w:r>
    </w:p>
    <w:p>
      <w:pPr>
        <w:spacing w:after="0" w:line="161"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The Group recognized the share options and restricted shares of the Company granted to the employees of the Group on a straight-line basis over the vesting term of the awards, net of estimated forfeitures.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 Share Options</w:t>
      </w:r>
    </w:p>
    <w:p>
      <w:pPr>
        <w:spacing w:after="0" w:line="214"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The following table summarizes activities of the Company’s share options under the 2016, 2017 and 2018 Plans for the year ended December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0" w:type="dxa"/>
            <w:vAlign w:val="bottom"/>
            <w:gridSpan w:val="2"/>
          </w:tcPr>
          <w:p>
            <w:pPr>
              <w:ind w:left="58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restart"/>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Weighted</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6"/>
        </w:trPr>
        <w:tc>
          <w:tcPr>
            <w:tcW w:w="5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4"/>
              <w:spacing w:after="0" w:line="136"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6"/>
        </w:trPr>
        <w:tc>
          <w:tcPr>
            <w:tcW w:w="6000" w:type="dxa"/>
            <w:vAlign w:val="bottom"/>
            <w:gridSpan w:val="2"/>
            <w:vMerge w:val="restart"/>
          </w:tcPr>
          <w:p>
            <w:pPr>
              <w:ind w:left="58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right="2"/>
              <w:spacing w:after="0" w:line="136" w:lineRule="exact"/>
              <w:rPr>
                <w:sz w:val="20"/>
                <w:szCs w:val="20"/>
                <w:color w:val="auto"/>
              </w:rPr>
            </w:pPr>
            <w:r>
              <w:rPr>
                <w:rFonts w:ascii="Times New Roman" w:cs="Times New Roman" w:eastAsia="Times New Roman" w:hAnsi="Times New Roman"/>
                <w:sz w:val="13"/>
                <w:szCs w:val="13"/>
                <w:b w:val="1"/>
                <w:bCs w:val="1"/>
                <w:color w:val="auto"/>
              </w:rPr>
              <w:t>Options</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center"/>
              <w:ind w:right="24"/>
              <w:spacing w:after="0" w:line="136"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4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58"/>
        </w:trPr>
        <w:tc>
          <w:tcPr>
            <w:tcW w:w="6000" w:type="dxa"/>
            <w:vAlign w:val="bottom"/>
            <w:gridSpan w:val="2"/>
            <w:vMerge w:val="continue"/>
          </w:tcPr>
          <w:p>
            <w:pPr>
              <w:spacing w:after="0"/>
              <w:rPr>
                <w:sz w:val="13"/>
                <w:szCs w:val="13"/>
                <w:color w:val="auto"/>
              </w:rPr>
            </w:pPr>
          </w:p>
        </w:tc>
        <w:tc>
          <w:tcPr>
            <w:tcW w:w="86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gridSpan w:val="2"/>
            <w:vMerge w:val="continue"/>
          </w:tcPr>
          <w:p>
            <w:pPr>
              <w:spacing w:after="0"/>
              <w:rPr>
                <w:sz w:val="13"/>
                <w:szCs w:val="13"/>
                <w:color w:val="auto"/>
              </w:rPr>
            </w:pPr>
          </w:p>
        </w:tc>
        <w:tc>
          <w:tcPr>
            <w:tcW w:w="74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Contractual Life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Value</w:t>
            </w: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4"/>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1"/>
                <w:szCs w:val="11"/>
                <w:color w:val="auto"/>
              </w:rPr>
            </w:pPr>
          </w:p>
        </w:tc>
        <w:tc>
          <w:tcPr>
            <w:tcW w:w="10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 Years</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8"/>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52,060,649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100,420</w:t>
            </w:r>
          </w:p>
        </w:tc>
        <w:tc>
          <w:tcPr>
            <w:tcW w:w="0" w:type="dxa"/>
            <w:vAlign w:val="bottom"/>
          </w:tcPr>
          <w:p>
            <w:pPr>
              <w:spacing w:after="0"/>
              <w:rPr>
                <w:sz w:val="1"/>
                <w:szCs w:val="1"/>
                <w:color w:val="auto"/>
              </w:rPr>
            </w:pPr>
          </w:p>
        </w:tc>
      </w:tr>
      <w:tr>
        <w:trPr>
          <w:trHeight w:val="198"/>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(7,965,157)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Cancelled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Expired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43,268,637</w:t>
            </w:r>
          </w:p>
        </w:tc>
        <w:tc>
          <w:tcPr>
            <w:tcW w:w="1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4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110,655</w:t>
            </w: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Vested and expected to vest as of December 31, 2025</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43,197,261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2.25</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110,462</w:t>
            </w:r>
          </w:p>
        </w:tc>
        <w:tc>
          <w:tcPr>
            <w:tcW w:w="0" w:type="dxa"/>
            <w:vAlign w:val="bottom"/>
          </w:tcPr>
          <w:p>
            <w:pPr>
              <w:spacing w:after="0"/>
              <w:rPr>
                <w:sz w:val="1"/>
                <w:szCs w:val="1"/>
                <w:color w:val="auto"/>
              </w:rPr>
            </w:pPr>
          </w:p>
        </w:tc>
      </w:tr>
      <w:tr>
        <w:trPr>
          <w:trHeight w:val="215"/>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Exercisable as of December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41,781,637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106,626</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The aggregate intrinsic value in the table above represents the aggregate difference between the Company’s closing stock price on the last trading day of the period and the exercise price for the underlying awards.</w:t>
      </w:r>
    </w:p>
    <w:p>
      <w:pPr>
        <w:spacing w:after="0" w:line="137"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The total intrinsic value of options exercised during the years ended December 31, 2023, 2024 and 2025 were RMB279,327, RMB145,022 and RMB226,960, respectively.</w:t>
      </w:r>
    </w:p>
    <w:p>
      <w:pPr>
        <w:spacing w:after="0" w:line="137"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The weighted-average grant date fair value for options granted under the Company’s 2016, 2017 and 2018 Plans during the years ended December 31, 2023 and 2024 was US$6.66 and US$3.64 respectively, computed using the binomial option pricing model with the assumptions (or ranges thereof) in the following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60" w:type="dxa"/>
            <w:vAlign w:val="bottom"/>
            <w:tcBorders>
              <w:bottom w:val="single" w:sz="8" w:color="CCEEFF"/>
            </w:tcBorders>
          </w:tcPr>
          <w:p>
            <w:pPr>
              <w:ind w:left="566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bottom w:val="single" w:sz="8" w:color="auto"/>
            </w:tcBorders>
            <w:gridSpan w:val="2"/>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Borders>
              <w:bottom w:val="single" w:sz="8" w:color="auto"/>
            </w:tcBorders>
            <w:gridSpan w:val="2"/>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price (US$)</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2.39</w:t>
            </w:r>
          </w:p>
        </w:tc>
        <w:tc>
          <w:tcPr>
            <w:tcW w:w="3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2.39</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60" w:type="dxa"/>
            <w:vAlign w:val="bottom"/>
            <w:shd w:val="clear" w:color="auto" w:fill="CCEEFF"/>
          </w:tcPr>
          <w:p>
            <w:pPr>
              <w:spacing w:after="0"/>
              <w:rPr>
                <w:sz w:val="16"/>
                <w:szCs w:val="16"/>
                <w:color w:val="auto"/>
              </w:rPr>
            </w:pPr>
          </w:p>
        </w:tc>
      </w:tr>
      <w:tr>
        <w:trPr>
          <w:trHeight w:val="19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the ordinary shares on the date of option grant (US$)</w:t>
            </w:r>
          </w:p>
        </w:tc>
        <w:tc>
          <w:tcPr>
            <w:tcW w:w="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8.51</w:t>
            </w:r>
          </w:p>
        </w:tc>
        <w:tc>
          <w:tcPr>
            <w:tcW w:w="3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260" w:type="dxa"/>
            <w:vAlign w:val="bottom"/>
          </w:tcPr>
          <w:p>
            <w:pPr>
              <w:spacing w:after="0"/>
              <w:rPr>
                <w:sz w:val="17"/>
                <w:szCs w:val="17"/>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5.48</w:t>
            </w:r>
          </w:p>
        </w:tc>
        <w:tc>
          <w:tcPr>
            <w:tcW w:w="3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60" w:type="dxa"/>
            <w:vAlign w:val="bottom"/>
          </w:tcPr>
          <w:p>
            <w:pPr>
              <w:spacing w:after="0"/>
              <w:rPr>
                <w:sz w:val="17"/>
                <w:szCs w:val="17"/>
                <w:color w:val="auto"/>
              </w:rPr>
            </w:pPr>
          </w:p>
        </w:tc>
      </w:tr>
      <w:tr>
        <w:trPr>
          <w:trHeight w:val="19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3.70 %</w:t>
            </w:r>
          </w:p>
        </w:tc>
        <w:tc>
          <w:tcPr>
            <w:tcW w:w="3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6"/>
                <w:szCs w:val="16"/>
                <w:color w:val="auto"/>
              </w:rPr>
              <w:t>3.70 %</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4.14 %</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rPr>
              <w:t>4.14 %</w:t>
            </w:r>
          </w:p>
        </w:tc>
      </w:tr>
      <w:tr>
        <w:trPr>
          <w:trHeight w:val="19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Exercise multiple</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color w:val="auto"/>
              </w:rPr>
              <w:t>2.5 x</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2.5 x</w:t>
            </w:r>
          </w:p>
        </w:tc>
      </w:tr>
      <w:tr>
        <w:trPr>
          <w:trHeight w:val="19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6"/>
                <w:szCs w:val="16"/>
                <w:color w:val="auto"/>
              </w:rPr>
              <w:t>0 %</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rPr>
              <w:t>0 %</w:t>
            </w:r>
          </w:p>
        </w:tc>
      </w:tr>
      <w:tr>
        <w:trPr>
          <w:trHeight w:val="19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57 %</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74"/>
              <w:spacing w:after="0"/>
              <w:rPr>
                <w:sz w:val="20"/>
                <w:szCs w:val="20"/>
                <w:color w:val="auto"/>
              </w:rPr>
            </w:pPr>
            <w:r>
              <w:rPr>
                <w:rFonts w:ascii="Times New Roman" w:cs="Times New Roman" w:eastAsia="Times New Roman" w:hAnsi="Times New Roman"/>
                <w:sz w:val="16"/>
                <w:szCs w:val="16"/>
                <w:color w:val="auto"/>
              </w:rPr>
              <w:t>62 %</w:t>
            </w:r>
          </w:p>
        </w:tc>
      </w:tr>
      <w:tr>
        <w:trPr>
          <w:trHeight w:val="19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forfeiture rate (post-vesting)</w:t>
            </w: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6"/>
                <w:szCs w:val="16"/>
                <w:color w:val="auto"/>
              </w:rPr>
              <w:t>1.8 %</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rPr>
              <w:t>6.09 %</w:t>
            </w:r>
          </w:p>
        </w:tc>
      </w:tr>
    </w:tbl>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For the year ended December 31, 2025, no options were granted under the Company’s 2016, 2017 and 2018 Plans.</w:t>
      </w:r>
    </w:p>
    <w:p>
      <w:pPr>
        <w:spacing w:after="0" w:line="212"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In December 2025, the Company extended the contractual term of certain stock options under the 2015 Plan and 2018 Plan. These modification did not have material impact to the consolidated financial statements.</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right="20" w:firstLine="297"/>
        <w:spacing w:after="0" w:line="271" w:lineRule="auto"/>
        <w:rPr>
          <w:sz w:val="20"/>
          <w:szCs w:val="20"/>
          <w:color w:val="auto"/>
        </w:rPr>
      </w:pPr>
      <w:r>
        <w:rPr>
          <w:rFonts w:ascii="Times New Roman" w:cs="Times New Roman" w:eastAsia="Times New Roman" w:hAnsi="Times New Roman"/>
          <w:sz w:val="16"/>
          <w:szCs w:val="16"/>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December 31, 2025, the unrecognized compensation expenses related to the stock options was not material.</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(ii) Restricted shares</w:t>
      </w:r>
    </w:p>
    <w:p>
      <w:pPr>
        <w:spacing w:after="0" w:line="214"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The fair value of each restricted share granted with service conditions is estimated based on the fair market value of the underlying ordinary shares of the Company on the date of grant.</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summarizes activities of the Company’s restricted shares under the 2016, 2017, 2018 and 2024 Plan for the year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040" w:type="dxa"/>
            <w:vAlign w:val="bottom"/>
            <w:gridSpan w:val="2"/>
            <w:vMerge w:val="restart"/>
          </w:tcPr>
          <w:p>
            <w:pPr>
              <w:ind w:left="4920"/>
              <w:spacing w:after="0"/>
              <w:rPr>
                <w:sz w:val="20"/>
                <w:szCs w:val="20"/>
                <w:color w:val="auto"/>
              </w:rPr>
            </w:pPr>
            <w:r>
              <w:rPr>
                <w:rFonts w:ascii="Times New Roman" w:cs="Times New Roman" w:eastAsia="Times New Roman" w:hAnsi="Times New Roman"/>
                <w:sz w:val="13"/>
                <w:szCs w:val="13"/>
                <w:b w:val="1"/>
                <w:bCs w:val="1"/>
                <w:color w:val="auto"/>
              </w:rPr>
              <w: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 Restricted</w:t>
            </w:r>
          </w:p>
        </w:tc>
        <w:tc>
          <w:tcPr>
            <w:tcW w:w="100" w:type="dxa"/>
            <w:vAlign w:val="bottom"/>
          </w:tcPr>
          <w:p>
            <w:pPr>
              <w:spacing w:after="0"/>
              <w:rPr>
                <w:sz w:val="12"/>
                <w:szCs w:val="12"/>
                <w:color w:val="auto"/>
              </w:rPr>
            </w:pPr>
          </w:p>
        </w:tc>
        <w:tc>
          <w:tcPr>
            <w:tcW w:w="144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58"/>
        </w:trPr>
        <w:tc>
          <w:tcPr>
            <w:tcW w:w="5040" w:type="dxa"/>
            <w:vAlign w:val="bottom"/>
            <w:gridSpan w:val="2"/>
            <w:vMerge w:val="continue"/>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Shares Outstanding</w:t>
            </w:r>
          </w:p>
        </w:tc>
        <w:tc>
          <w:tcPr>
            <w:tcW w:w="154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 Grant Date Fair Value</w:t>
            </w: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tcBorders>
          </w:tcPr>
          <w:p>
            <w:pPr>
              <w:jc w:val="right"/>
              <w:ind w:right="529"/>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61,852,743</w:t>
            </w:r>
          </w:p>
        </w:tc>
        <w:tc>
          <w:tcPr>
            <w:tcW w:w="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198"/>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31,294,180</w:t>
            </w:r>
          </w:p>
        </w:tc>
        <w:tc>
          <w:tcPr>
            <w:tcW w:w="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(28,389,949)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0" w:type="dxa"/>
            <w:vAlign w:val="bottom"/>
          </w:tcPr>
          <w:p>
            <w:pPr>
              <w:spacing w:after="0"/>
              <w:rPr>
                <w:sz w:val="1"/>
                <w:szCs w:val="1"/>
                <w:color w:val="auto"/>
              </w:rPr>
            </w:pPr>
          </w:p>
        </w:tc>
      </w:tr>
      <w:tr>
        <w:trPr>
          <w:trHeight w:val="198"/>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(16,761,193)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r>
        <w:trPr>
          <w:trHeight w:val="19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47,995,781</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As of December 31, 2025, there was RMB1,459,664 of unrecognized compensation expenses related to restricted shares granted to the employees, which is expected to be recognized over a weighted-average period of 2.72 years, respectively.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(b) Share-based compensation of subsidiaries</w:t>
      </w:r>
    </w:p>
    <w:p>
      <w:pPr>
        <w:spacing w:after="0" w:line="216"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In November 2021, a subsidiary of the Company (“Subsidiary A”) adopted the 2021 Share Incentive Plan (the “A Plan”) which allows Subsidiary A to grant share options to its employees.</w:t>
      </w:r>
    </w:p>
    <w:p>
      <w:pPr>
        <w:spacing w:after="0" w:line="137"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Under the A plan, the share options have a contractual term of ten years from the grant date, and vest over a period of four years of continuous service, one fourth (1/4) of which vest upon the first anniversary of the stated vesting commencement date and the remaining vest ratably over the following 36 months.</w:t>
      </w:r>
    </w:p>
    <w:p>
      <w:pPr>
        <w:spacing w:after="0" w:line="153" w:lineRule="exact"/>
        <w:rPr>
          <w:sz w:val="20"/>
          <w:szCs w:val="20"/>
          <w:color w:val="auto"/>
        </w:rPr>
      </w:pPr>
    </w:p>
    <w:p>
      <w:pPr>
        <w:jc w:val="both"/>
        <w:ind w:right="20" w:firstLine="297"/>
        <w:spacing w:after="0" w:line="278" w:lineRule="auto"/>
        <w:rPr>
          <w:sz w:val="20"/>
          <w:szCs w:val="20"/>
          <w:color w:val="auto"/>
        </w:rPr>
      </w:pPr>
      <w:r>
        <w:rPr>
          <w:rFonts w:ascii="Times New Roman" w:cs="Times New Roman" w:eastAsia="Times New Roman" w:hAnsi="Times New Roman"/>
          <w:sz w:val="16"/>
          <w:szCs w:val="16"/>
          <w:color w:val="auto"/>
        </w:rPr>
        <w:t>Before the completion of Subsidiary A’s possible future initial public offering and listing, its employees are entitled to convert the vested share options to the Class A ordinary shares of the Company at a fixed conversion rate. The corresponding share options will be cancelled if the conversion right is exercised.</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summarizes activities of A Plan for the year ended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6"/>
        </w:trPr>
        <w:tc>
          <w:tcPr>
            <w:tcW w:w="36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6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9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4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5"/>
              <w:spacing w:after="0" w:line="136"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 Life</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3240" w:type="dxa"/>
            <w:vAlign w:val="bottom"/>
            <w:gridSpan w:val="2"/>
          </w:tcPr>
          <w:p>
            <w:pPr>
              <w:jc w:val="right"/>
              <w:ind w:right="89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7"/>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US$</w:t>
            </w:r>
          </w:p>
        </w:tc>
        <w:tc>
          <w:tcPr>
            <w:tcW w:w="1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 Years</w:t>
            </w: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ind w:right="5"/>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43,094,529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0.00001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47,950</w:t>
            </w:r>
          </w:p>
        </w:tc>
        <w:tc>
          <w:tcPr>
            <w:tcW w:w="0" w:type="dxa"/>
            <w:vAlign w:val="bottom"/>
          </w:tcPr>
          <w:p>
            <w:pPr>
              <w:spacing w:after="0"/>
              <w:rPr>
                <w:sz w:val="1"/>
                <w:szCs w:val="1"/>
                <w:color w:val="auto"/>
              </w:rPr>
            </w:pPr>
          </w:p>
        </w:tc>
      </w:tr>
      <w:tr>
        <w:trPr>
          <w:trHeight w:val="198"/>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9,671,262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0.00001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(13,019,681)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(2,693,382)</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226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37,052,728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0.00001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660" w:type="dxa"/>
            <w:vAlign w:val="bottom"/>
          </w:tcPr>
          <w:p>
            <w:pPr>
              <w:spacing w:after="0"/>
              <w:rPr>
                <w:sz w:val="24"/>
                <w:szCs w:val="24"/>
                <w:color w:val="auto"/>
              </w:rPr>
            </w:pPr>
          </w:p>
        </w:tc>
        <w:tc>
          <w:tcPr>
            <w:tcW w:w="3240" w:type="dxa"/>
            <w:vAlign w:val="bottom"/>
            <w:gridSpan w:val="2"/>
          </w:tcPr>
          <w:p>
            <w:pPr>
              <w:jc w:val="right"/>
              <w:ind w:right="1710"/>
              <w:spacing w:after="0"/>
              <w:rPr>
                <w:sz w:val="20"/>
                <w:szCs w:val="20"/>
                <w:color w:val="auto"/>
              </w:rPr>
            </w:pPr>
            <w:r>
              <w:rPr>
                <w:rFonts w:ascii="Times New Roman" w:cs="Times New Roman" w:eastAsia="Times New Roman" w:hAnsi="Times New Roman"/>
                <w:sz w:val="16"/>
                <w:szCs w:val="16"/>
                <w:color w:val="auto"/>
              </w:rPr>
              <w:t>F-50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For the years ended December 31, 2023, 2024 and 2025, the weighted average grant date fair values of options granted were US$1.10, US$1.10 and US$1.10 per share, respectively. The estimated fair value of each option granted is estimated on the date of grant using the binominal option-pricing model with the assumptions (or ranges thereof) in the following table:</w:t>
      </w:r>
    </w:p>
    <w:p>
      <w:pPr>
        <w:spacing w:after="0" w:line="146"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25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 For the Year Ended</w:t>
            </w:r>
          </w:p>
        </w:tc>
      </w:tr>
      <w:tr>
        <w:trPr>
          <w:trHeight w:val="158"/>
        </w:trPr>
        <w:tc>
          <w:tcPr>
            <w:tcW w:w="5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29"/>
        </w:trPr>
        <w:tc>
          <w:tcPr>
            <w:tcW w:w="5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2023, 2024 and 2025</w:t>
            </w:r>
          </w:p>
        </w:tc>
        <w:tc>
          <w:tcPr>
            <w:tcW w:w="180" w:type="dxa"/>
            <w:vAlign w:val="bottom"/>
          </w:tcPr>
          <w:p>
            <w:pPr>
              <w:spacing w:after="0"/>
              <w:rPr>
                <w:sz w:val="11"/>
                <w:szCs w:val="11"/>
                <w:color w:val="auto"/>
              </w:rPr>
            </w:pPr>
          </w:p>
        </w:tc>
      </w:tr>
      <w:tr>
        <w:trPr>
          <w:trHeight w:val="19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the ordinary shares on the date of option grant (US$)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1.00-1.01</w:t>
            </w:r>
          </w:p>
        </w:tc>
        <w:tc>
          <w:tcPr>
            <w:tcW w:w="180" w:type="dxa"/>
            <w:vAlign w:val="bottom"/>
            <w:shd w:val="clear" w:color="auto" w:fill="CCEEFF"/>
          </w:tcPr>
          <w:p>
            <w:pPr>
              <w:spacing w:after="0"/>
              <w:rPr>
                <w:sz w:val="17"/>
                <w:szCs w:val="17"/>
                <w:color w:val="auto"/>
              </w:rPr>
            </w:pP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1.58 %</w:t>
            </w:r>
          </w:p>
        </w:tc>
      </w:tr>
      <w:tr>
        <w:trPr>
          <w:trHeight w:val="19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17"/>
                <w:szCs w:val="17"/>
                <w:color w:val="auto"/>
              </w:rPr>
            </w:pP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0 %</w:t>
            </w:r>
          </w:p>
        </w:tc>
      </w:tr>
      <w:tr>
        <w:trPr>
          <w:trHeight w:val="19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52 %</w:t>
            </w: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Expected forfeiture rate (post-vesting)</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r>
    </w:tbl>
    <w:p>
      <w:pPr>
        <w:spacing w:after="0" w:line="165"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As of December 31, 2025, there was RMB264,084 of unrecognized share-based compensation expenses related to the share options granted. The expenses were expected to be recognized over a weighted-average period of 2.44 years.</w:t>
      </w:r>
    </w:p>
    <w:p>
      <w:pPr>
        <w:spacing w:after="0" w:line="133" w:lineRule="exact"/>
        <w:rPr>
          <w:sz w:val="20"/>
          <w:szCs w:val="20"/>
          <w:color w:val="auto"/>
        </w:rPr>
      </w:pPr>
    </w:p>
    <w:p>
      <w:pPr>
        <w:ind w:left="280" w:hanging="280"/>
        <w:spacing w:after="0"/>
        <w:tabs>
          <w:tab w:leader="none" w:pos="280"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w:t>
      </w:r>
    </w:p>
    <w:p>
      <w:pPr>
        <w:spacing w:after="0" w:line="212" w:lineRule="exact"/>
        <w:rPr>
          <w:rFonts w:ascii="Times New Roman" w:cs="Times New Roman" w:eastAsia="Times New Roman" w:hAnsi="Times New Roman"/>
          <w:sz w:val="16"/>
          <w:szCs w:val="16"/>
          <w:b w:val="1"/>
          <w:bCs w:val="1"/>
          <w:color w:val="auto"/>
        </w:rPr>
      </w:pPr>
    </w:p>
    <w:p>
      <w:pPr>
        <w:ind w:left="540" w:hanging="243"/>
        <w:spacing w:after="0"/>
        <w:tabs>
          <w:tab w:leader="none" w:pos="540" w:val="left"/>
        </w:tabs>
        <w:numPr>
          <w:ilvl w:val="1"/>
          <w:numId w:val="14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Income taxes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Cayman Islands</w:t>
      </w:r>
    </w:p>
    <w:p>
      <w:pPr>
        <w:spacing w:after="0" w:line="214" w:lineRule="exact"/>
        <w:rPr>
          <w:sz w:val="20"/>
          <w:szCs w:val="20"/>
          <w:color w:val="auto"/>
        </w:rPr>
      </w:pPr>
    </w:p>
    <w:p>
      <w:pPr>
        <w:jc w:val="both"/>
        <w:ind w:firstLine="297"/>
        <w:spacing w:after="0" w:line="275" w:lineRule="auto"/>
        <w:rPr>
          <w:sz w:val="20"/>
          <w:szCs w:val="20"/>
          <w:color w:val="auto"/>
        </w:rPr>
      </w:pPr>
      <w:r>
        <w:rPr>
          <w:rFonts w:ascii="Times New Roman" w:cs="Times New Roman" w:eastAsia="Times New Roman" w:hAnsi="Times New Roman"/>
          <w:sz w:val="16"/>
          <w:szCs w:val="16"/>
          <w:color w:val="auto"/>
        </w:rPr>
        <w:t>The Company was incorporated in the Cayman Islands and conducts most of its business through its subsidiaries located in Chinese Mainland, Hong Kong, United States, United Kingdom, Germany, Norway and Netherlands. Under the current laws of the Cayman Islands, the Company is not subject to tax on either income or capital gain. Additionally, upon payments of dividends to the shareholders, no Cayman Islands withholding tax will be imposed.</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PRC</w:t>
      </w:r>
    </w:p>
    <w:p>
      <w:pPr>
        <w:spacing w:after="0" w:line="214" w:lineRule="exact"/>
        <w:rPr>
          <w:sz w:val="20"/>
          <w:szCs w:val="20"/>
          <w:color w:val="auto"/>
        </w:rPr>
      </w:pPr>
    </w:p>
    <w:p>
      <w:pPr>
        <w:jc w:val="both"/>
        <w:ind w:firstLine="297"/>
        <w:spacing w:after="0" w:line="264" w:lineRule="auto"/>
        <w:rPr>
          <w:sz w:val="20"/>
          <w:szCs w:val="20"/>
          <w:color w:val="auto"/>
        </w:rPr>
      </w:pPr>
      <w:r>
        <w:rPr>
          <w:rFonts w:ascii="Times New Roman" w:cs="Times New Roman" w:eastAsia="Times New Roman" w:hAnsi="Times New Roman"/>
          <w:sz w:val="16"/>
          <w:szCs w:val="16"/>
          <w:color w:val="auto"/>
        </w:rPr>
        <w:t>Effective January 1, 2008, the Enterprise Income Tax Law (the “EIT Law”) in China unifies the enterprise income tax rate for the entities incorporated in China at 25%, unless they are eligible for preferential tax treatment, which will be granted to companies conducting businesses in certain encouraged sectors. Certain PRC subsidiaries, including NIO R&amp;D, Anhui NIO AD, NIO Software Technology (Shanghai) Co., Ltd., NIO Mobile Technology Co., Ltd., etc. are qualified “High and New Technology Enterprises” (“HNTEs”) and entitled a preferential tax rate of 15%, which will expire from 2025 to 2027. The qualification as HNTE is subject to self-evaluation, and the relevant documents should be retained for future examination purpose. Upon the expiration of qualification, re-accreditation of certification from the relevant authorities is necessary for the entities to continue enjoying the preferential tax treatment. The remaining Chinese companies are subject to enterprise income tax (“EIT”) at a uniform rate of 25%.</w:t>
      </w:r>
    </w:p>
    <w:p>
      <w:pPr>
        <w:spacing w:after="0" w:line="365"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6"/>
          <w:szCs w:val="16"/>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right="20" w:firstLine="297"/>
        <w:spacing w:after="0" w:line="264" w:lineRule="auto"/>
        <w:rPr>
          <w:sz w:val="20"/>
          <w:szCs w:val="20"/>
          <w:color w:val="auto"/>
        </w:rPr>
      </w:pPr>
      <w:r>
        <w:rPr>
          <w:rFonts w:ascii="Times New Roman" w:cs="Times New Roman" w:eastAsia="Times New Roman" w:hAnsi="Times New Roman"/>
          <w:sz w:val="16"/>
          <w:szCs w:val="16"/>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63" w:lineRule="exact"/>
        <w:rPr>
          <w:sz w:val="20"/>
          <w:szCs w:val="20"/>
          <w:color w:val="auto"/>
        </w:rPr>
      </w:pPr>
    </w:p>
    <w:p>
      <w:pPr>
        <w:jc w:val="both"/>
        <w:ind w:right="20" w:firstLine="297"/>
        <w:spacing w:after="0" w:line="271" w:lineRule="auto"/>
        <w:rPr>
          <w:sz w:val="20"/>
          <w:szCs w:val="20"/>
          <w:color w:val="auto"/>
        </w:rPr>
      </w:pPr>
      <w:r>
        <w:rPr>
          <w:rFonts w:ascii="Times New Roman" w:cs="Times New Roman" w:eastAsia="Times New Roman" w:hAnsi="Times New Roman"/>
          <w:sz w:val="16"/>
          <w:szCs w:val="16"/>
          <w:color w:val="auto"/>
        </w:rPr>
        <w:t>According to relevant laws and regulations promulgated by the State Administration of Tax of the PRC effective from 2023 onwards, enterprises engaging in research and development activities are entitled to claim 200% of their qualified research and development expenses so incurred as tax deductible expenses when determining their assessable profits for the year (‘Super Deduction’). The additional deduction of 100% of qualified research and development expenses can only be claimed directly in the annual EIT filing and subject to the approval from the relevant tax authorities.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Hong Kong</w:t>
      </w:r>
    </w:p>
    <w:p>
      <w:pPr>
        <w:spacing w:after="0" w:line="214" w:lineRule="exact"/>
        <w:rPr>
          <w:sz w:val="20"/>
          <w:szCs w:val="20"/>
          <w:color w:val="auto"/>
        </w:rPr>
      </w:pPr>
    </w:p>
    <w:p>
      <w:pPr>
        <w:jc w:val="both"/>
        <w:ind w:right="20" w:firstLine="297"/>
        <w:spacing w:after="0" w:line="275" w:lineRule="auto"/>
        <w:rPr>
          <w:sz w:val="20"/>
          <w:szCs w:val="20"/>
          <w:color w:val="auto"/>
        </w:rPr>
      </w:pPr>
      <w:r>
        <w:rPr>
          <w:rFonts w:ascii="Times New Roman" w:cs="Times New Roman" w:eastAsia="Times New Roman" w:hAnsi="Times New Roman"/>
          <w:sz w:val="16"/>
          <w:szCs w:val="16"/>
          <w:color w:val="auto"/>
        </w:rPr>
        <w:t>Under the current Hong Kong Inland Revenue Ordinance, the subsidiaries of the Group incorporated in Hong Kong are subject to 8.25% profit tax on the first HKD2,000 taxable income and 16.5% profit tax on the remaining taxable income generated from operations in Hong Kong. Additionally, payments of dividends by the subsidiaries incorporated in Hong Kong to the Company are not subject to any Hong Kong withholding tax.</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Other Countries</w:t>
      </w:r>
    </w:p>
    <w:p>
      <w:pPr>
        <w:spacing w:after="0" w:line="214"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The statutory income tax rates of other countries where the Company’s subsidiaries having significant operations for the years ended December 31, 2023, 2024 and 2025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40" w:type="dxa"/>
            <w:vAlign w:val="bottom"/>
            <w:vMerge w:val="restart"/>
          </w:tcPr>
          <w:p>
            <w:pPr>
              <w:ind w:left="598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11"/>
          </w:tcPr>
          <w:p>
            <w:pPr>
              <w:ind w:left="1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60" w:type="dxa"/>
            <w:vAlign w:val="bottom"/>
            <w:tcBorders>
              <w:bottom w:val="single" w:sz="8" w:color="auto"/>
            </w:tcBorders>
          </w:tcPr>
          <w:p>
            <w:pPr>
              <w:spacing w:after="0"/>
              <w:rPr>
                <w:sz w:val="13"/>
                <w:szCs w:val="13"/>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9"/>
        </w:trPr>
        <w:tc>
          <w:tcPr>
            <w:tcW w:w="6140" w:type="dxa"/>
            <w:vAlign w:val="bottom"/>
            <w:vMerge w:val="continue"/>
          </w:tcPr>
          <w:p>
            <w:pPr>
              <w:spacing w:after="0"/>
              <w:rPr>
                <w:sz w:val="11"/>
                <w:szCs w:val="11"/>
                <w:color w:val="auto"/>
              </w:rPr>
            </w:pPr>
          </w:p>
        </w:tc>
        <w:tc>
          <w:tcPr>
            <w:tcW w:w="6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1"/>
                <w:szCs w:val="11"/>
                <w:color w:val="auto"/>
              </w:rPr>
            </w:pPr>
          </w:p>
        </w:tc>
        <w:tc>
          <w:tcPr>
            <w:tcW w:w="520" w:type="dxa"/>
            <w:vAlign w:val="bottom"/>
            <w:gridSpan w:val="3"/>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3"/>
          </w:tcPr>
          <w:p>
            <w:pPr>
              <w:jc w:val="right"/>
              <w:ind w:right="319"/>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34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240" w:type="dxa"/>
            <w:vAlign w:val="bottom"/>
            <w:tcBorders>
              <w:top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w w:val="89"/>
              </w:rPr>
              <w:t>%</w:t>
            </w:r>
          </w:p>
        </w:tc>
        <w:tc>
          <w:tcPr>
            <w:tcW w:w="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220" w:type="dxa"/>
            <w:vAlign w:val="bottom"/>
            <w:tcBorders>
              <w:top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1280" w:type="dxa"/>
            <w:vAlign w:val="bottom"/>
            <w:gridSpan w:val="4"/>
          </w:tcPr>
          <w:p>
            <w:pPr>
              <w:jc w:val="right"/>
              <w:ind w:right="29"/>
              <w:spacing w:after="0"/>
              <w:rPr>
                <w:sz w:val="20"/>
                <w:szCs w:val="20"/>
                <w:color w:val="auto"/>
              </w:rPr>
            </w:pPr>
            <w:r>
              <w:rPr>
                <w:rFonts w:ascii="Times New Roman" w:cs="Times New Roman" w:eastAsia="Times New Roman" w:hAnsi="Times New Roman"/>
                <w:sz w:val="16"/>
                <w:szCs w:val="16"/>
                <w:color w:val="auto"/>
              </w:rPr>
              <w:t>19.00 %</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19.00 %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Germany</w:t>
            </w:r>
          </w:p>
        </w:tc>
        <w:tc>
          <w:tcPr>
            <w:tcW w:w="1280" w:type="dxa"/>
            <w:vAlign w:val="bottom"/>
            <w:gridSpan w:val="4"/>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rPr>
              <w:t>32.98 %</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32.98 %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Norway</w:t>
            </w:r>
          </w:p>
        </w:tc>
        <w:tc>
          <w:tcPr>
            <w:tcW w:w="1280" w:type="dxa"/>
            <w:vAlign w:val="bottom"/>
            <w:gridSpan w:val="4"/>
          </w:tcPr>
          <w:p>
            <w:pPr>
              <w:jc w:val="right"/>
              <w:ind w:right="29"/>
              <w:spacing w:after="0"/>
              <w:rPr>
                <w:sz w:val="20"/>
                <w:szCs w:val="20"/>
                <w:color w:val="auto"/>
              </w:rPr>
            </w:pPr>
            <w:r>
              <w:rPr>
                <w:rFonts w:ascii="Times New Roman" w:cs="Times New Roman" w:eastAsia="Times New Roman" w:hAnsi="Times New Roman"/>
                <w:sz w:val="16"/>
                <w:szCs w:val="16"/>
                <w:color w:val="auto"/>
              </w:rPr>
              <w:t>22.00 %</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22.00 %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Netherlands</w:t>
            </w:r>
          </w:p>
        </w:tc>
        <w:tc>
          <w:tcPr>
            <w:tcW w:w="1280" w:type="dxa"/>
            <w:vAlign w:val="bottom"/>
            <w:gridSpan w:val="4"/>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rPr>
              <w:t>25.80 %</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25.80 %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68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Composition of loss before income tax for the periods presented by jurisdictions are as follows: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140" w:type="dxa"/>
            <w:vAlign w:val="bottom"/>
          </w:tcPr>
          <w:p>
            <w:pPr>
              <w:spacing w:after="0"/>
              <w:rPr>
                <w:sz w:val="24"/>
                <w:szCs w:val="24"/>
                <w:color w:val="auto"/>
              </w:rPr>
            </w:pPr>
          </w:p>
        </w:tc>
        <w:tc>
          <w:tcPr>
            <w:tcW w:w="660" w:type="dxa"/>
            <w:vAlign w:val="bottom"/>
            <w:gridSpan w:val="2"/>
          </w:tcPr>
          <w:p>
            <w:pPr>
              <w:jc w:val="center"/>
              <w:ind w:left="282"/>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24"/>
                <w:szCs w:val="24"/>
                <w:color w:val="auto"/>
              </w:rPr>
            </w:pPr>
          </w:p>
        </w:tc>
        <w:tc>
          <w:tcPr>
            <w:tcW w:w="2600" w:type="dxa"/>
            <w:vAlign w:val="bottom"/>
            <w:gridSpan w:val="11"/>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49"/>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right"/>
              <w:ind w:right="14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Chinese Mainland</w:t>
            </w: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(19,992,673)</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(21,248,033)</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(13,888,080)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Other jurisdictions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(466,245)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4"/>
          </w:tcPr>
          <w:p>
            <w:pPr>
              <w:jc w:val="right"/>
              <w:ind w:right="74"/>
              <w:spacing w:after="0"/>
              <w:rPr>
                <w:sz w:val="20"/>
                <w:szCs w:val="20"/>
                <w:color w:val="auto"/>
              </w:rPr>
            </w:pPr>
            <w:r>
              <w:rPr>
                <w:rFonts w:ascii="Times New Roman" w:cs="Times New Roman" w:eastAsia="Times New Roman" w:hAnsi="Times New Roman"/>
                <w:sz w:val="16"/>
                <w:szCs w:val="16"/>
                <w:color w:val="auto"/>
              </w:rPr>
              <w:t>(1,176,491)</w:t>
            </w: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(932,639)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(20,458,918)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(22,424,524)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(14,820,719)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For the year ended December 31, 2025, income tax expenses amounted to RMB108,185, RMB12,547 and RMB1,150 in Chinese Mainland, Germany and other jurisdictions, respectively.</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Composition of income tax expense for the periods presented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40" w:type="dxa"/>
            <w:vAlign w:val="bottom"/>
            <w:vMerge w:val="restart"/>
          </w:tcPr>
          <w:p>
            <w:pPr>
              <w:ind w:left="6060"/>
              <w:spacing w:after="0"/>
              <w:rPr>
                <w:sz w:val="20"/>
                <w:szCs w:val="20"/>
                <w:color w:val="auto"/>
              </w:rPr>
            </w:pPr>
            <w:r>
              <w:rPr>
                <w:rFonts w:ascii="Times New Roman" w:cs="Times New Roman" w:eastAsia="Times New Roman" w:hAnsi="Times New Roman"/>
                <w:sz w:val="13"/>
                <w:szCs w:val="13"/>
                <w:b w:val="1"/>
                <w:bCs w:val="1"/>
                <w:color w:val="auto"/>
              </w:rPr>
              <w:t>​​​</w:t>
            </w:r>
          </w:p>
        </w:tc>
        <w:tc>
          <w:tcPr>
            <w:tcW w:w="28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240" w:type="dxa"/>
            <w:vAlign w:val="bottom"/>
            <w:vMerge w:val="continue"/>
          </w:tcPr>
          <w:p>
            <w:pPr>
              <w:spacing w:after="0"/>
              <w:rPr>
                <w:sz w:val="11"/>
                <w:szCs w:val="11"/>
                <w:color w:val="auto"/>
              </w:rPr>
            </w:pPr>
          </w:p>
        </w:tc>
        <w:tc>
          <w:tcPr>
            <w:tcW w:w="1060" w:type="dxa"/>
            <w:vAlign w:val="bottom"/>
          </w:tcPr>
          <w:p>
            <w:pPr>
              <w:jc w:val="right"/>
              <w:ind w:right="32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right"/>
              <w:ind w:right="322"/>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362"/>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59,943</w:t>
            </w:r>
          </w:p>
        </w:tc>
        <w:tc>
          <w:tcPr>
            <w:tcW w:w="2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62,065</w:t>
            </w: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136,658</w:t>
            </w:r>
          </w:p>
        </w:tc>
        <w:tc>
          <w:tcPr>
            <w:tcW w:w="0" w:type="dxa"/>
            <w:vAlign w:val="bottom"/>
          </w:tcPr>
          <w:p>
            <w:pPr>
              <w:spacing w:after="0"/>
              <w:rPr>
                <w:sz w:val="1"/>
                <w:szCs w:val="1"/>
                <w:color w:val="auto"/>
              </w:rPr>
            </w:pPr>
          </w:p>
        </w:tc>
      </w:tr>
      <w:tr>
        <w:trPr>
          <w:trHeight w:val="198"/>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income tax expense/(benefit)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200,892</w:t>
            </w:r>
          </w:p>
        </w:tc>
        <w:tc>
          <w:tcPr>
            <w:tcW w:w="2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(84,880)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(14,776)</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260,835</w:t>
            </w:r>
          </w:p>
        </w:tc>
        <w:tc>
          <w:tcPr>
            <w:tcW w:w="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(22,815)</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121,882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Reconciliations of the income tax expense computed by applying the PRC statutory income tax rate of 25% to the Group’s income tax expense of the years ended December 31, 2023 and 2024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80" w:type="dxa"/>
            <w:vAlign w:val="bottom"/>
            <w:vMerge w:val="restart"/>
          </w:tcPr>
          <w:p>
            <w:pPr>
              <w:ind w:left="6980"/>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7180" w:type="dxa"/>
            <w:vAlign w:val="bottom"/>
            <w:tcBorders>
              <w:bottom w:val="single" w:sz="8" w:color="CCEEFF"/>
            </w:tcBorders>
            <w:vMerge w:val="continue"/>
          </w:tcPr>
          <w:p>
            <w:pPr>
              <w:spacing w:after="0"/>
              <w:rPr>
                <w:sz w:val="11"/>
                <w:szCs w:val="11"/>
                <w:color w:val="auto"/>
              </w:rPr>
            </w:pPr>
          </w:p>
        </w:tc>
        <w:tc>
          <w:tcPr>
            <w:tcW w:w="1240" w:type="dxa"/>
            <w:vAlign w:val="bottom"/>
            <w:tcBorders>
              <w:bottom w:val="single" w:sz="8" w:color="auto"/>
            </w:tcBorders>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bottom w:val="single" w:sz="8" w:color="CCEEFF"/>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auto"/>
            </w:tcBorders>
          </w:tcPr>
          <w:p>
            <w:pPr>
              <w:jc w:val="right"/>
              <w:ind w:right="419"/>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 expense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(20,458,918)</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(22,424,524)</w:t>
            </w:r>
          </w:p>
        </w:tc>
        <w:tc>
          <w:tcPr>
            <w:tcW w:w="0" w:type="dxa"/>
            <w:vAlign w:val="bottom"/>
          </w:tcPr>
          <w:p>
            <w:pPr>
              <w:spacing w:after="0"/>
              <w:rPr>
                <w:sz w:val="1"/>
                <w:szCs w:val="1"/>
                <w:color w:val="auto"/>
              </w:rPr>
            </w:pPr>
          </w:p>
        </w:tc>
      </w:tr>
      <w:tr>
        <w:trPr>
          <w:trHeight w:val="198"/>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computed at PRC statutory income tax rate of 25%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(5,114,730)</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(5,606,131)</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58,852</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25,426</w:t>
            </w:r>
          </w:p>
        </w:tc>
        <w:tc>
          <w:tcPr>
            <w:tcW w:w="0" w:type="dxa"/>
            <w:vAlign w:val="bottom"/>
          </w:tcPr>
          <w:p>
            <w:pPr>
              <w:spacing w:after="0"/>
              <w:rPr>
                <w:sz w:val="1"/>
                <w:szCs w:val="1"/>
                <w:color w:val="auto"/>
              </w:rPr>
            </w:pPr>
          </w:p>
        </w:tc>
      </w:tr>
      <w:tr>
        <w:trPr>
          <w:trHeight w:val="198"/>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Foreign tax rates differential</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481,318</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621,111</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incentives relating to R&amp;D expenditures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(1,432,723)</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(1,745,145)</w:t>
            </w:r>
          </w:p>
        </w:tc>
        <w:tc>
          <w:tcPr>
            <w:tcW w:w="0" w:type="dxa"/>
            <w:vAlign w:val="bottom"/>
          </w:tcPr>
          <w:p>
            <w:pPr>
              <w:spacing w:after="0"/>
              <w:rPr>
                <w:sz w:val="1"/>
                <w:szCs w:val="1"/>
                <w:color w:val="auto"/>
              </w:rPr>
            </w:pPr>
          </w:p>
        </w:tc>
      </w:tr>
      <w:tr>
        <w:trPr>
          <w:trHeight w:val="198"/>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Tax exempted interest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(25,017)</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(40,535)</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tax credits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(36,746)</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(22,657)</w:t>
            </w:r>
          </w:p>
        </w:tc>
        <w:tc>
          <w:tcPr>
            <w:tcW w:w="0" w:type="dxa"/>
            <w:vAlign w:val="bottom"/>
          </w:tcPr>
          <w:p>
            <w:pPr>
              <w:spacing w:after="0"/>
              <w:rPr>
                <w:sz w:val="1"/>
                <w:szCs w:val="1"/>
                <w:color w:val="auto"/>
              </w:rPr>
            </w:pPr>
          </w:p>
        </w:tc>
      </w:tr>
      <w:tr>
        <w:trPr>
          <w:trHeight w:val="198"/>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Prior year True-ups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242,392</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321,080</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8"/>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6,087,173</w:t>
            </w:r>
          </w:p>
        </w:tc>
        <w:tc>
          <w:tcPr>
            <w:tcW w:w="2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6,424,019</w:t>
            </w:r>
          </w:p>
        </w:tc>
        <w:tc>
          <w:tcPr>
            <w:tcW w:w="0" w:type="dxa"/>
            <w:vAlign w:val="bottom"/>
          </w:tcPr>
          <w:p>
            <w:pPr>
              <w:spacing w:after="0"/>
              <w:rPr>
                <w:sz w:val="1"/>
                <w:szCs w:val="1"/>
                <w:color w:val="auto"/>
              </w:rPr>
            </w:pPr>
          </w:p>
        </w:tc>
      </w:tr>
      <w:tr>
        <w:trPr>
          <w:trHeight w:val="190"/>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expense/(benefit)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260,835</w:t>
            </w: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In accordance with the updated requirements of ASU 2023 - 09, reconciliation between the statutory tax rate and the Group’s effective tax rate for the year ended December 31, 2025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20" w:type="dxa"/>
            <w:vAlign w:val="bottom"/>
          </w:tcPr>
          <w:p>
            <w:pPr>
              <w:spacing w:after="0"/>
              <w:rPr>
                <w:sz w:val="13"/>
                <w:szCs w:val="13"/>
                <w:color w:val="auto"/>
              </w:rPr>
            </w:pPr>
          </w:p>
        </w:tc>
        <w:tc>
          <w:tcPr>
            <w:tcW w:w="3900" w:type="dxa"/>
            <w:vAlign w:val="bottom"/>
            <w:gridSpan w:val="6"/>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   For the Year Ended December 31</w:t>
            </w:r>
          </w:p>
        </w:tc>
      </w:tr>
      <w:tr>
        <w:trPr>
          <w:trHeight w:val="129"/>
        </w:trPr>
        <w:tc>
          <w:tcPr>
            <w:tcW w:w="60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60" w:type="dxa"/>
            <w:vAlign w:val="bottom"/>
            <w:tcBorders>
              <w:top w:val="single" w:sz="8" w:color="auto"/>
              <w:bottom w:val="single" w:sz="8" w:color="auto"/>
            </w:tcBorders>
            <w:gridSpan w:val="3"/>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84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29"/>
        </w:trPr>
        <w:tc>
          <w:tcPr>
            <w:tcW w:w="60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60" w:type="dxa"/>
            <w:vAlign w:val="bottom"/>
            <w:gridSpan w:val="3"/>
          </w:tcPr>
          <w:p>
            <w:pPr>
              <w:jc w:val="right"/>
              <w:ind w:right="6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20" w:type="dxa"/>
            <w:vAlign w:val="bottom"/>
          </w:tcPr>
          <w:p>
            <w:pPr>
              <w:spacing w:after="0"/>
              <w:rPr>
                <w:sz w:val="11"/>
                <w:szCs w:val="11"/>
                <w:color w:val="auto"/>
              </w:rPr>
            </w:pPr>
          </w:p>
        </w:tc>
      </w:tr>
      <w:tr>
        <w:trPr>
          <w:trHeight w:val="19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4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(14,820,719)</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computed at PRC statutory income tax rate of 25%</w:t>
            </w:r>
          </w:p>
        </w:tc>
        <w:tc>
          <w:tcPr>
            <w:tcW w:w="26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(3,705,180)</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25.0 %</w:t>
            </w:r>
          </w:p>
        </w:tc>
      </w:tr>
      <w:tr>
        <w:trPr>
          <w:trHeight w:val="19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277,119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34,886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19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1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8"/>
        </w:trPr>
        <w:tc>
          <w:tcPr>
            <w:tcW w:w="6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incentives relating to R&amp;D expenditures</w:t>
            </w:r>
          </w:p>
        </w:tc>
        <w:tc>
          <w:tcPr>
            <w:tcW w:w="26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(1,222,788)</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198"/>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577,190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4,160,655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19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121,882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6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PRC statutory income tax rate was used because the majority of the Group’s operations are based in PRC.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right="40" w:firstLine="297"/>
        <w:spacing w:after="0" w:line="298" w:lineRule="auto"/>
        <w:rPr>
          <w:sz w:val="20"/>
          <w:szCs w:val="20"/>
          <w:color w:val="auto"/>
        </w:rPr>
      </w:pPr>
      <w:r>
        <w:rPr>
          <w:rFonts w:ascii="Times New Roman" w:cs="Times New Roman" w:eastAsia="Times New Roman" w:hAnsi="Times New Roman"/>
          <w:sz w:val="16"/>
          <w:szCs w:val="16"/>
          <w:color w:val="auto"/>
        </w:rPr>
        <w:t>For the year ended December 31, 2025, the Group paid RMB114,615, RMB12,579 and RMB16,905 income taxes in Chinese Mainland, Germany and other jurisdictions, respectively.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(b) Deferred tax</w:t>
      </w:r>
    </w:p>
    <w:p>
      <w:pPr>
        <w:spacing w:after="0" w:line="216" w:lineRule="exact"/>
        <w:rPr>
          <w:sz w:val="20"/>
          <w:szCs w:val="20"/>
          <w:color w:val="auto"/>
        </w:rPr>
      </w:pPr>
    </w:p>
    <w:p>
      <w:pPr>
        <w:jc w:val="both"/>
        <w:ind w:right="40" w:firstLine="297"/>
        <w:spacing w:after="0" w:line="271" w:lineRule="auto"/>
        <w:rPr>
          <w:sz w:val="20"/>
          <w:szCs w:val="20"/>
          <w:color w:val="auto"/>
        </w:rPr>
      </w:pPr>
      <w:r>
        <w:rPr>
          <w:rFonts w:ascii="Times New Roman" w:cs="Times New Roman" w:eastAsia="Times New Roman" w:hAnsi="Times New Roman"/>
          <w:sz w:val="16"/>
          <w:szCs w:val="16"/>
          <w:color w:val="auto"/>
        </w:rPr>
        <w:t>The Group considers positive and negative evidence to determine whether some portion or all of the deferred tax assets will be more-likely-than-not realized. This assessment primarily considers the nature, frequency and extent of the losses incurred and other historical objective evidences, as well as the considerations of forecasts of future profitability. These assumptions require significant judgment on the forecasts of future taxable income. The PRC statutory income tax rate of 25% or applicable preferential income tax rates were applied when calculating deferred tax assets.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Group’s deferred tax assets and liabilities consist of the following components: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20" w:type="dxa"/>
            <w:vAlign w:val="bottom"/>
            <w:vMerge w:val="restart"/>
          </w:tcPr>
          <w:p>
            <w:pPr>
              <w:ind w:left="62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420" w:type="dxa"/>
            <w:vAlign w:val="bottom"/>
            <w:vMerge w:val="continue"/>
          </w:tcPr>
          <w:p>
            <w:pPr>
              <w:spacing w:after="0"/>
              <w:rPr>
                <w:sz w:val="11"/>
                <w:szCs w:val="11"/>
                <w:color w:val="auto"/>
              </w:rPr>
            </w:pPr>
          </w:p>
        </w:tc>
        <w:tc>
          <w:tcPr>
            <w:tcW w:w="1020" w:type="dxa"/>
            <w:vAlign w:val="bottom"/>
          </w:tcPr>
          <w:p>
            <w:pPr>
              <w:jc w:val="right"/>
              <w:ind w:right="298"/>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29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1"/>
                <w:szCs w:val="11"/>
                <w:color w:val="auto"/>
              </w:rPr>
            </w:pPr>
          </w:p>
        </w:tc>
        <w:tc>
          <w:tcPr>
            <w:tcW w:w="1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31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14,850,298</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21,278,950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23,868,202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1,241,114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1,487,912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and prepaid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1,635,032</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1,246,887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credit carry-forwards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347,340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384,960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158,609</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203,847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Write-downs of inventory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19,846</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76,708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Unrealized financing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64,870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Allowance against receivables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28,435</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27,495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Unrealized foreign exchange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securities without readily determinable fair value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securities with readily determinable fair value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Advertising expenses in excess of deduction limit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rent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80,240</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112,041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(18,538,828)</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(24,902,819)</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(27,491,352)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Subtotal</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4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Available for sale debt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securities using fair value option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(206,734)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(117,323)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Subtotal</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(214,017)</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(129,690)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deferred tax liabilities, net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(212,347)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(127,467)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4800"/>
              <w:spacing w:after="0"/>
              <w:rPr>
                <w:sz w:val="20"/>
                <w:szCs w:val="20"/>
                <w:color w:val="auto"/>
              </w:rPr>
            </w:pPr>
            <w:r>
              <w:rPr>
                <w:rFonts w:ascii="Times New Roman" w:cs="Times New Roman" w:eastAsia="Times New Roman" w:hAnsi="Times New Roman"/>
                <w:sz w:val="16"/>
                <w:szCs w:val="16"/>
                <w:color w:val="auto"/>
              </w:rPr>
              <w:t>F-54</w:t>
            </w: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64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82" w:right="9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right="40" w:firstLine="297"/>
        <w:spacing w:after="0" w:line="298" w:lineRule="auto"/>
        <w:rPr>
          <w:sz w:val="20"/>
          <w:szCs w:val="20"/>
          <w:color w:val="auto"/>
        </w:rPr>
      </w:pPr>
      <w:r>
        <w:rPr>
          <w:rFonts w:ascii="Times New Roman" w:cs="Times New Roman" w:eastAsia="Times New Roman" w:hAnsi="Times New Roman"/>
          <w:sz w:val="16"/>
          <w:szCs w:val="16"/>
          <w:color w:val="auto"/>
        </w:rPr>
        <w:t>Full valuation allowances have been provided where, based on all available evidence, management determined that deferred tax assets are not more likely than not to be realizable in future tax years. Movement of valuation allowance is as follow: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20" w:type="dxa"/>
            <w:vAlign w:val="bottom"/>
            <w:vMerge w:val="restart"/>
          </w:tcPr>
          <w:p>
            <w:pPr>
              <w:ind w:left="62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420" w:type="dxa"/>
            <w:vAlign w:val="bottom"/>
            <w:vMerge w:val="continue"/>
          </w:tcPr>
          <w:p>
            <w:pPr>
              <w:spacing w:after="0"/>
              <w:rPr>
                <w:sz w:val="11"/>
                <w:szCs w:val="11"/>
                <w:color w:val="auto"/>
              </w:rPr>
            </w:pPr>
          </w:p>
        </w:tc>
        <w:tc>
          <w:tcPr>
            <w:tcW w:w="1020" w:type="dxa"/>
            <w:vAlign w:val="bottom"/>
          </w:tcPr>
          <w:p>
            <w:pPr>
              <w:jc w:val="right"/>
              <w:ind w:right="3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29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1"/>
                <w:szCs w:val="11"/>
                <w:color w:val="auto"/>
              </w:rPr>
            </w:pPr>
          </w:p>
        </w:tc>
        <w:tc>
          <w:tcPr>
            <w:tcW w:w="1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3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Valuation allowance</w:t>
            </w: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12,727,355</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18,538,828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24,902,819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5,811,473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6,363,991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4,481,920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Reduction due to expiration of tax attributes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(1,893,387)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the year</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18,538,828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24,902,819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27,491,352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40" w:firstLine="297"/>
        <w:spacing w:after="0" w:line="298" w:lineRule="auto"/>
        <w:rPr>
          <w:sz w:val="20"/>
          <w:szCs w:val="20"/>
          <w:color w:val="auto"/>
        </w:rPr>
      </w:pPr>
      <w:r>
        <w:rPr>
          <w:rFonts w:ascii="Times New Roman" w:cs="Times New Roman" w:eastAsia="Times New Roman" w:hAnsi="Times New Roman"/>
          <w:sz w:val="16"/>
          <w:szCs w:val="16"/>
          <w:color w:val="auto"/>
        </w:rPr>
        <w:t>The Group has tax losses arising in Chinese Mainland of RMB100,284,709 that will expire in one to ten years for deduction against future taxable profit.</w:t>
      </w:r>
    </w:p>
    <w:p>
      <w:pPr>
        <w:spacing w:after="0" w:line="166" w:lineRule="exact"/>
        <w:rPr>
          <w:sz w:val="20"/>
          <w:szCs w:val="20"/>
          <w:color w:val="auto"/>
        </w:rPr>
      </w:pPr>
    </w:p>
    <w:tbl>
      <w:tblPr>
        <w:tblLayout w:type="fixed"/>
        <w:tblInd w:w="1000" w:type="dxa"/>
        <w:tblCellMar>
          <w:top w:w="0" w:type="dxa"/>
          <w:left w:w="0" w:type="dxa"/>
          <w:bottom w:w="0" w:type="dxa"/>
          <w:right w:w="0" w:type="dxa"/>
        </w:tblCellMar>
      </w:tblPr>
      <w:tr>
        <w:trPr>
          <w:trHeight w:val="19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expiring in 2026</w:t>
            </w:r>
          </w:p>
        </w:tc>
        <w:tc>
          <w:tcPr>
            <w:tcW w:w="27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2,292,328</w:t>
            </w:r>
          </w:p>
        </w:tc>
      </w:tr>
      <w:tr>
        <w:trPr>
          <w:trHeight w:val="198"/>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Loss expiring in 2027</w:t>
            </w:r>
          </w:p>
        </w:tc>
        <w:tc>
          <w:tcPr>
            <w:tcW w:w="27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4,543,012</w:t>
            </w:r>
          </w:p>
        </w:tc>
      </w:tr>
      <w:tr>
        <w:trPr>
          <w:trHeight w:val="19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expiring in 2028</w:t>
            </w:r>
          </w:p>
        </w:tc>
        <w:tc>
          <w:tcPr>
            <w:tcW w:w="27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10,301,237</w:t>
            </w:r>
          </w:p>
        </w:tc>
      </w:tr>
      <w:tr>
        <w:trPr>
          <w:trHeight w:val="198"/>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Loss expiring in 2029</w:t>
            </w:r>
          </w:p>
        </w:tc>
        <w:tc>
          <w:tcPr>
            <w:tcW w:w="274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20,515,450</w:t>
            </w:r>
          </w:p>
        </w:tc>
      </w:tr>
      <w:tr>
        <w:trPr>
          <w:trHeight w:val="19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expiring in 2030</w:t>
            </w:r>
          </w:p>
        </w:tc>
        <w:tc>
          <w:tcPr>
            <w:tcW w:w="27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15,939,298</w:t>
            </w:r>
          </w:p>
        </w:tc>
      </w:tr>
      <w:tr>
        <w:trPr>
          <w:trHeight w:val="198"/>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Loss expiring in 2031</w:t>
            </w:r>
          </w:p>
        </w:tc>
        <w:tc>
          <w:tcPr>
            <w:tcW w:w="27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4,777,158</w:t>
            </w:r>
          </w:p>
        </w:tc>
      </w:tr>
      <w:tr>
        <w:trPr>
          <w:trHeight w:val="19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expiring in 2032</w:t>
            </w:r>
          </w:p>
        </w:tc>
        <w:tc>
          <w:tcPr>
            <w:tcW w:w="27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10,711,512</w:t>
            </w:r>
          </w:p>
        </w:tc>
      </w:tr>
      <w:tr>
        <w:trPr>
          <w:trHeight w:val="198"/>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Loss expiring in 2033</w:t>
            </w:r>
          </w:p>
        </w:tc>
        <w:tc>
          <w:tcPr>
            <w:tcW w:w="27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16,571,345</w:t>
            </w:r>
          </w:p>
        </w:tc>
      </w:tr>
      <w:tr>
        <w:trPr>
          <w:trHeight w:val="19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expiring in 2034</w:t>
            </w:r>
          </w:p>
        </w:tc>
        <w:tc>
          <w:tcPr>
            <w:tcW w:w="27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10,313,022</w:t>
            </w:r>
          </w:p>
        </w:tc>
      </w:tr>
      <w:tr>
        <w:trPr>
          <w:trHeight w:val="198"/>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expiring in 2035</w:t>
            </w:r>
          </w:p>
        </w:tc>
        <w:tc>
          <w:tcPr>
            <w:tcW w:w="27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4,320,347</w:t>
            </w:r>
          </w:p>
        </w:tc>
      </w:tr>
      <w:tr>
        <w:trPr>
          <w:trHeight w:val="190"/>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7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100,284,709</w:t>
            </w:r>
          </w:p>
        </w:tc>
      </w:tr>
      <w:tr>
        <w:trPr>
          <w:trHeight w:val="20"/>
        </w:trPr>
        <w:tc>
          <w:tcPr>
            <w:tcW w:w="40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40" w:firstLine="297"/>
        <w:spacing w:after="0" w:line="268" w:lineRule="auto"/>
        <w:rPr>
          <w:sz w:val="20"/>
          <w:szCs w:val="20"/>
          <w:color w:val="auto"/>
        </w:rPr>
      </w:pPr>
      <w:r>
        <w:rPr>
          <w:rFonts w:ascii="Times New Roman" w:cs="Times New Roman" w:eastAsia="Times New Roman" w:hAnsi="Times New Roman"/>
          <w:sz w:val="16"/>
          <w:szCs w:val="16"/>
          <w:color w:val="auto"/>
        </w:rPr>
        <w:t>The Group has tax losses arising in Hong Kong of RMB3,255,133 for which could be carried forward indefinitely against future taxable income. The Group has tax losses arising in United States of RMB4,290, RMB588,890 and RMB2,460,962 that will expire in 2036, 2037 and indefinite years respectively for deduction against future taxable income. The Group has tax losses arising in Europe of RMB4,375,998 for which could be carried forward indefinitely against future taxable income. As of December 31, 2024 and 2025, the Group provided full valuation allowances for the above net operating loss carry-forwards.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Uncertain Tax Position</w:t>
      </w:r>
    </w:p>
    <w:p>
      <w:pPr>
        <w:spacing w:after="0" w:line="214" w:lineRule="exact"/>
        <w:rPr>
          <w:sz w:val="20"/>
          <w:szCs w:val="20"/>
          <w:color w:val="auto"/>
        </w:rPr>
      </w:pPr>
    </w:p>
    <w:p>
      <w:pPr>
        <w:jc w:val="both"/>
        <w:ind w:right="40" w:firstLine="297"/>
        <w:spacing w:after="0" w:line="298" w:lineRule="auto"/>
        <w:rPr>
          <w:sz w:val="20"/>
          <w:szCs w:val="20"/>
          <w:color w:val="auto"/>
        </w:rPr>
      </w:pPr>
      <w:r>
        <w:rPr>
          <w:rFonts w:ascii="Times New Roman" w:cs="Times New Roman" w:eastAsia="Times New Roman" w:hAnsi="Times New Roman"/>
          <w:sz w:val="16"/>
          <w:szCs w:val="16"/>
          <w:color w:val="auto"/>
        </w:rPr>
        <w:t>The Group did not identify any significant unrecognized tax benefits for each of the periods presented. The Group did not incur any interest related to unrecognized tax benefits and did not recognize any penalties as income tax expense.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years subject to examination by major jurisdictions</w:t>
      </w:r>
    </w:p>
    <w:p>
      <w:pPr>
        <w:spacing w:after="0" w:line="214" w:lineRule="exact"/>
        <w:rPr>
          <w:sz w:val="20"/>
          <w:szCs w:val="20"/>
          <w:color w:val="auto"/>
        </w:rPr>
      </w:pPr>
    </w:p>
    <w:p>
      <w:pPr>
        <w:jc w:val="both"/>
        <w:ind w:right="40" w:firstLine="297"/>
        <w:spacing w:after="0" w:line="298" w:lineRule="auto"/>
        <w:rPr>
          <w:sz w:val="20"/>
          <w:szCs w:val="20"/>
          <w:color w:val="auto"/>
        </w:rPr>
      </w:pPr>
      <w:r>
        <w:rPr>
          <w:rFonts w:ascii="Times New Roman" w:cs="Times New Roman" w:eastAsia="Times New Roman" w:hAnsi="Times New Roman"/>
          <w:sz w:val="16"/>
          <w:szCs w:val="16"/>
          <w:color w:val="auto"/>
        </w:rPr>
        <w:t>In general, the PRC tax authorities have up to five years to review a company’s tax filings. Accordingly, tax filings of the Company’s PRC subsidiaries and VIEs for tax years 2021 through 2025 remain subject to the review by the relevant PRC tax authorities.</w:t>
      </w: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60"/>
          </w:cols>
          <w:pgMar w:left="980" w:top="482" w:right="9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24. Loss Per Share</w:t>
      </w:r>
    </w:p>
    <w:p>
      <w:pPr>
        <w:spacing w:after="0" w:line="216" w:lineRule="exact"/>
        <w:rPr>
          <w:sz w:val="20"/>
          <w:szCs w:val="20"/>
          <w:color w:val="auto"/>
        </w:rPr>
      </w:pPr>
    </w:p>
    <w:p>
      <w:pPr>
        <w:jc w:val="both"/>
        <w:ind w:right="40" w:firstLine="297"/>
        <w:spacing w:after="0" w:line="298" w:lineRule="auto"/>
        <w:rPr>
          <w:sz w:val="20"/>
          <w:szCs w:val="20"/>
          <w:color w:val="auto"/>
        </w:rPr>
      </w:pPr>
      <w:r>
        <w:rPr>
          <w:rFonts w:ascii="Times New Roman" w:cs="Times New Roman" w:eastAsia="Times New Roman" w:hAnsi="Times New Roman"/>
          <w:sz w:val="16"/>
          <w:szCs w:val="16"/>
          <w:color w:val="auto"/>
        </w:rPr>
        <w:t>Basic loss per share and diluted loss per share have been calculated in accordance with ASC 260 on computation of earnings per share for the years ended December 31, 2023, 2024 and 2025 as follows:</w:t>
      </w:r>
    </w:p>
    <w:p>
      <w:pPr>
        <w:spacing w:after="0" w:line="14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80" w:type="dxa"/>
            <w:vAlign w:val="bottom"/>
            <w:gridSpan w:val="2"/>
          </w:tcPr>
          <w:p>
            <w:pPr>
              <w:ind w:left="612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tcPr>
          <w:p>
            <w:pPr>
              <w:jc w:val="right"/>
              <w:ind w:right="361"/>
              <w:spacing w:after="0" w:line="109" w:lineRule="exact"/>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Pr>
          <w:p>
            <w:pPr>
              <w:spacing w:after="0"/>
              <w:rPr>
                <w:sz w:val="9"/>
                <w:szCs w:val="9"/>
                <w:color w:val="auto"/>
              </w:rPr>
            </w:pPr>
          </w:p>
        </w:tc>
        <w:tc>
          <w:tcPr>
            <w:tcW w:w="1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Pr>
          <w:p>
            <w:pPr>
              <w:jc w:val="right"/>
              <w:ind w:right="381"/>
              <w:spacing w:after="0" w:line="109" w:lineRule="exact"/>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Pr>
          <w:p>
            <w:pPr>
              <w:spacing w:after="0"/>
              <w:rPr>
                <w:sz w:val="9"/>
                <w:szCs w:val="9"/>
                <w:color w:val="auto"/>
              </w:rPr>
            </w:pPr>
          </w:p>
        </w:tc>
        <w:tc>
          <w:tcPr>
            <w:tcW w:w="18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Pr>
          <w:p>
            <w:pPr>
              <w:jc w:val="right"/>
              <w:ind w:right="381"/>
              <w:spacing w:after="0" w:line="109" w:lineRule="exact"/>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(20,719,753)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(22,401,709)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(14,942,601)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on redeemable non-controlling interests to redemption value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(303,163)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(347,516)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(124,051)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91,533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0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Net loss attributable to ordinary shareholders of NIO Inc. for basic/dilutive net loss per</w:t>
            </w: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(21,146,967)</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(22,657,692)</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(15,570,678)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number of ordinary shares outstanding – basic and diluted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1,700,203,886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2,054,614,522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2,272,635,997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and diluted net loss per share attributable to ordinary shareholders of NIO Inc.</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right="40" w:firstLine="297"/>
        <w:spacing w:after="0" w:line="271" w:lineRule="auto"/>
        <w:rPr>
          <w:sz w:val="20"/>
          <w:szCs w:val="20"/>
          <w:color w:val="auto"/>
        </w:rPr>
      </w:pPr>
      <w:r>
        <w:rPr>
          <w:rFonts w:ascii="Times New Roman" w:cs="Times New Roman" w:eastAsia="Times New Roman" w:hAnsi="Times New Roman"/>
          <w:sz w:val="16"/>
          <w:szCs w:val="16"/>
          <w:color w:val="auto"/>
        </w:rPr>
        <w:t>For the years ended December 31, 2023, 2024 and 2025, the Company had potential ordinary shares, including non-vested restricted shares, option granted and convertible notes. As the Group incurred losses for the years ended December 31, 2023, 2024 and 2025, these potential ordinary shares were anti-dilutive and excluded from the calculation of diluted net loss per share of the Company. The weighted average numbers of these potential ordinary shares outstanding are as following:</w:t>
      </w:r>
    </w:p>
    <w:p>
      <w:pPr>
        <w:spacing w:after="0" w:line="16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580" w:type="dxa"/>
            <w:vAlign w:val="bottom"/>
            <w:gridSpan w:val="2"/>
          </w:tcPr>
          <w:p>
            <w:pPr>
              <w:ind w:left="64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tcPr>
          <w:p>
            <w:pPr>
              <w:jc w:val="right"/>
              <w:ind w:right="3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tcPr>
          <w:p>
            <w:pPr>
              <w:jc w:val="right"/>
              <w:ind w:right="301"/>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tcPr>
          <w:p>
            <w:pPr>
              <w:jc w:val="right"/>
              <w:ind w:right="3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9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shares</w:t>
            </w:r>
          </w:p>
        </w:tc>
        <w:tc>
          <w:tcPr>
            <w:tcW w:w="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10,991,676</w:t>
            </w:r>
          </w:p>
        </w:tc>
      </w:tr>
      <w:tr>
        <w:trPr>
          <w:trHeight w:val="198"/>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weighted average options 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43,876,236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27,077,944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22,357,327</w:t>
            </w: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57,008,080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110,731,276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103,785,760</w:t>
            </w:r>
          </w:p>
        </w:tc>
      </w:tr>
      <w:tr>
        <w:trPr>
          <w:trHeight w:val="190"/>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100,884,316</w:t>
            </w:r>
          </w:p>
        </w:tc>
        <w:tc>
          <w:tcPr>
            <w:tcW w:w="16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137,809,220</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137,134,763</w:t>
            </w:r>
          </w:p>
        </w:tc>
      </w:tr>
      <w:tr>
        <w:trPr>
          <w:trHeight w:val="20"/>
        </w:trPr>
        <w:tc>
          <w:tcPr>
            <w:tcW w:w="6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 Related Party Balances and Transactions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principal related parties with which the Group had transactions during the years presented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of Entity or Individual</w:t>
            </w:r>
          </w:p>
        </w:tc>
        <w:tc>
          <w:tcPr>
            <w:tcW w:w="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CCEEFF"/>
            </w:tcBorders>
          </w:tcPr>
          <w:p>
            <w:pPr>
              <w:spacing w:after="0"/>
              <w:rPr>
                <w:sz w:val="14"/>
                <w:szCs w:val="14"/>
                <w:color w:val="auto"/>
              </w:rPr>
            </w:pPr>
          </w:p>
        </w:tc>
        <w:tc>
          <w:tcPr>
            <w:tcW w:w="45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3"/>
                <w:szCs w:val="13"/>
                <w:b w:val="1"/>
                <w:bCs w:val="1"/>
                <w:color w:val="auto"/>
              </w:rPr>
              <w:t>Relationship with the Company</w:t>
            </w: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Kunshan Siwopu Intelligent Equipment Co., Ltd.</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 investee of the Group</w:t>
            </w:r>
          </w:p>
        </w:tc>
      </w:tr>
      <w:tr>
        <w:trPr>
          <w:trHeight w:val="198"/>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Wuhan Weineng Battery Assets Co., Ltd. and its subsidiaries</w:t>
            </w:r>
          </w:p>
        </w:tc>
        <w:tc>
          <w:tcPr>
            <w:tcW w:w="180" w:type="dxa"/>
            <w:vAlign w:val="bottom"/>
          </w:tcPr>
          <w:p>
            <w:pPr>
              <w:spacing w:after="0"/>
              <w:rPr>
                <w:sz w:val="17"/>
                <w:szCs w:val="17"/>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 investee of the Group</w:t>
            </w:r>
          </w:p>
        </w:tc>
      </w:tr>
      <w:tr>
        <w:trPr>
          <w:trHeight w:val="19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Xunjie Energy (Wuhan) Co., Ltd.</w:t>
            </w:r>
          </w:p>
        </w:tc>
        <w:tc>
          <w:tcPr>
            <w:tcW w:w="18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 investee of the Group</w:t>
            </w:r>
          </w:p>
        </w:tc>
      </w:tr>
      <w:tr>
        <w:trPr>
          <w:trHeight w:val="198"/>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Blue Horizon Limited and its subsidiaries</w:t>
            </w:r>
          </w:p>
        </w:tc>
        <w:tc>
          <w:tcPr>
            <w:tcW w:w="180" w:type="dxa"/>
            <w:vAlign w:val="bottom"/>
          </w:tcPr>
          <w:p>
            <w:pPr>
              <w:spacing w:after="0"/>
              <w:rPr>
                <w:sz w:val="17"/>
                <w:szCs w:val="17"/>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 investee of the Group</w:t>
            </w:r>
          </w:p>
        </w:tc>
      </w:tr>
      <w:tr>
        <w:trPr>
          <w:trHeight w:val="19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VTA Technology Inc. and its subsidiaries</w:t>
            </w:r>
          </w:p>
        </w:tc>
        <w:tc>
          <w:tcPr>
            <w:tcW w:w="18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 investee of the Group</w:t>
            </w:r>
          </w:p>
        </w:tc>
      </w:tr>
      <w:tr>
        <w:trPr>
          <w:trHeight w:val="198"/>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Beijing WeLion New Energy Technology Co., Ltd.</w:t>
            </w:r>
          </w:p>
        </w:tc>
        <w:tc>
          <w:tcPr>
            <w:tcW w:w="180" w:type="dxa"/>
            <w:vAlign w:val="bottom"/>
          </w:tcPr>
          <w:p>
            <w:pPr>
              <w:spacing w:after="0"/>
              <w:rPr>
                <w:sz w:val="17"/>
                <w:szCs w:val="17"/>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 investee of the Group</w:t>
            </w:r>
          </w:p>
        </w:tc>
      </w:tr>
      <w:tr>
        <w:trPr>
          <w:trHeight w:val="19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Chongqing Chuangyuan Zhihang Technology Co., Ltd.</w:t>
            </w:r>
          </w:p>
        </w:tc>
        <w:tc>
          <w:tcPr>
            <w:tcW w:w="18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 investee of the Group</w:t>
            </w:r>
          </w:p>
        </w:tc>
      </w:tr>
      <w:tr>
        <w:trPr>
          <w:trHeight w:val="198"/>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Hefei Chuang Wei Information Consultation Co., Ltd.</w:t>
            </w:r>
          </w:p>
        </w:tc>
        <w:tc>
          <w:tcPr>
            <w:tcW w:w="180" w:type="dxa"/>
            <w:vAlign w:val="bottom"/>
          </w:tcPr>
          <w:p>
            <w:pPr>
              <w:spacing w:after="0"/>
              <w:rPr>
                <w:sz w:val="17"/>
                <w:szCs w:val="17"/>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Controlled by Principal Shareholder</w:t>
            </w:r>
          </w:p>
        </w:tc>
      </w:tr>
      <w:tr>
        <w:trPr>
          <w:trHeight w:val="182"/>
        </w:trPr>
        <w:tc>
          <w:tcPr>
            <w:tcW w:w="5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Tianjin Tengyi Information Technology Co., Ltd. (formerly known as Tianjin</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15"/>
                <w:szCs w:val="15"/>
                <w:color w:val="auto"/>
              </w:rPr>
            </w:pPr>
          </w:p>
        </w:tc>
      </w:tr>
      <w:tr>
        <w:trPr>
          <w:trHeight w:val="21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Boyou Information Technology Co., Ltd.)</w:t>
            </w:r>
          </w:p>
        </w:tc>
        <w:tc>
          <w:tcPr>
            <w:tcW w:w="18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Controlled by Principal Shareholder</w:t>
            </w:r>
          </w:p>
        </w:tc>
      </w:tr>
      <w:tr>
        <w:trPr>
          <w:trHeight w:val="182"/>
        </w:trPr>
        <w:tc>
          <w:tcPr>
            <w:tcW w:w="5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McLaren Group Holdings Ltd. and its subsidiaries (formerly disclosed as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214"/>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Forseven Limited and its affiliate)</w:t>
            </w:r>
          </w:p>
        </w:tc>
        <w:tc>
          <w:tcPr>
            <w:tcW w:w="180" w:type="dxa"/>
            <w:vAlign w:val="bottom"/>
          </w:tcPr>
          <w:p>
            <w:pPr>
              <w:spacing w:after="0"/>
              <w:rPr>
                <w:sz w:val="18"/>
                <w:szCs w:val="18"/>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Controlled by Principal Shareholder</w:t>
            </w:r>
          </w:p>
        </w:tc>
      </w:tr>
      <w:tr>
        <w:trPr>
          <w:trHeight w:val="19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Weishang Business Consulting Co., Ltd.</w:t>
            </w:r>
          </w:p>
        </w:tc>
        <w:tc>
          <w:tcPr>
            <w:tcW w:w="18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Significantly influenced by Principal Shareholder</w:t>
            </w:r>
          </w:p>
        </w:tc>
      </w:tr>
    </w:tbl>
    <w:p>
      <w:pPr>
        <w:spacing w:after="0" w:line="182" w:lineRule="exact"/>
        <w:rPr>
          <w:sz w:val="20"/>
          <w:szCs w:val="20"/>
          <w:color w:val="auto"/>
        </w:rPr>
      </w:pPr>
    </w:p>
    <w:p>
      <w:pPr>
        <w:jc w:val="both"/>
        <w:ind w:right="40" w:firstLine="297"/>
        <w:spacing w:after="0" w:line="298" w:lineRule="auto"/>
        <w:rPr>
          <w:sz w:val="20"/>
          <w:szCs w:val="20"/>
          <w:color w:val="auto"/>
        </w:rPr>
      </w:pPr>
      <w:r>
        <w:rPr>
          <w:rFonts w:ascii="Times New Roman" w:cs="Times New Roman" w:eastAsia="Times New Roman" w:hAnsi="Times New Roman"/>
          <w:sz w:val="16"/>
          <w:szCs w:val="16"/>
          <w:color w:val="auto"/>
        </w:rPr>
        <w:t>In July 2025, Jianglai Advanced Manufacturing Technology (Anhui) Co., Ltd. completed the business deregistration. Since then, Jianglai Advanced Manufacturing Technology (Anhui) Co., Ltd. was no longer the Group’s related party.</w:t>
      </w:r>
    </w:p>
    <w:p>
      <w:pPr>
        <w:spacing w:after="0" w:line="137" w:lineRule="exact"/>
        <w:rPr>
          <w:sz w:val="20"/>
          <w:szCs w:val="20"/>
          <w:color w:val="auto"/>
        </w:rPr>
      </w:pPr>
    </w:p>
    <w:p>
      <w:pPr>
        <w:jc w:val="both"/>
        <w:ind w:right="40" w:firstLine="297"/>
        <w:spacing w:after="0" w:line="298" w:lineRule="auto"/>
        <w:rPr>
          <w:sz w:val="20"/>
          <w:szCs w:val="20"/>
          <w:color w:val="auto"/>
        </w:rPr>
      </w:pPr>
      <w:r>
        <w:rPr>
          <w:rFonts w:ascii="Times New Roman" w:cs="Times New Roman" w:eastAsia="Times New Roman" w:hAnsi="Times New Roman"/>
          <w:sz w:val="16"/>
          <w:szCs w:val="16"/>
          <w:color w:val="auto"/>
        </w:rPr>
        <w:t>In August 2025, Nanjing Weibang Transmission Technology Co., Ltd. completed the business deregistration. Since then, Nanjing Weibang Transmission Technology Co., Ltd. was no longer the Group’s related party.</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9">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60"/>
          </w:cols>
          <w:pgMar w:left="980" w:top="482" w:right="9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right="20" w:firstLine="297"/>
        <w:spacing w:after="0" w:line="271" w:lineRule="auto"/>
        <w:rPr>
          <w:sz w:val="20"/>
          <w:szCs w:val="20"/>
          <w:color w:val="auto"/>
        </w:rPr>
      </w:pPr>
      <w:r>
        <w:rPr>
          <w:rFonts w:ascii="Times New Roman" w:cs="Times New Roman" w:eastAsia="Times New Roman" w:hAnsi="Times New Roman"/>
          <w:sz w:val="16"/>
          <w:szCs w:val="16"/>
          <w:color w:val="auto"/>
        </w:rPr>
        <w:t>In 2025, in light of an internal restructuring of Forseven’s corporate group, Forseven’s parent company was renamed to McLaren Group Holdings Ltd. and McLaren Automotive Limited, a subsidiary of McLaren Group Holdings Ltd., substituted for Forseven on the terms of the technology license agreement and related service agreements. Therefore, the Group disclosed “McLaren Group Holdings Ltd. and its subsidiaries” as the counterparty for these related party transactions.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 The Group entered into the following significant related party transactions: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 Provision of services</w:t>
      </w:r>
    </w:p>
    <w:p>
      <w:pPr>
        <w:spacing w:after="0" w:line="214" w:lineRule="exact"/>
        <w:rPr>
          <w:sz w:val="20"/>
          <w:szCs w:val="20"/>
          <w:color w:val="auto"/>
        </w:rPr>
      </w:pPr>
    </w:p>
    <w:p>
      <w:pPr>
        <w:jc w:val="both"/>
        <w:ind w:right="20" w:firstLine="297"/>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2023, 2024 and 2025, service income was primarily generated from property management, administrative support, research and development services and BaaS battery buy-out services the Group provided to its related parties.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vMerge w:val="restart"/>
          </w:tcPr>
          <w:p>
            <w:pPr>
              <w:ind w:left="6840"/>
              <w:spacing w:after="0"/>
              <w:rPr>
                <w:sz w:val="20"/>
                <w:szCs w:val="20"/>
                <w:color w:val="auto"/>
              </w:rPr>
            </w:pPr>
            <w:r>
              <w:rPr>
                <w:rFonts w:ascii="Times New Roman" w:cs="Times New Roman" w:eastAsia="Times New Roman" w:hAnsi="Times New Roman"/>
                <w:sz w:val="13"/>
                <w:szCs w:val="13"/>
                <w:b w:val="1"/>
                <w:bCs w:val="1"/>
                <w:color w:val="auto"/>
              </w:rPr>
              <w:t>​​​</w:t>
            </w:r>
          </w:p>
        </w:tc>
        <w:tc>
          <w:tcPr>
            <w:tcW w:w="2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980" w:type="dxa"/>
            <w:vAlign w:val="bottom"/>
            <w:tcBorders>
              <w:bottom w:val="single" w:sz="8" w:color="CCEEFF"/>
            </w:tcBorders>
            <w:vMerge w:val="continue"/>
          </w:tcPr>
          <w:p>
            <w:pPr>
              <w:spacing w:after="0"/>
              <w:rPr>
                <w:sz w:val="11"/>
                <w:szCs w:val="11"/>
                <w:color w:val="auto"/>
              </w:rPr>
            </w:pPr>
          </w:p>
        </w:tc>
        <w:tc>
          <w:tcPr>
            <w:tcW w:w="84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right"/>
              <w:ind w:right="21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Mclaren Group Holdings Ltd. and its subsidiaries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201,063</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762,681</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Wuhan Weineng Battery Assets Co., Ltd. and its subsidiaries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166,027</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101,381</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162,095</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 Horizon Limited and its subsidiaries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68,563</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VTA Technology Inc. and its subsidiaries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Nanjing Weibang Transmission Technology Co., Ltd.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167,180</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306,528</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999,300</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i w:val="1"/>
                <w:iCs w:val="1"/>
                <w:color w:val="auto"/>
              </w:rPr>
              <w:t>(ii) Purchase of services</w:t>
            </w: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980" w:type="dxa"/>
            <w:vAlign w:val="bottom"/>
            <w:vMerge w:val="restart"/>
          </w:tcPr>
          <w:p>
            <w:pPr>
              <w:ind w:left="6840"/>
              <w:spacing w:after="0"/>
              <w:rPr>
                <w:sz w:val="20"/>
                <w:szCs w:val="20"/>
                <w:color w:val="auto"/>
              </w:rPr>
            </w:pPr>
            <w:r>
              <w:rPr>
                <w:rFonts w:ascii="Times New Roman" w:cs="Times New Roman" w:eastAsia="Times New Roman" w:hAnsi="Times New Roman"/>
                <w:sz w:val="13"/>
                <w:szCs w:val="13"/>
                <w:b w:val="1"/>
                <w:bCs w:val="1"/>
                <w:color w:val="auto"/>
              </w:rPr>
              <w:t>​​​</w:t>
            </w:r>
          </w:p>
        </w:tc>
        <w:tc>
          <w:tcPr>
            <w:tcW w:w="2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980" w:type="dxa"/>
            <w:vAlign w:val="bottom"/>
            <w:tcBorders>
              <w:bottom w:val="single" w:sz="8" w:color="CCEEFF"/>
            </w:tcBorders>
            <w:vMerge w:val="continue"/>
          </w:tcPr>
          <w:p>
            <w:pPr>
              <w:spacing w:after="0"/>
              <w:rPr>
                <w:sz w:val="11"/>
                <w:szCs w:val="11"/>
                <w:color w:val="auto"/>
              </w:rPr>
            </w:pPr>
          </w:p>
        </w:tc>
        <w:tc>
          <w:tcPr>
            <w:tcW w:w="84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right"/>
              <w:ind w:right="21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Kunshan Siwopu Intelligent Equipment Co., Ltd.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26,178</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Wuhan Weineng Battery Assets Co., Ltd. and its subsidiaries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23,878</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17,594</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9,694</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Tianjin Tengyi Information Technology Co., Ltd.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9,650</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Jianglai Advanced Manufacturing Technology (Anhui) Co., Ltd.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184,279</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92,549</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Xunjie Energy (Wuhan) Co., Ltd.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Beijing WeLion New Energy Technology Co., Ltd.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34,016</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21,603</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VTA Technology Inc. and its subsidiaries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249,996</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153,799</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47,719</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i w:val="1"/>
                <w:iCs w:val="1"/>
                <w:color w:val="auto"/>
              </w:rPr>
              <w:t>(iii) Purchase of raw materials or long-lived assets</w:t>
            </w: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980" w:type="dxa"/>
            <w:vAlign w:val="bottom"/>
            <w:vMerge w:val="restart"/>
          </w:tcPr>
          <w:p>
            <w:pPr>
              <w:ind w:left="6840"/>
              <w:spacing w:after="0"/>
              <w:rPr>
                <w:sz w:val="20"/>
                <w:szCs w:val="20"/>
                <w:color w:val="auto"/>
              </w:rPr>
            </w:pPr>
            <w:r>
              <w:rPr>
                <w:rFonts w:ascii="Times New Roman" w:cs="Times New Roman" w:eastAsia="Times New Roman" w:hAnsi="Times New Roman"/>
                <w:sz w:val="13"/>
                <w:szCs w:val="13"/>
                <w:b w:val="1"/>
                <w:bCs w:val="1"/>
                <w:color w:val="auto"/>
              </w:rPr>
              <w:t>​​​</w:t>
            </w:r>
          </w:p>
        </w:tc>
        <w:tc>
          <w:tcPr>
            <w:tcW w:w="2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980" w:type="dxa"/>
            <w:vAlign w:val="bottom"/>
            <w:tcBorders>
              <w:bottom w:val="single" w:sz="8" w:color="CCEEFF"/>
            </w:tcBorders>
            <w:vMerge w:val="continue"/>
          </w:tcPr>
          <w:p>
            <w:pPr>
              <w:spacing w:after="0"/>
              <w:rPr>
                <w:sz w:val="11"/>
                <w:szCs w:val="11"/>
                <w:color w:val="auto"/>
              </w:rPr>
            </w:pPr>
          </w:p>
        </w:tc>
        <w:tc>
          <w:tcPr>
            <w:tcW w:w="84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right"/>
              <w:ind w:right="21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Xunjie Energy (Wuhan) Co., Ltd.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111,875</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37,603</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12,239</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VTA Technology Inc. and its subsidiaries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Nanjing Weibang Transmission Technology Co., Ltd.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85,938</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Kunshan Siwopu Intelligent Equipment Co., Ltd.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1,062,521</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86,985</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WeLion New Energy Technology Co., Ltd.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Jianglai Advanced Manufacturing Technology (Anhui) Co., Ltd.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32,213</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Wuhan Weineng Battery Assets Co., Ltd. and its subsidiaries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1,247,467</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293,779</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21,519</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800"/>
              <w:spacing w:after="0"/>
              <w:rPr>
                <w:sz w:val="20"/>
                <w:szCs w:val="20"/>
                <w:color w:val="auto"/>
              </w:rPr>
            </w:pPr>
            <w:r>
              <w:rPr>
                <w:rFonts w:ascii="Times New Roman" w:cs="Times New Roman" w:eastAsia="Times New Roman" w:hAnsi="Times New Roman"/>
                <w:sz w:val="16"/>
                <w:szCs w:val="16"/>
                <w:color w:val="auto"/>
              </w:rPr>
              <w:t>F-57</w:t>
            </w: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(iv) Sales of goods</w:t>
      </w:r>
    </w:p>
    <w:p>
      <w:pPr>
        <w:spacing w:after="0" w:line="22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960" w:type="dxa"/>
            <w:vAlign w:val="bottom"/>
          </w:tcPr>
          <w:p>
            <w:pPr>
              <w:ind w:left="68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2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gridSpan w:val="3"/>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ind w:right="161"/>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gridSpan w:val="6"/>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Wuhan Weineng Battery Assets Co., Ltd. and its subsidiaries</w:t>
            </w: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1,457,500</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9,848,487</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16,002,921</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Blue Horizon Limited and its subsidiaries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Weishang Business Consulting Co., Ltd.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Hefei Chuangwei Information Consultation Co., Ltd.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1,457,893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9,918,265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16,117,140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000" w:type="dxa"/>
            <w:vAlign w:val="bottom"/>
            <w:gridSpan w:val="3"/>
          </w:tcPr>
          <w:p>
            <w:pPr>
              <w:ind w:left="300"/>
              <w:spacing w:after="0"/>
              <w:rPr>
                <w:sz w:val="20"/>
                <w:szCs w:val="20"/>
                <w:color w:val="auto"/>
              </w:rPr>
            </w:pPr>
            <w:r>
              <w:rPr>
                <w:rFonts w:ascii="Times New Roman" w:cs="Times New Roman" w:eastAsia="Times New Roman" w:hAnsi="Times New Roman"/>
                <w:sz w:val="16"/>
                <w:szCs w:val="16"/>
                <w:i w:val="1"/>
                <w:iCs w:val="1"/>
                <w:color w:val="auto"/>
              </w:rPr>
              <w:t>(v) Sales of raw materials or long-lived assets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000" w:type="dxa"/>
            <w:vAlign w:val="bottom"/>
            <w:gridSpan w:val="3"/>
            <w:vMerge w:val="restart"/>
          </w:tcPr>
          <w:p>
            <w:pPr>
              <w:ind w:left="6840"/>
              <w:spacing w:after="0"/>
              <w:rPr>
                <w:sz w:val="20"/>
                <w:szCs w:val="20"/>
                <w:color w:val="auto"/>
              </w:rPr>
            </w:pPr>
            <w:r>
              <w:rPr>
                <w:rFonts w:ascii="Times New Roman" w:cs="Times New Roman" w:eastAsia="Times New Roman" w:hAnsi="Times New Roman"/>
                <w:sz w:val="13"/>
                <w:szCs w:val="13"/>
                <w:b w:val="1"/>
                <w:bCs w:val="1"/>
                <w:color w:val="auto"/>
              </w:rPr>
              <w:t>​​​</w:t>
            </w:r>
          </w:p>
        </w:tc>
        <w:tc>
          <w:tcPr>
            <w:tcW w:w="2940" w:type="dxa"/>
            <w:vAlign w:val="bottom"/>
            <w:tcBorders>
              <w:bottom w:val="single" w:sz="8" w:color="auto"/>
            </w:tcBorders>
            <w:gridSpan w:val="1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7000" w:type="dxa"/>
            <w:vAlign w:val="bottom"/>
            <w:tcBorders>
              <w:bottom w:val="single" w:sz="8" w:color="CCEEFF"/>
            </w:tcBorders>
            <w:gridSpan w:val="3"/>
            <w:vMerge w:val="continue"/>
          </w:tcPr>
          <w:p>
            <w:pPr>
              <w:spacing w:after="0"/>
              <w:rPr>
                <w:sz w:val="11"/>
                <w:szCs w:val="11"/>
                <w:color w:val="auto"/>
              </w:rPr>
            </w:pPr>
          </w:p>
        </w:tc>
        <w:tc>
          <w:tcPr>
            <w:tcW w:w="800" w:type="dxa"/>
            <w:vAlign w:val="bottom"/>
            <w:tcBorders>
              <w:bottom w:val="single" w:sz="8" w:color="auto"/>
            </w:tcBorders>
          </w:tcPr>
          <w:p>
            <w:pPr>
              <w:jc w:val="right"/>
              <w:ind w:right="18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gridSpan w:val="3"/>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tcPr>
          <w:p>
            <w:pPr>
              <w:jc w:val="center"/>
              <w:ind w:left="21"/>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Chongqing Chuangyuan Zhihang Technology Co., Ltd.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Kunshan Siwopu Intelligent Equipment Co., Ltd.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VTA Technology Inc. and its subsidiaries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Blue Horizon Limited and its subsidiaries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Wuhan Weineng Battery Assets Co., Ltd. and its subsidiaries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51,505</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156,292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i w:val="1"/>
                <w:iCs w:val="1"/>
                <w:color w:val="auto"/>
              </w:rPr>
              <w:t>(vi) Convertible notes issued to related parties and interest accrual</w:t>
            </w: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0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000" w:type="dxa"/>
            <w:vAlign w:val="bottom"/>
            <w:gridSpan w:val="3"/>
            <w:vMerge w:val="restart"/>
          </w:tcPr>
          <w:p>
            <w:pPr>
              <w:ind w:left="6880"/>
              <w:spacing w:after="0"/>
              <w:rPr>
                <w:sz w:val="20"/>
                <w:szCs w:val="20"/>
                <w:color w:val="auto"/>
              </w:rPr>
            </w:pPr>
            <w:r>
              <w:rPr>
                <w:rFonts w:ascii="Arial" w:cs="Arial" w:eastAsia="Arial" w:hAnsi="Arial"/>
                <w:sz w:val="13"/>
                <w:szCs w:val="13"/>
                <w:color w:val="auto"/>
              </w:rPr>
              <w:t>​​​</w:t>
            </w:r>
          </w:p>
        </w:tc>
        <w:tc>
          <w:tcPr>
            <w:tcW w:w="2940" w:type="dxa"/>
            <w:vAlign w:val="bottom"/>
            <w:tcBorders>
              <w:bottom w:val="single" w:sz="8" w:color="auto"/>
            </w:tcBorders>
            <w:gridSpan w:val="1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7000" w:type="dxa"/>
            <w:vAlign w:val="bottom"/>
            <w:tcBorders>
              <w:bottom w:val="single" w:sz="8" w:color="CCEEFF"/>
            </w:tcBorders>
            <w:gridSpan w:val="3"/>
            <w:vMerge w:val="continue"/>
          </w:tcPr>
          <w:p>
            <w:pPr>
              <w:spacing w:after="0"/>
              <w:rPr>
                <w:sz w:val="11"/>
                <w:szCs w:val="11"/>
                <w:color w:val="auto"/>
              </w:rPr>
            </w:pPr>
          </w:p>
        </w:tc>
        <w:tc>
          <w:tcPr>
            <w:tcW w:w="800" w:type="dxa"/>
            <w:vAlign w:val="bottom"/>
            <w:tcBorders>
              <w:bottom w:val="single" w:sz="8" w:color="auto"/>
            </w:tcBorders>
          </w:tcPr>
          <w:p>
            <w:pPr>
              <w:jc w:val="right"/>
              <w:ind w:right="18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gridSpan w:val="3"/>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center"/>
              <w:ind w:left="21"/>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gridSpan w:val="3"/>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Huang River Investment Limited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11,234</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i w:val="1"/>
                <w:iCs w:val="1"/>
                <w:color w:val="auto"/>
              </w:rPr>
              <w:t>(vii) Proceeds from borrowings from related parties and interest accrual</w:t>
            </w: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0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000" w:type="dxa"/>
            <w:vAlign w:val="bottom"/>
            <w:gridSpan w:val="3"/>
          </w:tcPr>
          <w:p>
            <w:pPr>
              <w:ind w:left="6880"/>
              <w:spacing w:after="0"/>
              <w:rPr>
                <w:sz w:val="20"/>
                <w:szCs w:val="20"/>
                <w:color w:val="auto"/>
              </w:rPr>
            </w:pPr>
            <w:r>
              <w:rPr>
                <w:rFonts w:ascii="Times New Roman" w:cs="Times New Roman" w:eastAsia="Times New Roman" w:hAnsi="Times New Roman"/>
                <w:sz w:val="13"/>
                <w:szCs w:val="13"/>
                <w:b w:val="1"/>
                <w:bCs w:val="1"/>
                <w:color w:val="auto"/>
              </w:rPr>
              <w:t>​​​</w:t>
            </w:r>
          </w:p>
        </w:tc>
        <w:tc>
          <w:tcPr>
            <w:tcW w:w="2940" w:type="dxa"/>
            <w:vAlign w:val="bottom"/>
            <w:gridSpan w:val="1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9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8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center"/>
              <w:ind w:left="21"/>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Zhong’an Energy (Anhui) Co., Ltd.</w:t>
            </w:r>
          </w:p>
        </w:tc>
        <w:tc>
          <w:tcPr>
            <w:tcW w:w="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gridSpan w:val="2"/>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00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(b) The Group had the following significant related party balances: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7000" w:type="dxa"/>
            <w:vAlign w:val="bottom"/>
            <w:gridSpan w:val="3"/>
          </w:tcPr>
          <w:p>
            <w:pPr>
              <w:ind w:left="300"/>
              <w:spacing w:after="0"/>
              <w:rPr>
                <w:sz w:val="20"/>
                <w:szCs w:val="20"/>
                <w:color w:val="auto"/>
              </w:rPr>
            </w:pPr>
            <w:r>
              <w:rPr>
                <w:rFonts w:ascii="Times New Roman" w:cs="Times New Roman" w:eastAsia="Times New Roman" w:hAnsi="Times New Roman"/>
                <w:sz w:val="16"/>
                <w:szCs w:val="16"/>
                <w:i w:val="1"/>
                <w:iCs w:val="1"/>
                <w:color w:val="auto"/>
              </w:rPr>
              <w:t>(i) Amounts due from related parties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24"/>
                <w:szCs w:val="24"/>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24"/>
                <w:szCs w:val="24"/>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69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gridSpan w:val="3"/>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Wuhan Weineng Battery Assets Co., Ltd. and its subsidiaries</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7,622,041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15,976,578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Blue Horizon Limited and its subsidiaries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Mclaren Group Holdings Ltd. and its subsidiaries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Kunshan Siwopu Intelligent Equipment Co., Ltd.</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VTA Technology Inc. and its subsidiaries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Hefei Chuang Wei Information Consultation Co., Ltd.</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Nanjing Weibang Transmission Technology Co., Ltd.</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7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Expected credit losses</w:t>
            </w:r>
          </w:p>
        </w:tc>
        <w:tc>
          <w:tcPr>
            <w:tcW w:w="8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(20,579)</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7,702,404</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16,078,250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4800"/>
              <w:spacing w:after="0"/>
              <w:rPr>
                <w:sz w:val="20"/>
                <w:szCs w:val="20"/>
                <w:color w:val="auto"/>
              </w:rPr>
            </w:pPr>
            <w:r>
              <w:rPr>
                <w:rFonts w:ascii="Times New Roman" w:cs="Times New Roman" w:eastAsia="Times New Roman" w:hAnsi="Times New Roman"/>
                <w:sz w:val="16"/>
                <w:szCs w:val="16"/>
                <w:color w:val="auto"/>
              </w:rPr>
              <w:t>F-58</w:t>
            </w:r>
          </w:p>
        </w:tc>
        <w:tc>
          <w:tcPr>
            <w:tcW w:w="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70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2" w:right="9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(ii) Amounts due to related parties, current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vMerge w:val="restart"/>
          </w:tcPr>
          <w:p>
            <w:pPr>
              <w:ind w:left="764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82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9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Mclaren Group Holdings Ltd. and its subsidiaries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272,563</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552,480</w:t>
            </w:r>
          </w:p>
        </w:tc>
        <w:tc>
          <w:tcPr>
            <w:tcW w:w="0" w:type="dxa"/>
            <w:vAlign w:val="bottom"/>
          </w:tcPr>
          <w:p>
            <w:pPr>
              <w:spacing w:after="0"/>
              <w:rPr>
                <w:sz w:val="1"/>
                <w:szCs w:val="1"/>
                <w:color w:val="auto"/>
              </w:rPr>
            </w:pPr>
          </w:p>
        </w:tc>
      </w:tr>
      <w:tr>
        <w:trPr>
          <w:trHeight w:val="19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Zhong’an Energy (Anhui) Co., Ltd.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16,656</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Wuhan Weineng Battery Assets Co., Ltd. and its subsidiaries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14,565</w:t>
            </w:r>
          </w:p>
        </w:tc>
        <w:tc>
          <w:tcPr>
            <w:tcW w:w="0" w:type="dxa"/>
            <w:vAlign w:val="bottom"/>
          </w:tcPr>
          <w:p>
            <w:pPr>
              <w:spacing w:after="0"/>
              <w:rPr>
                <w:sz w:val="1"/>
                <w:szCs w:val="1"/>
                <w:color w:val="auto"/>
              </w:rPr>
            </w:pPr>
          </w:p>
        </w:tc>
      </w:tr>
      <w:tr>
        <w:trPr>
          <w:trHeight w:val="19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Beijing WeLion New Energy Technology Co., Ltd.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66,477</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14,514</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Tianjin Tengyi Information Technology Co., Ltd.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11,902</w:t>
            </w:r>
          </w:p>
        </w:tc>
        <w:tc>
          <w:tcPr>
            <w:tcW w:w="0" w:type="dxa"/>
            <w:vAlign w:val="bottom"/>
          </w:tcPr>
          <w:p>
            <w:pPr>
              <w:spacing w:after="0"/>
              <w:rPr>
                <w:sz w:val="1"/>
                <w:szCs w:val="1"/>
                <w:color w:val="auto"/>
              </w:rPr>
            </w:pPr>
          </w:p>
        </w:tc>
      </w:tr>
      <w:tr>
        <w:trPr>
          <w:trHeight w:val="19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Kunshan Siwopu Intelligent Equipment Co., Ltd.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29,658</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11,271</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Xunjie Energy (Wuhan) Co., Ltd.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17,409</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0" w:type="dxa"/>
            <w:vAlign w:val="bottom"/>
          </w:tcPr>
          <w:p>
            <w:pPr>
              <w:spacing w:after="0"/>
              <w:rPr>
                <w:sz w:val="1"/>
                <w:szCs w:val="1"/>
                <w:color w:val="auto"/>
              </w:rPr>
            </w:pPr>
          </w:p>
        </w:tc>
      </w:tr>
      <w:tr>
        <w:trPr>
          <w:trHeight w:val="19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Blue Horizon Limited and its subsidiaries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VTA Technology Inc. and its subsidiaries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19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Nanjing Weibang Transmission Technology Co., Ltd.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Jianglai Advanced Manufacturing Technology (Anhui) Co., Ltd.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Shanghai Weishang Business Consulting Co.,Ltd.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409,363</w:t>
            </w: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625,903</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i w:val="1"/>
                <w:iCs w:val="1"/>
                <w:color w:val="auto"/>
              </w:rPr>
              <w:t>(iii) Amount due to related parties, non-current</w:t>
            </w: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vMerge w:val="restart"/>
          </w:tcPr>
          <w:p>
            <w:pPr>
              <w:ind w:left="764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782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9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Wuhan Weineng Battery Assets Co., Ltd. and its subsidiaries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78,460</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351,014</w:t>
            </w:r>
          </w:p>
        </w:tc>
        <w:tc>
          <w:tcPr>
            <w:tcW w:w="0" w:type="dxa"/>
            <w:vAlign w:val="bottom"/>
          </w:tcPr>
          <w:p>
            <w:pPr>
              <w:spacing w:after="0"/>
              <w:rPr>
                <w:sz w:val="1"/>
                <w:szCs w:val="1"/>
                <w:color w:val="auto"/>
              </w:rPr>
            </w:pPr>
          </w:p>
        </w:tc>
      </w:tr>
      <w:tr>
        <w:trPr>
          <w:trHeight w:val="19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Mclaren Group Holdings Ltd. and its subsidiaries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251,032</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182,074</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Zhong’an Energy (Anhui) Co., Ltd.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71,090</w:t>
            </w:r>
          </w:p>
        </w:tc>
        <w:tc>
          <w:tcPr>
            <w:tcW w:w="0" w:type="dxa"/>
            <w:vAlign w:val="bottom"/>
          </w:tcPr>
          <w:p>
            <w:pPr>
              <w:spacing w:after="0"/>
              <w:rPr>
                <w:sz w:val="1"/>
                <w:szCs w:val="1"/>
                <w:color w:val="auto"/>
              </w:rPr>
            </w:pPr>
          </w:p>
        </w:tc>
      </w:tr>
      <w:tr>
        <w:trPr>
          <w:trHeight w:val="190"/>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329,492</w:t>
            </w:r>
          </w:p>
        </w:tc>
        <w:tc>
          <w:tcPr>
            <w:tcW w:w="2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604,178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 Commitment and Contingencies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 Capital commitments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Capital expenditures contracted for at the balance sheet dates but not recognized in the Group’s consolidated financial statements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20" w:type="dxa"/>
            <w:vAlign w:val="bottom"/>
            <w:vMerge w:val="restart"/>
          </w:tcPr>
          <w:p>
            <w:pPr>
              <w:ind w:left="7640"/>
              <w:spacing w:after="0"/>
              <w:rPr>
                <w:sz w:val="20"/>
                <w:szCs w:val="20"/>
                <w:color w:val="auto"/>
              </w:rPr>
            </w:pPr>
            <w:r>
              <w:rPr>
                <w:rFonts w:ascii="Times New Roman" w:cs="Times New Roman" w:eastAsia="Times New Roman" w:hAnsi="Times New Roman"/>
                <w:sz w:val="13"/>
                <w:szCs w:val="13"/>
                <w:b w:val="1"/>
                <w:bCs w:val="1"/>
                <w:color w:val="auto"/>
              </w:rPr>
              <w:t>​​​</w:t>
            </w: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29"/>
        </w:trPr>
        <w:tc>
          <w:tcPr>
            <w:tcW w:w="7820" w:type="dxa"/>
            <w:vAlign w:val="bottom"/>
            <w:tcBorders>
              <w:bottom w:val="single" w:sz="8" w:color="CCEEFF"/>
            </w:tcBorders>
            <w:vMerge w:val="continue"/>
          </w:tcPr>
          <w:p>
            <w:pPr>
              <w:spacing w:after="0"/>
              <w:rPr>
                <w:sz w:val="11"/>
                <w:szCs w:val="11"/>
                <w:color w:val="auto"/>
              </w:rPr>
            </w:pPr>
          </w:p>
        </w:tc>
        <w:tc>
          <w:tcPr>
            <w:tcW w:w="940" w:type="dxa"/>
            <w:vAlign w:val="bottom"/>
            <w:tcBorders>
              <w:bottom w:val="single" w:sz="8" w:color="auto"/>
            </w:tcBorders>
          </w:tcPr>
          <w:p>
            <w:pPr>
              <w:jc w:val="right"/>
              <w:ind w:right="26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tcPr>
          <w:p>
            <w:pPr>
              <w:jc w:val="right"/>
              <w:ind w:right="282"/>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5,896,469</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3,762,026</w:t>
            </w:r>
          </w:p>
        </w:tc>
        <w:tc>
          <w:tcPr>
            <w:tcW w:w="0" w:type="dxa"/>
            <w:vAlign w:val="bottom"/>
          </w:tcPr>
          <w:p>
            <w:pPr>
              <w:spacing w:after="0"/>
              <w:rPr>
                <w:sz w:val="1"/>
                <w:szCs w:val="1"/>
                <w:color w:val="auto"/>
              </w:rPr>
            </w:pPr>
          </w:p>
        </w:tc>
      </w:tr>
      <w:tr>
        <w:trPr>
          <w:trHeight w:val="19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527,363</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427,143</w:t>
            </w:r>
          </w:p>
        </w:tc>
        <w:tc>
          <w:tcPr>
            <w:tcW w:w="0" w:type="dxa"/>
            <w:vAlign w:val="bottom"/>
          </w:tcPr>
          <w:p>
            <w:pPr>
              <w:spacing w:after="0"/>
              <w:rPr>
                <w:sz w:val="1"/>
                <w:szCs w:val="1"/>
                <w:color w:val="auto"/>
              </w:rPr>
            </w:pPr>
          </w:p>
        </w:tc>
      </w:tr>
      <w:tr>
        <w:trPr>
          <w:trHeight w:val="19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6,423,832</w:t>
            </w: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4,189,169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(b) Contingencies</w:t>
      </w:r>
    </w:p>
    <w:p>
      <w:pPr>
        <w:spacing w:after="0" w:line="216" w:lineRule="exact"/>
        <w:rPr>
          <w:sz w:val="20"/>
          <w:szCs w:val="20"/>
          <w:color w:val="auto"/>
        </w:rPr>
      </w:pPr>
    </w:p>
    <w:p>
      <w:pPr>
        <w:jc w:val="both"/>
        <w:ind w:right="20" w:firstLine="297"/>
        <w:spacing w:after="0" w:line="265" w:lineRule="auto"/>
        <w:rPr>
          <w:sz w:val="20"/>
          <w:szCs w:val="20"/>
          <w:color w:val="auto"/>
        </w:rPr>
      </w:pPr>
      <w:r>
        <w:rPr>
          <w:rFonts w:ascii="Times New Roman" w:cs="Times New Roman" w:eastAsia="Times New Roman" w:hAnsi="Times New Roman"/>
          <w:sz w:val="16"/>
          <w:szCs w:val="16"/>
          <w:color w:val="auto"/>
        </w:rPr>
        <w:t>Between March and July 2019, several securities class action lawsuits were filed against the Company, certain of the Group’s directors and officers, the underwriters in the IPO and the process agent. Some of these actions have been withdrawn, transferred, consolidated or dismissed. One action commenced during the aforementioned time period remains pending, under the caption In re NIO, Inc. Securities Litigation, 1:19-cv-01424, in the U.S. District Court for the Eastern District of New York (E.D.N.Y.). The plaintiffs in this case allege, in sum and substance, that the Group’s statements in the registration statement and/or other public statements were false or misleading and in violation of the U.S. federal securities laws. The Court denied the Group’s motion to dismiss in August 2021, and granted plaintiffs’ motion for class certification in August 2023. Discovery is substantially complete. Summary judgment is ongoing.</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jc w:val="both"/>
        <w:ind w:firstLine="297"/>
        <w:spacing w:after="0" w:line="263" w:lineRule="auto"/>
        <w:rPr>
          <w:sz w:val="20"/>
          <w:szCs w:val="20"/>
          <w:color w:val="auto"/>
        </w:rPr>
      </w:pPr>
      <w:r>
        <w:rPr>
          <w:rFonts w:ascii="Times New Roman" w:cs="Times New Roman" w:eastAsia="Times New Roman" w:hAnsi="Times New Roman"/>
          <w:sz w:val="16"/>
          <w:szCs w:val="16"/>
          <w:color w:val="auto"/>
        </w:rPr>
        <w:t xml:space="preserve">Between August and September 2022, two complaints were filed against the Company, its CEO and its then-CFO in the federal district court for the Southern District of New York (S.D.N.Y.), in the actions captioned </w:t>
      </w:r>
      <w:r>
        <w:rPr>
          <w:rFonts w:ascii="Times New Roman" w:cs="Times New Roman" w:eastAsia="Times New Roman" w:hAnsi="Times New Roman"/>
          <w:sz w:val="16"/>
          <w:szCs w:val="16"/>
          <w:i w:val="1"/>
          <w:iCs w:val="1"/>
          <w:color w:val="auto"/>
        </w:rPr>
        <w:t>Saye v. NIO Inc. et al.,</w:t>
      </w:r>
      <w:r>
        <w:rPr>
          <w:rFonts w:ascii="Times New Roman" w:cs="Times New Roman" w:eastAsia="Times New Roman" w:hAnsi="Times New Roman"/>
          <w:sz w:val="16"/>
          <w:szCs w:val="16"/>
          <w:color w:val="auto"/>
        </w:rPr>
        <w:t xml:space="preserve"> Case No. 1:22-cv-07252 (S.D.N.Y.) and </w:t>
      </w:r>
      <w:r>
        <w:rPr>
          <w:rFonts w:ascii="Times New Roman" w:cs="Times New Roman" w:eastAsia="Times New Roman" w:hAnsi="Times New Roman"/>
          <w:sz w:val="16"/>
          <w:szCs w:val="16"/>
          <w:i w:val="1"/>
          <w:iCs w:val="1"/>
          <w:color w:val="auto"/>
        </w:rPr>
        <w:t>Bohonok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NIO Inc. et al.</w:t>
      </w:r>
      <w:r>
        <w:rPr>
          <w:rFonts w:ascii="Times New Roman" w:cs="Times New Roman" w:eastAsia="Times New Roman" w:hAnsi="Times New Roman"/>
          <w:sz w:val="16"/>
          <w:szCs w:val="16"/>
          <w:color w:val="auto"/>
        </w:rPr>
        <w:t>, Case No. 1:22-cv-07666 (S.D.N.Y.). Relying on a short seller report, these complaints allege that certain of the Company’s 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disclosures between August 2020 and July 2022 contained false statements or omissions in violation of the Securities Exchange Act of 1934. On December 14, 2022, the Court consolidated the two actions and appointed lead plaintiff. Briefing on the Company’s motion to dismiss was completed on July 31, 2023. The Court’s decision on the motion to dismiss is pending. On August 28, 2025, a complaint was filed against the Company, its CEO and its former CFO in S.D.N.Y. (Case No. 1:25-cv-07176). The new action is related to the class action that has been pending in the same court (Saye v. NIO et al., 1:22-cv-07252), as discussed above. On October 3, 2025, the Court approved to stay the later-filed case until the resolution of all motions to dismiss in the </w:t>
      </w:r>
      <w:r>
        <w:rPr>
          <w:rFonts w:ascii="Times New Roman" w:cs="Times New Roman" w:eastAsia="Times New Roman" w:hAnsi="Times New Roman"/>
          <w:sz w:val="16"/>
          <w:szCs w:val="16"/>
          <w:i w:val="1"/>
          <w:iCs w:val="1"/>
          <w:color w:val="auto"/>
        </w:rPr>
        <w:t>Saye</w:t>
      </w:r>
      <w:r>
        <w:rPr>
          <w:rFonts w:ascii="Times New Roman" w:cs="Times New Roman" w:eastAsia="Times New Roman" w:hAnsi="Times New Roman"/>
          <w:sz w:val="16"/>
          <w:szCs w:val="16"/>
          <w:color w:val="auto"/>
        </w:rPr>
        <w:t xml:space="preserve"> action.</w:t>
      </w:r>
    </w:p>
    <w:p>
      <w:pPr>
        <w:spacing w:after="0" w:line="166"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The aforementioned actions remain in their preliminary stages. The Group is currently unable to determine the outcomes of these actions or any estimate of the amount or range of any potential loss, if any, associated with resolution of such lawsuits, if they proceed.</w:t>
      </w:r>
    </w:p>
    <w:p>
      <w:pPr>
        <w:spacing w:after="0" w:line="137" w:lineRule="exact"/>
        <w:rPr>
          <w:sz w:val="20"/>
          <w:szCs w:val="20"/>
          <w:color w:val="auto"/>
        </w:rPr>
      </w:pPr>
    </w:p>
    <w:p>
      <w:pPr>
        <w:jc w:val="both"/>
        <w:ind w:firstLine="297"/>
        <w:spacing w:after="0" w:line="268" w:lineRule="auto"/>
        <w:rPr>
          <w:sz w:val="20"/>
          <w:szCs w:val="20"/>
          <w:color w:val="auto"/>
        </w:rPr>
      </w:pPr>
      <w:r>
        <w:rPr>
          <w:rFonts w:ascii="Times New Roman" w:cs="Times New Roman" w:eastAsia="Times New Roman" w:hAnsi="Times New Roman"/>
          <w:sz w:val="16"/>
          <w:szCs w:val="16"/>
          <w:color w:val="auto"/>
        </w:rPr>
        <w:t>The Group is subject to legal proceedings and regulatory actions in the ordinary course of business, such as disputes with landlords, suppliers, employees, etc. The results of such proceedings cannot be predicted with certainty, but the Group does not anticipate that the final outcome arising out of any of such matters will have a material adverse effect on the consolidated balance sheets, comprehensive loss or cash flows on an individual basis or in the aggregate. As of December 31, 2024 and 2025, other than as disclosed above, the Group is not a party to any material legal or administrative proceedings.</w:t>
      </w:r>
    </w:p>
    <w:p>
      <w:pPr>
        <w:spacing w:after="0" w:line="157" w:lineRule="exact"/>
        <w:rPr>
          <w:sz w:val="20"/>
          <w:szCs w:val="20"/>
          <w:color w:val="auto"/>
        </w:rPr>
      </w:pPr>
    </w:p>
    <w:p>
      <w:pPr>
        <w:ind w:left="240" w:hanging="240"/>
        <w:spacing w:after="0"/>
        <w:tabs>
          <w:tab w:leader="none" w:pos="240" w:val="left"/>
        </w:tabs>
        <w:numPr>
          <w:ilvl w:val="0"/>
          <w:numId w:val="1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212" w:lineRule="exact"/>
        <w:rPr>
          <w:rFonts w:ascii="Times New Roman" w:cs="Times New Roman" w:eastAsia="Times New Roman" w:hAnsi="Times New Roman"/>
          <w:sz w:val="16"/>
          <w:szCs w:val="16"/>
          <w:b w:val="1"/>
          <w:bCs w:val="1"/>
          <w:color w:val="auto"/>
        </w:rPr>
      </w:pPr>
    </w:p>
    <w:p>
      <w:pPr>
        <w:ind w:left="540" w:hanging="243"/>
        <w:spacing w:after="0"/>
        <w:tabs>
          <w:tab w:leader="none" w:pos="540" w:val="left"/>
        </w:tabs>
        <w:numPr>
          <w:ilvl w:val="1"/>
          <w:numId w:val="14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Investment in Shenji</w:t>
      </w:r>
    </w:p>
    <w:p>
      <w:pPr>
        <w:spacing w:after="0" w:line="216"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6"/>
          <w:szCs w:val="16"/>
          <w:color w:val="auto"/>
        </w:rPr>
        <w:t>On February 26, 2026, the Company and Shenji, a subsidiary of the Company, entered into definitive agreements with certain investors in China, pursuant to which the investors will invest an aggregate of RMB2.257 billion in cash to subscribe for Shenji’s newly issued shares. Upon completion of the investment transaction, a subsidiary of NIO will continue to hold a controlling equity interest of 62.7% in Shenji, the investors will collectively hold 27.3%, and certain entities holding shares to administer Shenji’s share incentive plan will collectively hold the remaining 10.0%.In accordance with Shenji’s share purchase agreements, the redemption of the non-controlling interests is at the holders of non-controlling interests’ option and is upon the occurrence of certain events that are not solely within the control of the Company. Therefore, these redeemable non-controlling interests in Shenji will be classified as mezzanine equity.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(b) Approval of Performance-Based Share Awards to CEO</w:t>
      </w:r>
    </w:p>
    <w:p>
      <w:pPr>
        <w:spacing w:after="0" w:line="216"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On March 6, 2026, the board of directors of the Company approved the adoption of its 2026 Share Incentive Plan and approved a grant thereunder of 248,454,460 restricted share units of the Company to the chief executive officer of the Company. These restricted share units are divided into ten equal tranches, the vesting of which is contingent upon the Company’s achievement of specific performance targets relating to market capitalization and net profits.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28. Parent Company (the “Company”) Only Financial Information</w:t>
      </w:r>
    </w:p>
    <w:p>
      <w:pPr>
        <w:spacing w:after="0" w:line="216"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The Company performed a test on the restricted net assets of its consolidated subsidiaries and VIEs in accordance with Securities and Exchange Commission Regulation S-X Rule 4-08 (e) (3), “General Notes to Financial Statements” and concluded that it was applicable for the Company to disclose the financial information for the Company only.</w:t>
      </w:r>
    </w:p>
    <w:p>
      <w:pPr>
        <w:spacing w:after="0" w:line="153" w:lineRule="exact"/>
        <w:rPr>
          <w:sz w:val="20"/>
          <w:szCs w:val="20"/>
          <w:color w:val="auto"/>
        </w:rPr>
      </w:pPr>
    </w:p>
    <w:p>
      <w:pPr>
        <w:jc w:val="both"/>
        <w:ind w:firstLine="297"/>
        <w:spacing w:after="0" w:line="271" w:lineRule="auto"/>
        <w:rPr>
          <w:sz w:val="20"/>
          <w:szCs w:val="20"/>
          <w:color w:val="auto"/>
        </w:rPr>
      </w:pPr>
      <w:r>
        <w:rPr>
          <w:rFonts w:ascii="Times New Roman" w:cs="Times New Roman" w:eastAsia="Times New Roman" w:hAnsi="Times New Roman"/>
          <w:sz w:val="16"/>
          <w:szCs w:val="16"/>
          <w:color w:val="auto"/>
        </w:rPr>
        <w:t>The subsidiaries did not pay any dividends to the Company for the years presented. Certain information and footnote disclosures generally included in financial statements prepared in accordance with U.S. GAAP have been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1">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Company did not have significant capital and other commitments, or guarantees as of December 31, 2025.</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Condensed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580" w:type="dxa"/>
            <w:vAlign w:val="bottom"/>
            <w:gridSpan w:val="2"/>
          </w:tcPr>
          <w:p>
            <w:pPr>
              <w:ind w:left="64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319"/>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31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1"/>
                <w:szCs w:val="11"/>
                <w:color w:val="auto"/>
              </w:rPr>
            </w:pP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65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299"/>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299"/>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40"/>
              <w:spacing w:after="0" w:line="106"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w w:val="99"/>
              </w:rPr>
              <w:t>Note 2(e)</w:t>
            </w: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98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7"/>
                <w:szCs w:val="17"/>
                <w:color w:val="auto"/>
              </w:rPr>
            </w:pPr>
          </w:p>
        </w:tc>
        <w:tc>
          <w:tcPr>
            <w:tcW w:w="2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4,451,772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1,092,845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Amounts due from subsidiaries of the Company</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20,952,738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11,057,142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25,429,938</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12,183,763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1,742,254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subsidiaries and VIEs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183,448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183,448</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25,429,938</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12,367,211</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1,768,487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Amounts due to subsidiaries of the Company</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1,620,646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70,343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2,706,285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Accruals and other liabilities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133,289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4,450,764</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210,041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Deficits of investments in subsidiaries and VIEs</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6,845,155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8,166,996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7,997,710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15,012,151</w:t>
            </w: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7,997,710</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1,143,657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19,462,915</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8,207,751</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1,173,692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84"/>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75"/>
        </w:trPr>
        <w:tc>
          <w:tcPr>
            <w:tcW w:w="6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Ordinary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C Ordinary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(239,328)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(123,910)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118,688,242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131,728,259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18,836,891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579,799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(113,068,210)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(128,029,031)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(18,307,908)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5,967,023</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4,159,460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594,795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25,429,938</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12,367,211</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1,768,487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6580" w:type="dxa"/>
            <w:vAlign w:val="bottom"/>
            <w:gridSpan w:val="2"/>
          </w:tcPr>
          <w:p>
            <w:pPr>
              <w:ind w:left="4800"/>
              <w:spacing w:after="0"/>
              <w:rPr>
                <w:sz w:val="20"/>
                <w:szCs w:val="20"/>
                <w:color w:val="auto"/>
              </w:rPr>
            </w:pPr>
            <w:r>
              <w:rPr>
                <w:rFonts w:ascii="Times New Roman" w:cs="Times New Roman" w:eastAsia="Times New Roman" w:hAnsi="Times New Roman"/>
                <w:sz w:val="16"/>
                <w:szCs w:val="16"/>
                <w:color w:val="auto"/>
              </w:rPr>
              <w:t>F-61</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82" w:right="9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Condensed Statements of Comprehensive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9"/>
        </w:trPr>
        <w:tc>
          <w:tcPr>
            <w:tcW w:w="5740" w:type="dxa"/>
            <w:vAlign w:val="bottom"/>
            <w:gridSpan w:val="3"/>
          </w:tcPr>
          <w:p>
            <w:pPr>
              <w:ind w:left="55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1"/>
                <w:szCs w:val="11"/>
                <w:color w:val="auto"/>
              </w:rPr>
            </w:pPr>
          </w:p>
        </w:tc>
        <w:tc>
          <w:tcPr>
            <w:tcW w:w="1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21"/>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0" w:type="dxa"/>
            <w:vAlign w:val="bottom"/>
          </w:tcPr>
          <w:p>
            <w:pPr>
              <w:spacing w:after="0"/>
              <w:rPr>
                <w:sz w:val="11"/>
                <w:szCs w:val="11"/>
                <w:color w:val="auto"/>
              </w:rPr>
            </w:pPr>
          </w:p>
        </w:tc>
      </w:tr>
      <w:tr>
        <w:trPr>
          <w:trHeight w:val="106"/>
        </w:trPr>
        <w:tc>
          <w:tcPr>
            <w:tcW w:w="56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ind w:right="280"/>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21"/>
              <w:spacing w:after="0" w:line="106"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9"/>
                <w:szCs w:val="9"/>
                <w:color w:val="auto"/>
              </w:rPr>
            </w:pPr>
          </w:p>
        </w:tc>
      </w:tr>
      <w:tr>
        <w:trPr>
          <w:trHeight w:val="158"/>
        </w:trPr>
        <w:tc>
          <w:tcPr>
            <w:tcW w:w="5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w w:val="99"/>
              </w:rPr>
              <w:t>Note 2(e)</w:t>
            </w:r>
          </w:p>
        </w:tc>
      </w:tr>
      <w:tr>
        <w:trPr>
          <w:trHeight w:val="198"/>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center"/>
              <w:ind w:left="86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8"/>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(99,587)</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(20,371)</w:t>
            </w:r>
          </w:p>
        </w:tc>
        <w:tc>
          <w:tcPr>
            <w:tcW w:w="20" w:type="dxa"/>
            <w:vAlign w:val="bottom"/>
          </w:tcPr>
          <w:p>
            <w:pPr>
              <w:spacing w:after="0"/>
              <w:rPr>
                <w:sz w:val="17"/>
                <w:szCs w:val="17"/>
                <w:color w:val="auto"/>
              </w:rPr>
            </w:pPr>
          </w:p>
        </w:tc>
      </w:tr>
      <w:tr>
        <w:trPr>
          <w:trHeight w:val="19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(99,587)</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(104,001)</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(142,457)</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(20,371)</w:t>
            </w:r>
          </w:p>
        </w:tc>
        <w:tc>
          <w:tcPr>
            <w:tcW w:w="20" w:type="dxa"/>
            <w:vAlign w:val="bottom"/>
          </w:tcPr>
          <w:p>
            <w:pPr>
              <w:spacing w:after="0"/>
              <w:rPr>
                <w:sz w:val="16"/>
                <w:szCs w:val="16"/>
                <w:color w:val="auto"/>
              </w:rPr>
            </w:pPr>
          </w:p>
        </w:tc>
      </w:tr>
      <w:tr>
        <w:trPr>
          <w:trHeight w:val="190"/>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(99,587)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(104,001)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(20,371)</w:t>
            </w:r>
          </w:p>
        </w:tc>
        <w:tc>
          <w:tcPr>
            <w:tcW w:w="20" w:type="dxa"/>
            <w:vAlign w:val="bottom"/>
          </w:tcPr>
          <w:p>
            <w:pPr>
              <w:spacing w:after="0"/>
              <w:rPr>
                <w:sz w:val="16"/>
                <w:szCs w:val="16"/>
                <w:color w:val="auto"/>
              </w:rPr>
            </w:pPr>
          </w:p>
        </w:tc>
      </w:tr>
      <w:tr>
        <w:trPr>
          <w:trHeight w:val="198"/>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524,173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522,799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14,350</w:t>
            </w:r>
          </w:p>
        </w:tc>
        <w:tc>
          <w:tcPr>
            <w:tcW w:w="20" w:type="dxa"/>
            <w:vAlign w:val="bottom"/>
          </w:tcPr>
          <w:p>
            <w:pPr>
              <w:spacing w:after="0"/>
              <w:rPr>
                <w:sz w:val="17"/>
                <w:szCs w:val="17"/>
                <w:color w:val="auto"/>
              </w:rPr>
            </w:pPr>
          </w:p>
        </w:tc>
      </w:tr>
      <w:tr>
        <w:trPr>
          <w:trHeight w:val="198"/>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(207,649)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(392,179)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(52,347)</w:t>
            </w:r>
          </w:p>
        </w:tc>
        <w:tc>
          <w:tcPr>
            <w:tcW w:w="20" w:type="dxa"/>
            <w:vAlign w:val="bottom"/>
          </w:tcPr>
          <w:p>
            <w:pPr>
              <w:spacing w:after="0"/>
              <w:rPr>
                <w:sz w:val="17"/>
                <w:szCs w:val="17"/>
                <w:color w:val="auto"/>
              </w:rPr>
            </w:pPr>
          </w:p>
        </w:tc>
      </w:tr>
      <w:tr>
        <w:trPr>
          <w:trHeight w:val="198"/>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Gain/(loss) on extinguishment of debt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170,193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20" w:type="dxa"/>
            <w:vAlign w:val="bottom"/>
          </w:tcPr>
          <w:p>
            <w:pPr>
              <w:spacing w:after="0"/>
              <w:rPr>
                <w:sz w:val="17"/>
                <w:szCs w:val="17"/>
                <w:color w:val="auto"/>
              </w:rPr>
            </w:pPr>
          </w:p>
        </w:tc>
      </w:tr>
      <w:tr>
        <w:trPr>
          <w:trHeight w:val="198"/>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Equity in loss of subsidiaries and VIEs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(21,349,555)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(22,287,129)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(15,012,784)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(2,146,799)</w:t>
            </w:r>
          </w:p>
        </w:tc>
        <w:tc>
          <w:tcPr>
            <w:tcW w:w="20" w:type="dxa"/>
            <w:vAlign w:val="bottom"/>
          </w:tcPr>
          <w:p>
            <w:pPr>
              <w:spacing w:after="0"/>
              <w:rPr>
                <w:sz w:val="17"/>
                <w:szCs w:val="17"/>
                <w:color w:val="auto"/>
              </w:rPr>
            </w:pPr>
          </w:p>
        </w:tc>
      </w:tr>
      <w:tr>
        <w:trPr>
          <w:trHeight w:val="198"/>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income/(loss), net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121,800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73,745</w:t>
            </w:r>
          </w:p>
        </w:tc>
        <w:tc>
          <w:tcPr>
            <w:tcW w:w="20" w:type="dxa"/>
            <w:vAlign w:val="bottom"/>
          </w:tcPr>
          <w:p>
            <w:pPr>
              <w:spacing w:after="0"/>
              <w:rPr>
                <w:sz w:val="17"/>
                <w:szCs w:val="17"/>
                <w:color w:val="auto"/>
              </w:rPr>
            </w:pPr>
          </w:p>
        </w:tc>
      </w:tr>
      <w:tr>
        <w:trPr>
          <w:trHeight w:val="190"/>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 expense</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(20,840,625)</w:t>
            </w: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(22,274,469)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(14,919,899)</w:t>
            </w: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(2,133,518)</w:t>
            </w:r>
          </w:p>
        </w:tc>
        <w:tc>
          <w:tcPr>
            <w:tcW w:w="20" w:type="dxa"/>
            <w:vAlign w:val="bottom"/>
          </w:tcPr>
          <w:p>
            <w:pPr>
              <w:spacing w:after="0"/>
              <w:rPr>
                <w:sz w:val="16"/>
                <w:szCs w:val="16"/>
                <w:color w:val="auto"/>
              </w:rPr>
            </w:pPr>
          </w:p>
        </w:tc>
      </w:tr>
      <w:tr>
        <w:trPr>
          <w:trHeight w:val="198"/>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w:t>
            </w:r>
          </w:p>
        </w:tc>
        <w:tc>
          <w:tcPr>
            <w:tcW w:w="20" w:type="dxa"/>
            <w:vAlign w:val="bottom"/>
          </w:tcPr>
          <w:p>
            <w:pPr>
              <w:spacing w:after="0"/>
              <w:rPr>
                <w:sz w:val="17"/>
                <w:szCs w:val="17"/>
                <w:color w:val="auto"/>
              </w:rPr>
            </w:pPr>
          </w:p>
        </w:tc>
      </w:tr>
      <w:tr>
        <w:trPr>
          <w:trHeight w:val="198"/>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(20,843,804)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(22,310,176)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(14,960,821)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(2,139,368)</w:t>
            </w:r>
          </w:p>
        </w:tc>
        <w:tc>
          <w:tcPr>
            <w:tcW w:w="20" w:type="dxa"/>
            <w:vAlign w:val="bottom"/>
          </w:tcPr>
          <w:p>
            <w:pPr>
              <w:spacing w:after="0"/>
              <w:rPr>
                <w:sz w:val="17"/>
                <w:szCs w:val="17"/>
                <w:color w:val="auto"/>
              </w:rPr>
            </w:pPr>
          </w:p>
        </w:tc>
      </w:tr>
      <w:tr>
        <w:trPr>
          <w:trHeight w:val="198"/>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on redeemable non-controlling interests to redemption value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(303,163)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(347,516)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(87,208)</w:t>
            </w:r>
          </w:p>
        </w:tc>
        <w:tc>
          <w:tcPr>
            <w:tcW w:w="20" w:type="dxa"/>
            <w:vAlign w:val="bottom"/>
          </w:tcPr>
          <w:p>
            <w:pPr>
              <w:spacing w:after="0"/>
              <w:rPr>
                <w:sz w:val="17"/>
                <w:szCs w:val="17"/>
                <w:color w:val="auto"/>
              </w:rPr>
            </w:pPr>
          </w:p>
        </w:tc>
      </w:tr>
      <w:tr>
        <w:trPr>
          <w:trHeight w:val="19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ordinary shareholders of NIO Inc.</w:t>
            </w: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(21,146,967)</w:t>
            </w:r>
          </w:p>
        </w:tc>
        <w:tc>
          <w:tcPr>
            <w:tcW w:w="14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(22,657,692)</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(15,570,678)</w:t>
            </w: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(2,226,576)</w:t>
            </w:r>
          </w:p>
        </w:tc>
        <w:tc>
          <w:tcPr>
            <w:tcW w:w="20" w:type="dxa"/>
            <w:vAlign w:val="bottom"/>
          </w:tcPr>
          <w:p>
            <w:pPr>
              <w:spacing w:after="0"/>
              <w:rPr>
                <w:sz w:val="16"/>
                <w:szCs w:val="16"/>
                <w:color w:val="auto"/>
              </w:rPr>
            </w:pPr>
          </w:p>
        </w:tc>
      </w:tr>
      <w:tr>
        <w:trPr>
          <w:trHeight w:val="19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(20,843,804)</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(22,310,176)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(14,960,821)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(2,139,368)</w:t>
            </w:r>
          </w:p>
        </w:tc>
        <w:tc>
          <w:tcPr>
            <w:tcW w:w="20" w:type="dxa"/>
            <w:vAlign w:val="bottom"/>
          </w:tcPr>
          <w:p>
            <w:pPr>
              <w:spacing w:after="0"/>
              <w:rPr>
                <w:sz w:val="16"/>
                <w:szCs w:val="16"/>
                <w:color w:val="auto"/>
              </w:rPr>
            </w:pPr>
          </w:p>
        </w:tc>
      </w:tr>
      <w:tr>
        <w:trPr>
          <w:trHeight w:val="210"/>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(21,446,824)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(22,160,508)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(14,963,681)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(2,139,777)</w:t>
            </w:r>
          </w:p>
        </w:tc>
        <w:tc>
          <w:tcPr>
            <w:tcW w:w="20" w:type="dxa"/>
            <w:vAlign w:val="bottom"/>
          </w:tcPr>
          <w:p>
            <w:pPr>
              <w:spacing w:after="0"/>
              <w:rPr>
                <w:sz w:val="18"/>
                <w:szCs w:val="18"/>
                <w:color w:val="auto"/>
              </w:rPr>
            </w:pPr>
          </w:p>
        </w:tc>
      </w:tr>
      <w:tr>
        <w:trPr>
          <w:trHeight w:val="210"/>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on redeemable non-controlling interests to redemption value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(303,163)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(87,208)</w:t>
            </w:r>
          </w:p>
        </w:tc>
        <w:tc>
          <w:tcPr>
            <w:tcW w:w="20" w:type="dxa"/>
            <w:vAlign w:val="bottom"/>
          </w:tcPr>
          <w:p>
            <w:pPr>
              <w:spacing w:after="0"/>
              <w:rPr>
                <w:sz w:val="18"/>
                <w:szCs w:val="18"/>
                <w:color w:val="auto"/>
              </w:rPr>
            </w:pPr>
          </w:p>
        </w:tc>
      </w:tr>
      <w:tr>
        <w:trPr>
          <w:trHeight w:val="190"/>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loss attributable to ordinary shareholders of NIO Inc.</w:t>
            </w: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(21,749,987)</w:t>
            </w:r>
          </w:p>
        </w:tc>
        <w:tc>
          <w:tcPr>
            <w:tcW w:w="14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(22,508,024)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(15,573,538)</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(2,226,985)</w:t>
            </w:r>
          </w:p>
        </w:tc>
        <w:tc>
          <w:tcPr>
            <w:tcW w:w="20" w:type="dxa"/>
            <w:vAlign w:val="bottom"/>
          </w:tcPr>
          <w:p>
            <w:pPr>
              <w:spacing w:after="0"/>
              <w:rPr>
                <w:sz w:val="16"/>
                <w:szCs w:val="16"/>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57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Condensed Statements of Cash Flows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6"/>
        </w:trPr>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5740" w:type="dxa"/>
            <w:vAlign w:val="bottom"/>
            <w:gridSpan w:val="3"/>
          </w:tcPr>
          <w:p>
            <w:pPr>
              <w:ind w:left="56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1"/>
                <w:szCs w:val="11"/>
                <w:color w:val="auto"/>
              </w:rPr>
            </w:pPr>
          </w:p>
        </w:tc>
        <w:tc>
          <w:tcPr>
            <w:tcW w:w="1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21"/>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0" w:type="dxa"/>
            <w:vAlign w:val="bottom"/>
          </w:tcPr>
          <w:p>
            <w:pPr>
              <w:spacing w:after="0"/>
              <w:rPr>
                <w:sz w:val="11"/>
                <w:szCs w:val="11"/>
                <w:color w:val="auto"/>
              </w:rPr>
            </w:pPr>
          </w:p>
        </w:tc>
      </w:tr>
      <w:tr>
        <w:trPr>
          <w:trHeight w:val="106"/>
        </w:trPr>
        <w:tc>
          <w:tcPr>
            <w:tcW w:w="5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ind w:right="240"/>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21"/>
              <w:spacing w:after="0" w:line="106"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9"/>
                <w:szCs w:val="9"/>
                <w:color w:val="auto"/>
              </w:rPr>
            </w:pPr>
          </w:p>
        </w:tc>
      </w:tr>
      <w:tr>
        <w:trPr>
          <w:trHeight w:val="158"/>
        </w:trPr>
        <w:tc>
          <w:tcPr>
            <w:tcW w:w="5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w w:val="99"/>
              </w:rPr>
              <w:t>Note 2(e)</w:t>
            </w:r>
          </w:p>
        </w:tc>
      </w:tr>
      <w:tr>
        <w:trPr>
          <w:trHeight w:val="198"/>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8"/>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cash (used in)/provided by operating activities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(8,262,167)</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(5,348,151)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8,207,624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1,173,675</w:t>
            </w:r>
          </w:p>
        </w:tc>
        <w:tc>
          <w:tcPr>
            <w:tcW w:w="20" w:type="dxa"/>
            <w:vAlign w:val="bottom"/>
          </w:tcPr>
          <w:p>
            <w:pPr>
              <w:spacing w:after="0"/>
              <w:rPr>
                <w:sz w:val="17"/>
                <w:szCs w:val="17"/>
                <w:color w:val="auto"/>
              </w:rPr>
            </w:pPr>
          </w:p>
        </w:tc>
      </w:tr>
      <w:tr>
        <w:trPr>
          <w:trHeight w:val="190"/>
        </w:trPr>
        <w:tc>
          <w:tcPr>
            <w:tcW w:w="5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cash used in by investing activities</w:t>
            </w: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(1,972,672)</w:t>
            </w: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(9,838,095)</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(20,700,636)</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(2,960,152)</w:t>
            </w:r>
          </w:p>
        </w:tc>
        <w:tc>
          <w:tcPr>
            <w:tcW w:w="20" w:type="dxa"/>
            <w:vAlign w:val="bottom"/>
          </w:tcPr>
          <w:p>
            <w:pPr>
              <w:spacing w:after="0"/>
              <w:rPr>
                <w:sz w:val="16"/>
                <w:szCs w:val="16"/>
                <w:color w:val="auto"/>
              </w:rPr>
            </w:pPr>
          </w:p>
        </w:tc>
      </w:tr>
      <w:tr>
        <w:trPr>
          <w:trHeight w:val="190"/>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25,782,226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(3,190,866)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9,241,358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1,321,497</w:t>
            </w:r>
          </w:p>
        </w:tc>
        <w:tc>
          <w:tcPr>
            <w:tcW w:w="20" w:type="dxa"/>
            <w:vAlign w:val="bottom"/>
          </w:tcPr>
          <w:p>
            <w:pPr>
              <w:spacing w:after="0"/>
              <w:rPr>
                <w:sz w:val="17"/>
                <w:szCs w:val="17"/>
                <w:color w:val="auto"/>
              </w:rPr>
            </w:pPr>
          </w:p>
        </w:tc>
      </w:tr>
      <w:tr>
        <w:trPr>
          <w:trHeight w:val="190"/>
        </w:trPr>
        <w:tc>
          <w:tcPr>
            <w:tcW w:w="5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Effects of exchange rate changes on cash, cash equivalents and restricted cash</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52,552</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152,395</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(107,273)</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(15,340)</w:t>
            </w:r>
          </w:p>
        </w:tc>
        <w:tc>
          <w:tcPr>
            <w:tcW w:w="20" w:type="dxa"/>
            <w:vAlign w:val="bottom"/>
          </w:tcPr>
          <w:p>
            <w:pPr>
              <w:spacing w:after="0"/>
              <w:rPr>
                <w:sz w:val="16"/>
                <w:szCs w:val="16"/>
                <w:color w:val="auto"/>
              </w:rPr>
            </w:pPr>
          </w:p>
        </w:tc>
      </w:tr>
      <w:tr>
        <w:trPr>
          <w:trHeight w:val="158"/>
        </w:trPr>
        <w:tc>
          <w:tcPr>
            <w:tcW w:w="57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NET INCREASE/(DECREASE) IN CASH, CASH EQUIVALENTS AND</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57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15,599,939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(18,224,717)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(3,358,927)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(480,320)</w:t>
            </w:r>
          </w:p>
        </w:tc>
        <w:tc>
          <w:tcPr>
            <w:tcW w:w="20" w:type="dxa"/>
            <w:vAlign w:val="bottom"/>
          </w:tcPr>
          <w:p>
            <w:pPr>
              <w:spacing w:after="0"/>
              <w:rPr>
                <w:sz w:val="19"/>
                <w:szCs w:val="19"/>
                <w:color w:val="auto"/>
              </w:rPr>
            </w:pPr>
          </w:p>
        </w:tc>
      </w:tr>
      <w:tr>
        <w:trPr>
          <w:trHeight w:val="198"/>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year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7,076,550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22,676,489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4,451,772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636,595</w:t>
            </w:r>
          </w:p>
        </w:tc>
        <w:tc>
          <w:tcPr>
            <w:tcW w:w="20" w:type="dxa"/>
            <w:vAlign w:val="bottom"/>
          </w:tcPr>
          <w:p>
            <w:pPr>
              <w:spacing w:after="0"/>
              <w:rPr>
                <w:sz w:val="17"/>
                <w:szCs w:val="17"/>
                <w:color w:val="auto"/>
              </w:rPr>
            </w:pPr>
          </w:p>
        </w:tc>
      </w:tr>
      <w:tr>
        <w:trPr>
          <w:trHeight w:val="190"/>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year</w:t>
            </w:r>
          </w:p>
        </w:tc>
        <w:tc>
          <w:tcPr>
            <w:tcW w:w="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22,676,489</w:t>
            </w:r>
          </w:p>
        </w:tc>
        <w:tc>
          <w:tcPr>
            <w:tcW w:w="14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4,451,772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1,092,845</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156,275</w:t>
            </w:r>
          </w:p>
        </w:tc>
        <w:tc>
          <w:tcPr>
            <w:tcW w:w="20" w:type="dxa"/>
            <w:vAlign w:val="bottom"/>
          </w:tcPr>
          <w:p>
            <w:pPr>
              <w:spacing w:after="0"/>
              <w:rPr>
                <w:sz w:val="16"/>
                <w:szCs w:val="16"/>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60"/>
          </w:cols>
          <w:pgMar w:left="980" w:top="482" w:right="9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Basis of presentation</w:t>
      </w:r>
    </w:p>
    <w:p>
      <w:pPr>
        <w:spacing w:after="0" w:line="212"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The Company’s accounting policies are the same as the Group’s accounting policies with the exception of the accounting for the investments in subsidiaries and VIEs.</w:t>
      </w:r>
    </w:p>
    <w:p>
      <w:pPr>
        <w:spacing w:after="0" w:line="137" w:lineRule="exact"/>
        <w:rPr>
          <w:sz w:val="20"/>
          <w:szCs w:val="20"/>
          <w:color w:val="auto"/>
        </w:rPr>
      </w:pPr>
    </w:p>
    <w:p>
      <w:pPr>
        <w:jc w:val="both"/>
        <w:ind w:firstLine="297"/>
        <w:spacing w:after="0" w:line="298" w:lineRule="auto"/>
        <w:rPr>
          <w:sz w:val="20"/>
          <w:szCs w:val="20"/>
          <w:color w:val="auto"/>
        </w:rPr>
      </w:pPr>
      <w:r>
        <w:rPr>
          <w:rFonts w:ascii="Times New Roman" w:cs="Times New Roman" w:eastAsia="Times New Roman" w:hAnsi="Times New Roman"/>
          <w:sz w:val="16"/>
          <w:szCs w:val="16"/>
          <w:color w:val="auto"/>
        </w:rPr>
        <w:t>For the company only financial information, the Company records its investments in subsidiaries and VIEs under the equity method of accounting as prescribed in ASC 323, Investments—Equity Method and Joint Ventures.</w:t>
      </w:r>
    </w:p>
    <w:p>
      <w:pPr>
        <w:spacing w:after="0" w:line="137" w:lineRule="exact"/>
        <w:rPr>
          <w:sz w:val="20"/>
          <w:szCs w:val="20"/>
          <w:color w:val="auto"/>
        </w:rPr>
      </w:pPr>
    </w:p>
    <w:p>
      <w:pPr>
        <w:jc w:val="both"/>
        <w:ind w:firstLine="297"/>
        <w:spacing w:after="0" w:line="278" w:lineRule="auto"/>
        <w:rPr>
          <w:sz w:val="20"/>
          <w:szCs w:val="20"/>
          <w:color w:val="auto"/>
        </w:rPr>
      </w:pPr>
      <w:r>
        <w:rPr>
          <w:rFonts w:ascii="Times New Roman" w:cs="Times New Roman" w:eastAsia="Times New Roman" w:hAnsi="Times New Roman"/>
          <w:sz w:val="16"/>
          <w:szCs w:val="16"/>
          <w:color w:val="auto"/>
        </w:rPr>
        <w:t>Such investments are presented on the Balance Sheets as “Investments in subsidiaries and VIEs” and shares in the subsidiaries and VIEs’ loss are presented as “Equity in loss of subsidiaries and VIEs” on the Statements of Comprehensive Loss. The parent company only financial information should be read in conjunction with the Group’s consolidated financial statements.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3">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6"/>
          <w:szCs w:val="16"/>
          <w:b w:val="1"/>
          <w:bCs w:val="1"/>
          <w:color w:val="auto"/>
        </w:rPr>
        <w:t>Exhibit 4.44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SUPPLEMENTAL AGREEMENT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SHARE SUBSCRIPTION AGREEMENT</w:t>
      </w:r>
    </w:p>
    <w:p>
      <w:pPr>
        <w:spacing w:after="0" w:line="19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THIS SUPPLEMENTAL AGREEMENT TO SHARE SUBSCRIPTION AGREEMENT (this “</w:t>
      </w:r>
      <w:r>
        <w:rPr>
          <w:rFonts w:ascii="Times New Roman" w:cs="Times New Roman" w:eastAsia="Times New Roman" w:hAnsi="Times New Roman"/>
          <w:sz w:val="16"/>
          <w:szCs w:val="16"/>
          <w:b w:val="1"/>
          <w:bCs w:val="1"/>
          <w:color w:val="auto"/>
        </w:rPr>
        <w:t>Supplemental Agreement</w:t>
      </w:r>
      <w:r>
        <w:rPr>
          <w:rFonts w:ascii="Times New Roman" w:cs="Times New Roman" w:eastAsia="Times New Roman" w:hAnsi="Times New Roman"/>
          <w:sz w:val="16"/>
          <w:szCs w:val="16"/>
          <w:color w:val="auto"/>
        </w:rPr>
        <w:t>”), dated March 7, 2026, is entered into by and between NIO Inc., an exempted company incorporated in the Cayman Islands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CYVN Investments RSC Ltd, a restricted scope company incorporated in the Abu Dhabi Global Market, Abu Dhabi, United Arab Emirates (the “</w:t>
      </w:r>
      <w:r>
        <w:rPr>
          <w:rFonts w:ascii="Times New Roman" w:cs="Times New Roman" w:eastAsia="Times New Roman" w:hAnsi="Times New Roman"/>
          <w:sz w:val="16"/>
          <w:szCs w:val="16"/>
          <w:b w:val="1"/>
          <w:bCs w:val="1"/>
          <w:color w:val="auto"/>
        </w:rPr>
        <w:t>Purchaser</w:t>
      </w:r>
      <w:r>
        <w:rPr>
          <w:rFonts w:ascii="Times New Roman" w:cs="Times New Roman" w:eastAsia="Times New Roman" w:hAnsi="Times New Roman"/>
          <w:sz w:val="16"/>
          <w:szCs w:val="16"/>
          <w:color w:val="auto"/>
        </w:rPr>
        <w:t>”). Each of the parties to this Supplemental Agreement may hereinafter collectively be referred to as the “Parties” and respectively referred to as a “Party”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RECITALS</w:t>
      </w:r>
    </w:p>
    <w:p>
      <w:pPr>
        <w:spacing w:after="0" w:line="21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on December 18, 2023, the Company and the Purchaser entered into a Share Subscription Agreement (the “</w:t>
      </w:r>
      <w:r>
        <w:rPr>
          <w:rFonts w:ascii="Times New Roman" w:cs="Times New Roman" w:eastAsia="Times New Roman" w:hAnsi="Times New Roman"/>
          <w:sz w:val="16"/>
          <w:szCs w:val="16"/>
          <w:b w:val="1"/>
          <w:bCs w:val="1"/>
          <w:color w:val="auto"/>
        </w:rPr>
        <w:t>SPA</w:t>
      </w:r>
      <w:r>
        <w:rPr>
          <w:rFonts w:ascii="Times New Roman" w:cs="Times New Roman" w:eastAsia="Times New Roman" w:hAnsi="Times New Roman"/>
          <w:sz w:val="16"/>
          <w:szCs w:val="16"/>
          <w:color w:val="auto"/>
        </w:rPr>
        <w:t>”). Capitalized terms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used but not otherwise defined in this Supplemental Agreement shall have the meanings ascribed to them in the SPA.</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proposes to adopt a new share incentive plan (the “</w:t>
      </w:r>
      <w:r>
        <w:rPr>
          <w:rFonts w:ascii="Times New Roman" w:cs="Times New Roman" w:eastAsia="Times New Roman" w:hAnsi="Times New Roman"/>
          <w:sz w:val="16"/>
          <w:szCs w:val="16"/>
          <w:b w:val="1"/>
          <w:bCs w:val="1"/>
          <w:color w:val="auto"/>
        </w:rPr>
        <w:t>2026 Share Incentive Plan</w:t>
      </w:r>
      <w:r>
        <w:rPr>
          <w:rFonts w:ascii="Times New Roman" w:cs="Times New Roman" w:eastAsia="Times New Roman" w:hAnsi="Times New Roman"/>
          <w:sz w:val="16"/>
          <w:szCs w:val="16"/>
          <w:color w:val="auto"/>
        </w:rPr>
        <w:t>”), pursuant to which the maximum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number of Class A ordinary shares of the Company that may be issued pursuant to all awards under the 2026 Share Incentive Plan shall be 248,454,460.</w:t>
      </w:r>
    </w:p>
    <w:p>
      <w:pPr>
        <w:spacing w:after="0" w:line="34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it is the intention of the Parties that the issuance of shares under the 2026 Share Incentive Plan shall not adversely affect the Purchaser's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rights as stipulated in Sections 5(a)(i) of the SPA.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the undersigned Parties, intending to be legally bound, hereby agree as follows:</w:t>
      </w:r>
    </w:p>
    <w:p>
      <w:pPr>
        <w:spacing w:after="0" w:line="212" w:lineRule="exact"/>
        <w:rPr>
          <w:sz w:val="20"/>
          <w:szCs w:val="20"/>
          <w:color w:val="auto"/>
        </w:rPr>
      </w:pPr>
    </w:p>
    <w:p>
      <w:pPr>
        <w:jc w:val="both"/>
        <w:ind w:firstLine="594"/>
        <w:spacing w:after="0" w:line="269" w:lineRule="auto"/>
        <w:tabs>
          <w:tab w:leader="none" w:pos="1188"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Beneficial Ownership Thresholds</w:t>
      </w:r>
      <w:r>
        <w:rPr>
          <w:rFonts w:ascii="Times New Roman" w:cs="Times New Roman" w:eastAsia="Times New Roman" w:hAnsi="Times New Roman"/>
          <w:sz w:val="16"/>
          <w:szCs w:val="16"/>
          <w:color w:val="auto"/>
        </w:rPr>
        <w:t>. Notwithstanding the provisions set forth in Section 5 of the SPA, solely for the purpose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determining whether the Purchaser's beneficial ownership meets the relevant thresholds specified in the SPA for the director’s nomination right under Section 5(a)(i), the denominator, which represents the then-total issued and outstanding share capital of the Company (on a non-fully diluted basis), shall exclude the number of shares then issued pursuant to the 2026 Share Incentive Plan to Mr. Bin Li, the current chairman of the board of directors and chief executive officer of the Company.</w:t>
      </w:r>
    </w:p>
    <w:p>
      <w:pPr>
        <w:spacing w:after="0" w:line="157" w:lineRule="exact"/>
        <w:rPr>
          <w:rFonts w:ascii="Times New Roman" w:cs="Times New Roman" w:eastAsia="Times New Roman" w:hAnsi="Times New Roman"/>
          <w:sz w:val="16"/>
          <w:szCs w:val="16"/>
          <w:color w:val="auto"/>
        </w:rPr>
      </w:pPr>
    </w:p>
    <w:p>
      <w:pPr>
        <w:jc w:val="both"/>
        <w:ind w:firstLine="594"/>
        <w:spacing w:after="0" w:line="281" w:lineRule="auto"/>
        <w:tabs>
          <w:tab w:leader="none" w:pos="1188"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Governing Law; Arbitration</w:t>
      </w:r>
      <w:r>
        <w:rPr>
          <w:rFonts w:ascii="Times New Roman" w:cs="Times New Roman" w:eastAsia="Times New Roman" w:hAnsi="Times New Roman"/>
          <w:sz w:val="16"/>
          <w:szCs w:val="16"/>
          <w:color w:val="auto"/>
        </w:rPr>
        <w:t>. This Supplemental Agreement shall be governed by and construed in accordance with the laws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State of New York without giving effect to any choice or conflict of law provision or rule thereof. The “Governing Law; Arbitration” clause under Section 9(b) of the SPA shall apply to this Supplemental Agreement as if incorporated in this Supplemental Agreement.</w:t>
      </w:r>
    </w:p>
    <w:p>
      <w:pPr>
        <w:spacing w:after="0" w:line="145" w:lineRule="exact"/>
        <w:rPr>
          <w:rFonts w:ascii="Times New Roman" w:cs="Times New Roman" w:eastAsia="Times New Roman" w:hAnsi="Times New Roman"/>
          <w:sz w:val="16"/>
          <w:szCs w:val="16"/>
          <w:color w:val="auto"/>
        </w:rPr>
      </w:pPr>
    </w:p>
    <w:p>
      <w:pPr>
        <w:ind w:firstLine="594"/>
        <w:spacing w:after="0" w:line="303" w:lineRule="auto"/>
        <w:tabs>
          <w:tab w:leader="none" w:pos="1188"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Effectiveness</w:t>
      </w:r>
      <w:r>
        <w:rPr>
          <w:rFonts w:ascii="Times New Roman" w:cs="Times New Roman" w:eastAsia="Times New Roman" w:hAnsi="Times New Roman"/>
          <w:sz w:val="16"/>
          <w:szCs w:val="16"/>
          <w:color w:val="auto"/>
        </w:rPr>
        <w:t>. This Supplemental Agreement shall take effect as of the date hereof. In the event of a conflict between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Supplemental Agreement and the SPA, the terms and conditions of this Supplemental Agreement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586740</wp:posOffset>
            </wp:positionV>
            <wp:extent cx="6310630" cy="234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6"/>
          <w:szCs w:val="16"/>
          <w:color w:val="auto"/>
        </w:rPr>
        <w:t>IN WITNESS WHEREOF, the Parties have caused this Supplemental Agreement to be executed on the date first above written.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Bin Li</w:t>
            </w:r>
          </w:p>
        </w:tc>
      </w:tr>
      <w:tr>
        <w:trPr>
          <w:trHeight w:val="174"/>
        </w:trPr>
        <w:tc>
          <w:tcPr>
            <w:tcW w:w="5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93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Bin Li</w:t>
            </w:r>
          </w:p>
        </w:tc>
      </w:tr>
      <w:tr>
        <w:trPr>
          <w:trHeight w:val="21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 of Directors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Supplemental Agreement to Share Subscription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335280</wp:posOffset>
            </wp:positionV>
            <wp:extent cx="6310630" cy="234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6"/>
          <w:szCs w:val="16"/>
          <w:color w:val="auto"/>
        </w:rPr>
        <w:t>IN WITNESS WHEREOF, the Parties have caused this Supplemental Agreement to be executed on the date first above written.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CYVN INVESTMENTS RSC LTD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Samer Salah Mohammad Abdelhaq</w:t>
            </w:r>
          </w:p>
        </w:tc>
      </w:tr>
      <w:tr>
        <w:trPr>
          <w:trHeight w:val="174"/>
        </w:trPr>
        <w:tc>
          <w:tcPr>
            <w:tcW w:w="5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93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Samer Salah Mohammad Abdelhaq</w:t>
            </w:r>
          </w:p>
        </w:tc>
      </w:tr>
      <w:tr>
        <w:trPr>
          <w:trHeight w:val="21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396"/>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Eddy Skaf</w:t>
            </w:r>
          </w:p>
        </w:tc>
      </w:tr>
      <w:tr>
        <w:trPr>
          <w:trHeight w:val="174"/>
        </w:trPr>
        <w:tc>
          <w:tcPr>
            <w:tcW w:w="5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93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Eddy Skaf</w:t>
            </w:r>
          </w:p>
        </w:tc>
      </w:tr>
      <w:tr>
        <w:trPr>
          <w:trHeight w:val="21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792"/>
        </w:trPr>
        <w:tc>
          <w:tcPr>
            <w:tcW w:w="580" w:type="dxa"/>
            <w:vAlign w:val="bottom"/>
          </w:tcPr>
          <w:p>
            <w:pPr>
              <w:spacing w:after="0"/>
              <w:rPr>
                <w:sz w:val="24"/>
                <w:szCs w:val="24"/>
                <w:color w:val="auto"/>
              </w:rPr>
            </w:pPr>
          </w:p>
        </w:tc>
        <w:tc>
          <w:tcPr>
            <w:tcW w:w="93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Supplemental Agreement to Share Subscription Agreement</w:t>
            </w:r>
            <w:r>
              <w:rPr>
                <w:rFonts w:ascii="Times New Roman" w:cs="Times New Roman" w:eastAsia="Times New Roman" w:hAnsi="Times New Roman"/>
                <w:sz w:val="16"/>
                <w:szCs w:val="16"/>
                <w:color w:val="auto"/>
              </w:rPr>
              <w:t>]</w:t>
            </w:r>
          </w:p>
        </w:tc>
      </w:tr>
      <w:tr>
        <w:trPr>
          <w:trHeight w:val="512"/>
        </w:trPr>
        <w:tc>
          <w:tcPr>
            <w:tcW w:w="58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3" w:right="97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6"/>
          <w:szCs w:val="16"/>
          <w:b w:val="1"/>
          <w:bCs w:val="1"/>
          <w:color w:val="auto"/>
        </w:rPr>
        <w:t>Exhibit 4.46</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THIS DEED OF NOVATION AND VARIATION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Deed</w:t>
      </w:r>
      <w:r>
        <w:rPr>
          <w:rFonts w:ascii="Times New Roman" w:cs="Times New Roman" w:eastAsia="Times New Roman" w:hAnsi="Times New Roman"/>
          <w:sz w:val="16"/>
          <w:szCs w:val="16"/>
          <w:color w:val="auto"/>
        </w:rPr>
        <w:t>”) dated August 11, 2026 is made between: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PARTIES</w:t>
      </w:r>
    </w:p>
    <w:p>
      <w:pPr>
        <w:spacing w:after="0" w:line="212" w:lineRule="exact"/>
        <w:rPr>
          <w:sz w:val="20"/>
          <w:szCs w:val="20"/>
          <w:color w:val="auto"/>
        </w:rPr>
      </w:pPr>
    </w:p>
    <w:p>
      <w:pPr>
        <w:ind w:left="600" w:hanging="600"/>
        <w:spacing w:after="0" w:line="303" w:lineRule="auto"/>
        <w:tabs>
          <w:tab w:leader="none" w:pos="6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Forseven Limited </w:t>
      </w:r>
      <w:r>
        <w:rPr>
          <w:rFonts w:ascii="Times New Roman" w:cs="Times New Roman" w:eastAsia="Times New Roman" w:hAnsi="Times New Roman"/>
          <w:sz w:val="16"/>
          <w:szCs w:val="16"/>
          <w:color w:val="auto"/>
        </w:rPr>
        <w:t>incorporated and registered in England and Wales with company number 13981815 whose registered office is at Suite 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7th Floor 50 Broadway, London, United Kingdom, SW1H 0DB (“</w:t>
      </w:r>
      <w:r>
        <w:rPr>
          <w:rFonts w:ascii="Times New Roman" w:cs="Times New Roman" w:eastAsia="Times New Roman" w:hAnsi="Times New Roman"/>
          <w:sz w:val="16"/>
          <w:szCs w:val="16"/>
          <w:b w:val="1"/>
          <w:bCs w:val="1"/>
          <w:color w:val="auto"/>
        </w:rPr>
        <w:t>Forseven</w:t>
      </w:r>
      <w:r>
        <w:rPr>
          <w:rFonts w:ascii="Times New Roman" w:cs="Times New Roman" w:eastAsia="Times New Roman" w:hAnsi="Times New Roman"/>
          <w:sz w:val="16"/>
          <w:szCs w:val="16"/>
          <w:color w:val="auto"/>
        </w:rPr>
        <w:t>”);</w:t>
      </w:r>
    </w:p>
    <w:p>
      <w:pPr>
        <w:spacing w:after="0" w:line="129" w:lineRule="exact"/>
        <w:rPr>
          <w:rFonts w:ascii="Times New Roman" w:cs="Times New Roman" w:eastAsia="Times New Roman" w:hAnsi="Times New Roman"/>
          <w:sz w:val="16"/>
          <w:szCs w:val="16"/>
          <w:color w:val="auto"/>
        </w:rPr>
      </w:pPr>
    </w:p>
    <w:p>
      <w:pPr>
        <w:ind w:left="600" w:hanging="600"/>
        <w:spacing w:after="0" w:line="303" w:lineRule="auto"/>
        <w:tabs>
          <w:tab w:leader="none" w:pos="6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McLaren Automotive Limited </w:t>
      </w:r>
      <w:r>
        <w:rPr>
          <w:rFonts w:ascii="Times New Roman" w:cs="Times New Roman" w:eastAsia="Times New Roman" w:hAnsi="Times New Roman"/>
          <w:sz w:val="16"/>
          <w:szCs w:val="16"/>
          <w:color w:val="auto"/>
        </w:rPr>
        <w:t>incorporated and registered in England and Wales with company number 01967717 whose registered office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at Mclaren Technology Centre, Chertsey Road, Woking, Surrey, GU21 4YH (“</w:t>
      </w:r>
      <w:r>
        <w:rPr>
          <w:rFonts w:ascii="Times New Roman" w:cs="Times New Roman" w:eastAsia="Times New Roman" w:hAnsi="Times New Roman"/>
          <w:sz w:val="16"/>
          <w:szCs w:val="16"/>
          <w:b w:val="1"/>
          <w:bCs w:val="1"/>
          <w:color w:val="auto"/>
        </w:rPr>
        <w:t>MAL</w:t>
      </w:r>
      <w:r>
        <w:rPr>
          <w:rFonts w:ascii="Times New Roman" w:cs="Times New Roman" w:eastAsia="Times New Roman" w:hAnsi="Times New Roman"/>
          <w:sz w:val="16"/>
          <w:szCs w:val="16"/>
          <w:color w:val="auto"/>
        </w:rPr>
        <w:t>”); and</w:t>
      </w:r>
    </w:p>
    <w:p>
      <w:pPr>
        <w:spacing w:after="0" w:line="141" w:lineRule="exact"/>
        <w:rPr>
          <w:rFonts w:ascii="Times New Roman" w:cs="Times New Roman" w:eastAsia="Times New Roman" w:hAnsi="Times New Roman"/>
          <w:sz w:val="16"/>
          <w:szCs w:val="16"/>
          <w:color w:val="auto"/>
        </w:rPr>
      </w:pPr>
    </w:p>
    <w:p>
      <w:pPr>
        <w:jc w:val="both"/>
        <w:ind w:left="600" w:hanging="600"/>
        <w:spacing w:after="0" w:line="209" w:lineRule="exact"/>
        <w:tabs>
          <w:tab w:leader="none" w:pos="6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NIO Technology (Anhui) Co.</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Ltd. </w:t>
      </w:r>
      <w:r>
        <w:rPr>
          <w:rFonts w:ascii="Times New Roman" w:cs="Times New Roman" w:eastAsia="Times New Roman" w:hAnsi="Times New Roman"/>
          <w:sz w:val="16"/>
          <w:szCs w:val="16"/>
          <w:color w:val="auto"/>
        </w:rPr>
        <w:t>incorporated and registered in the People’s Republic of China whose registered office is at Building 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Hengchuang Intelligent Technology Park, No. 3963, Susong Road, Economic and Technological Development Zone, Hefei City, Anhui Province, PRC (“</w:t>
      </w:r>
      <w:r>
        <w:rPr>
          <w:rFonts w:ascii="Times New Roman" w:cs="Times New Roman" w:eastAsia="Times New Roman" w:hAnsi="Times New Roman"/>
          <w:sz w:val="16"/>
          <w:szCs w:val="16"/>
          <w:b w:val="1"/>
          <w:bCs w:val="1"/>
          <w:color w:val="auto"/>
        </w:rPr>
        <w:t>NIO</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-318770</wp:posOffset>
            </wp:positionV>
            <wp:extent cx="43180" cy="552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6">
                      <a:extLst>
                        <a:ext uri="{28A0092B-C50C-407E-A947-70E740481C1C}"/>
                      </a:extLst>
                    </a:blip>
                    <a:srcRect/>
                    <a:stretch>
                      <a:fillRect/>
                    </a:stretch>
                  </pic:blipFill>
                  <pic:spPr bwMode="auto">
                    <a:xfrm>
                      <a:off x="0" y="0"/>
                      <a:ext cx="43180" cy="5524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being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and together being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16" w:lineRule="exact"/>
        <w:rPr>
          <w:sz w:val="20"/>
          <w:szCs w:val="20"/>
          <w:color w:val="auto"/>
        </w:rPr>
      </w:pPr>
    </w:p>
    <w:p>
      <w:pPr>
        <w:ind w:left="600" w:hanging="600"/>
        <w:spacing w:after="0"/>
        <w:tabs>
          <w:tab w:leader="none" w:pos="6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Forseven and NIO are parties to the Contract.</w:t>
      </w:r>
    </w:p>
    <w:p>
      <w:pPr>
        <w:spacing w:after="0" w:line="212" w:lineRule="exact"/>
        <w:rPr>
          <w:rFonts w:ascii="Times New Roman" w:cs="Times New Roman" w:eastAsia="Times New Roman" w:hAnsi="Times New Roman"/>
          <w:sz w:val="16"/>
          <w:szCs w:val="16"/>
          <w:color w:val="auto"/>
        </w:rPr>
      </w:pPr>
    </w:p>
    <w:p>
      <w:pPr>
        <w:ind w:left="600" w:hanging="600"/>
        <w:spacing w:after="0"/>
        <w:tabs>
          <w:tab w:leader="none" w:pos="6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wish to vary the terms of the Contract as detailed in this Deed, and with effect from the Amendment Date.</w:t>
      </w:r>
    </w:p>
    <w:p>
      <w:pPr>
        <w:spacing w:after="0" w:line="212" w:lineRule="exact"/>
        <w:rPr>
          <w:rFonts w:ascii="Times New Roman" w:cs="Times New Roman" w:eastAsia="Times New Roman" w:hAnsi="Times New Roman"/>
          <w:sz w:val="16"/>
          <w:szCs w:val="16"/>
          <w:color w:val="auto"/>
        </w:rPr>
      </w:pPr>
    </w:p>
    <w:p>
      <w:pPr>
        <w:jc w:val="both"/>
        <w:ind w:left="600" w:hanging="600"/>
        <w:spacing w:after="0" w:line="278" w:lineRule="auto"/>
        <w:tabs>
          <w:tab w:leader="none" w:pos="6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Forseven and MAL are part of the same corporate group, both being subsidiaries of McLaren Group Holdings Limited. As at the date of this Deed, that corporate group is undergoing an internal restructuring which is intended to result in the business and assets of Forseven being transferred to MAL (the “</w:t>
      </w:r>
      <w:r>
        <w:rPr>
          <w:rFonts w:ascii="Times New Roman" w:cs="Times New Roman" w:eastAsia="Times New Roman" w:hAnsi="Times New Roman"/>
          <w:sz w:val="16"/>
          <w:szCs w:val="16"/>
          <w:b w:val="1"/>
          <w:bCs w:val="1"/>
          <w:color w:val="auto"/>
        </w:rPr>
        <w:t>Business Transfer</w:t>
      </w:r>
      <w:r>
        <w:rPr>
          <w:rFonts w:ascii="Times New Roman" w:cs="Times New Roman" w:eastAsia="Times New Roman" w:hAnsi="Times New Roman"/>
          <w:sz w:val="16"/>
          <w:szCs w:val="16"/>
          <w:color w:val="auto"/>
        </w:rPr>
        <w:t>”), following which Forseven is expected to be dissolved.</w:t>
      </w:r>
    </w:p>
    <w:p>
      <w:pPr>
        <w:spacing w:after="0" w:line="152" w:lineRule="exact"/>
        <w:rPr>
          <w:rFonts w:ascii="Times New Roman" w:cs="Times New Roman" w:eastAsia="Times New Roman" w:hAnsi="Times New Roman"/>
          <w:sz w:val="16"/>
          <w:szCs w:val="16"/>
          <w:color w:val="auto"/>
        </w:rPr>
      </w:pPr>
    </w:p>
    <w:p>
      <w:pPr>
        <w:ind w:left="600" w:hanging="600"/>
        <w:spacing w:after="0" w:line="298" w:lineRule="auto"/>
        <w:tabs>
          <w:tab w:leader="none" w:pos="6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wish to novate the Contract such that MAL is substituted for Forseven on the terms of the Contract, to be effective on completion of the Business Transfer.</w:t>
      </w:r>
    </w:p>
    <w:p>
      <w:pPr>
        <w:spacing w:after="0" w:line="137" w:lineRule="exact"/>
        <w:rPr>
          <w:rFonts w:ascii="Times New Roman" w:cs="Times New Roman" w:eastAsia="Times New Roman" w:hAnsi="Times New Roman"/>
          <w:sz w:val="16"/>
          <w:szCs w:val="16"/>
          <w:color w:val="auto"/>
        </w:rPr>
      </w:pPr>
    </w:p>
    <w:p>
      <w:pPr>
        <w:ind w:left="600" w:hanging="600"/>
        <w:spacing w:after="0"/>
        <w:tabs>
          <w:tab w:leader="none" w:pos="6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MAL has agreed to perform all Forseven’s obligations under the Contract with effect from the Novation Date on the terms of this Deed.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WHEREBY IT IS AGREED </w:t>
      </w:r>
      <w:r>
        <w:rPr>
          <w:rFonts w:ascii="Times New Roman" w:cs="Times New Roman" w:eastAsia="Times New Roman" w:hAnsi="Times New Roman"/>
          <w:sz w:val="16"/>
          <w:szCs w:val="16"/>
          <w:color w:val="auto"/>
        </w:rPr>
        <w:t>as follows:</w:t>
      </w:r>
    </w:p>
    <w:p>
      <w:pPr>
        <w:spacing w:after="0" w:line="212" w:lineRule="exact"/>
        <w:rPr>
          <w:sz w:val="20"/>
          <w:szCs w:val="20"/>
          <w:color w:val="auto"/>
        </w:rPr>
      </w:pPr>
    </w:p>
    <w:p>
      <w:pPr>
        <w:ind w:left="600" w:hanging="600"/>
        <w:spacing w:after="0"/>
        <w:tabs>
          <w:tab w:leader="none" w:pos="60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DEFINITIONS AND INTERPRETATION</w:t>
      </w:r>
    </w:p>
    <w:p>
      <w:pPr>
        <w:spacing w:after="0" w:line="21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In this Deed, expressions defined in the Contract and used in this Deed have the meaning set out in the Contract unless otherwise defined.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rules of interpretation set out in the Contract apply to this Deed.</w:t>
      </w:r>
    </w:p>
    <w:p>
      <w:pPr>
        <w:spacing w:after="0" w:line="19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addition, in this Deed, the following terms shall have the meanings set out below:</w:t>
      </w:r>
    </w:p>
    <w:p>
      <w:pPr>
        <w:spacing w:after="0" w:line="208" w:lineRule="exact"/>
        <w:rPr>
          <w:sz w:val="20"/>
          <w:szCs w:val="20"/>
          <w:color w:val="auto"/>
        </w:rPr>
      </w:pPr>
    </w:p>
    <w:p>
      <w:pPr>
        <w:ind w:left="600"/>
        <w:spacing w:after="0"/>
        <w:tabs>
          <w:tab w:leader="none" w:pos="1320" w:val="left"/>
        </w:tabs>
        <w:rPr>
          <w:sz w:val="20"/>
          <w:szCs w:val="20"/>
          <w:color w:val="auto"/>
        </w:rPr>
      </w:pPr>
      <w:r>
        <w:rPr>
          <w:rFonts w:ascii="Times New Roman" w:cs="Times New Roman" w:eastAsia="Times New Roman" w:hAnsi="Times New Roman"/>
          <w:sz w:val="16"/>
          <w:szCs w:val="16"/>
          <w:color w:val="auto"/>
        </w:rPr>
        <w:t>1.2.1</w:t>
      </w:r>
      <w:r>
        <w:rPr>
          <w:sz w:val="20"/>
          <w:szCs w:val="20"/>
          <w:color w:val="auto"/>
        </w:rPr>
        <w:tab/>
      </w:r>
      <w:r>
        <w:rPr>
          <w:rFonts w:ascii="Times New Roman" w:cs="Times New Roman" w:eastAsia="Times New Roman" w:hAnsi="Times New Roman"/>
          <w:sz w:val="16"/>
          <w:szCs w:val="16"/>
          <w:b w:val="1"/>
          <w:bCs w:val="1"/>
          <w:color w:val="auto"/>
        </w:rPr>
        <w:t xml:space="preserve">Amendment Date </w:t>
      </w:r>
      <w:r>
        <w:rPr>
          <w:rFonts w:ascii="Times New Roman" w:cs="Times New Roman" w:eastAsia="Times New Roman" w:hAnsi="Times New Roman"/>
          <w:sz w:val="16"/>
          <w:szCs w:val="16"/>
          <w:color w:val="auto"/>
        </w:rPr>
        <w:t>means;</w:t>
      </w:r>
    </w:p>
    <w:p>
      <w:pPr>
        <w:spacing w:after="0" w:line="212" w:lineRule="exact"/>
        <w:rPr>
          <w:sz w:val="20"/>
          <w:szCs w:val="20"/>
          <w:color w:val="auto"/>
        </w:rPr>
      </w:pPr>
    </w:p>
    <w:p>
      <w:pPr>
        <w:ind w:left="1340" w:hanging="742"/>
        <w:spacing w:after="0" w:line="303" w:lineRule="auto"/>
        <w:tabs>
          <w:tab w:leader="none" w:pos="1320" w:val="left"/>
        </w:tabs>
        <w:rPr>
          <w:sz w:val="20"/>
          <w:szCs w:val="20"/>
          <w:color w:val="auto"/>
        </w:rPr>
      </w:pPr>
      <w:r>
        <w:rPr>
          <w:rFonts w:ascii="Times New Roman" w:cs="Times New Roman" w:eastAsia="Times New Roman" w:hAnsi="Times New Roman"/>
          <w:sz w:val="16"/>
          <w:szCs w:val="16"/>
          <w:color w:val="auto"/>
        </w:rPr>
        <w:t>1.2.2</w:t>
      </w:r>
      <w:r>
        <w:rPr>
          <w:sz w:val="20"/>
          <w:szCs w:val="20"/>
          <w:color w:val="auto"/>
        </w:rPr>
        <w:tab/>
      </w:r>
      <w:r>
        <w:rPr>
          <w:rFonts w:ascii="Times New Roman" w:cs="Times New Roman" w:eastAsia="Times New Roman" w:hAnsi="Times New Roman"/>
          <w:sz w:val="16"/>
          <w:szCs w:val="16"/>
          <w:b w:val="1"/>
          <w:bCs w:val="1"/>
          <w:color w:val="auto"/>
        </w:rPr>
        <w:t xml:space="preserve">Business Transfer Confirmation Notice </w:t>
      </w:r>
      <w:r>
        <w:rPr>
          <w:rFonts w:ascii="Times New Roman" w:cs="Times New Roman" w:eastAsia="Times New Roman" w:hAnsi="Times New Roman"/>
          <w:sz w:val="16"/>
          <w:szCs w:val="16"/>
          <w:color w:val="auto"/>
        </w:rPr>
        <w:t>means a written notice from a Board Director of MAL to NIO certifying that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Business Transfer has taken effect;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51" w:name="page252"/>
    <w:bookmarkEnd w:id="251"/>
    <w:p>
      <w:pPr>
        <w:ind w:left="8140"/>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12" w:lineRule="exact"/>
        <w:rPr>
          <w:sz w:val="20"/>
          <w:szCs w:val="20"/>
          <w:color w:val="auto"/>
        </w:rPr>
      </w:pPr>
    </w:p>
    <w:p>
      <w:pPr>
        <w:ind w:left="600"/>
        <w:spacing w:after="0"/>
        <w:tabs>
          <w:tab w:leader="none" w:pos="1320" w:val="left"/>
        </w:tabs>
        <w:rPr>
          <w:sz w:val="20"/>
          <w:szCs w:val="20"/>
          <w:color w:val="auto"/>
        </w:rPr>
      </w:pPr>
      <w:r>
        <w:rPr>
          <w:rFonts w:ascii="Times New Roman" w:cs="Times New Roman" w:eastAsia="Times New Roman" w:hAnsi="Times New Roman"/>
          <w:sz w:val="16"/>
          <w:szCs w:val="16"/>
          <w:color w:val="auto"/>
        </w:rPr>
        <w:t>1.2.3</w:t>
      </w:r>
      <w:r>
        <w:rPr>
          <w:sz w:val="20"/>
          <w:szCs w:val="20"/>
          <w:color w:val="auto"/>
        </w:rPr>
        <w:tab/>
      </w:r>
      <w:r>
        <w:rPr>
          <w:rFonts w:ascii="Times New Roman" w:cs="Times New Roman" w:eastAsia="Times New Roman" w:hAnsi="Times New Roman"/>
          <w:sz w:val="16"/>
          <w:szCs w:val="16"/>
          <w:b w:val="1"/>
          <w:bCs w:val="1"/>
          <w:color w:val="auto"/>
        </w:rPr>
        <w:t xml:space="preserve">Contract </w:t>
      </w:r>
      <w:r>
        <w:rPr>
          <w:rFonts w:ascii="Times New Roman" w:cs="Times New Roman" w:eastAsia="Times New Roman" w:hAnsi="Times New Roman"/>
          <w:sz w:val="16"/>
          <w:szCs w:val="16"/>
          <w:color w:val="auto"/>
        </w:rPr>
        <w:t>means the Technology Licence Agreement between Forseven and NIO dated 26 February 2024; and</w:t>
      </w:r>
    </w:p>
    <w:p>
      <w:pPr>
        <w:spacing w:after="0" w:line="212" w:lineRule="exact"/>
        <w:rPr>
          <w:sz w:val="20"/>
          <w:szCs w:val="20"/>
          <w:color w:val="auto"/>
        </w:rPr>
      </w:pPr>
    </w:p>
    <w:p>
      <w:pPr>
        <w:ind w:left="600"/>
        <w:spacing w:after="0"/>
        <w:tabs>
          <w:tab w:leader="none" w:pos="1320" w:val="left"/>
        </w:tabs>
        <w:rPr>
          <w:sz w:val="20"/>
          <w:szCs w:val="20"/>
          <w:color w:val="auto"/>
        </w:rPr>
      </w:pPr>
      <w:r>
        <w:rPr>
          <w:rFonts w:ascii="Times New Roman" w:cs="Times New Roman" w:eastAsia="Times New Roman" w:hAnsi="Times New Roman"/>
          <w:sz w:val="16"/>
          <w:szCs w:val="16"/>
          <w:color w:val="auto"/>
        </w:rPr>
        <w:t>1.2.4</w:t>
      </w:r>
      <w:r>
        <w:rPr>
          <w:sz w:val="20"/>
          <w:szCs w:val="20"/>
          <w:color w:val="auto"/>
        </w:rPr>
        <w:tab/>
      </w:r>
      <w:r>
        <w:rPr>
          <w:rFonts w:ascii="Times New Roman" w:cs="Times New Roman" w:eastAsia="Times New Roman" w:hAnsi="Times New Roman"/>
          <w:sz w:val="16"/>
          <w:szCs w:val="16"/>
          <w:b w:val="1"/>
          <w:bCs w:val="1"/>
          <w:color w:val="auto"/>
        </w:rPr>
        <w:t xml:space="preserve">Novation Date </w:t>
      </w:r>
      <w:r>
        <w:rPr>
          <w:rFonts w:ascii="Times New Roman" w:cs="Times New Roman" w:eastAsia="Times New Roman" w:hAnsi="Times New Roman"/>
          <w:sz w:val="16"/>
          <w:szCs w:val="16"/>
          <w:color w:val="auto"/>
        </w:rPr>
        <w:t>means the date of the Business Transfer Confirmation .</w:t>
      </w:r>
    </w:p>
    <w:p>
      <w:pPr>
        <w:spacing w:after="0" w:line="212" w:lineRule="exact"/>
        <w:rPr>
          <w:sz w:val="20"/>
          <w:szCs w:val="20"/>
          <w:color w:val="auto"/>
        </w:rPr>
      </w:pPr>
    </w:p>
    <w:p>
      <w:pPr>
        <w:ind w:left="600" w:hanging="600"/>
        <w:spacing w:after="0"/>
        <w:tabs>
          <w:tab w:leader="none" w:pos="60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NOVATION</w:t>
      </w:r>
    </w:p>
    <w:p>
      <w:pPr>
        <w:spacing w:after="0" w:line="216" w:lineRule="exact"/>
        <w:rPr>
          <w:sz w:val="20"/>
          <w:szCs w:val="20"/>
          <w:color w:val="auto"/>
        </w:rPr>
      </w:pPr>
    </w:p>
    <w:p>
      <w:pPr>
        <w:jc w:val="both"/>
        <w:ind w:left="600" w:hanging="593"/>
        <w:spacing w:after="0" w:line="278" w:lineRule="auto"/>
        <w:tabs>
          <w:tab w:leader="none" w:pos="580"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color w:val="auto"/>
        </w:rPr>
        <w:t>Each of MAL and Forseven warrant to NIO that the Business Transfer Confirmation Notice served pursuant to this Deed will be dated with the date on which the Business Transfer actually took effect such that the novation of the Contract pursuant to this Deed takes effect on the date the Business Transfer took effect.</w:t>
      </w:r>
    </w:p>
    <w:p>
      <w:pPr>
        <w:spacing w:after="0" w:line="15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6"/>
          <w:szCs w:val="16"/>
          <w:color w:val="auto"/>
        </w:rPr>
        <w:t>With effect from the Novation Date, Forseven;</w:t>
      </w:r>
    </w:p>
    <w:p>
      <w:pPr>
        <w:spacing w:after="0" w:line="212" w:lineRule="exact"/>
        <w:rPr>
          <w:sz w:val="20"/>
          <w:szCs w:val="20"/>
          <w:color w:val="auto"/>
        </w:rPr>
      </w:pPr>
    </w:p>
    <w:p>
      <w:pPr>
        <w:jc w:val="both"/>
        <w:ind w:left="1340" w:hanging="742"/>
        <w:spacing w:after="0" w:line="298" w:lineRule="auto"/>
        <w:tabs>
          <w:tab w:leader="none" w:pos="1320" w:val="left"/>
        </w:tabs>
        <w:rPr>
          <w:sz w:val="20"/>
          <w:szCs w:val="20"/>
          <w:color w:val="auto"/>
        </w:rPr>
      </w:pPr>
      <w:r>
        <w:rPr>
          <w:rFonts w:ascii="Times New Roman" w:cs="Times New Roman" w:eastAsia="Times New Roman" w:hAnsi="Times New Roman"/>
          <w:sz w:val="16"/>
          <w:szCs w:val="16"/>
          <w:color w:val="auto"/>
        </w:rPr>
        <w:t>2.2.1</w:t>
      </w:r>
      <w:r>
        <w:rPr>
          <w:sz w:val="20"/>
          <w:szCs w:val="20"/>
          <w:color w:val="auto"/>
        </w:rPr>
        <w:tab/>
      </w:r>
      <w:r>
        <w:rPr>
          <w:rFonts w:ascii="Times New Roman" w:cs="Times New Roman" w:eastAsia="Times New Roman" w:hAnsi="Times New Roman"/>
          <w:sz w:val="16"/>
          <w:szCs w:val="16"/>
          <w:color w:val="auto"/>
        </w:rPr>
        <w:t>by way of novation, irrevocably and unconditionally novates and transfers all its rights, obligations and liabilities under and in connection with the Contract (whether arising before, on or after the Novation Date) to MAL; and</w:t>
      </w:r>
    </w:p>
    <w:p>
      <w:pPr>
        <w:spacing w:after="0" w:line="137" w:lineRule="exact"/>
        <w:rPr>
          <w:sz w:val="20"/>
          <w:szCs w:val="20"/>
          <w:color w:val="auto"/>
        </w:rPr>
      </w:pPr>
    </w:p>
    <w:p>
      <w:pPr>
        <w:ind w:left="600"/>
        <w:spacing w:after="0"/>
        <w:tabs>
          <w:tab w:leader="none" w:pos="1320" w:val="left"/>
        </w:tabs>
        <w:rPr>
          <w:sz w:val="20"/>
          <w:szCs w:val="20"/>
          <w:color w:val="auto"/>
        </w:rPr>
      </w:pPr>
      <w:r>
        <w:rPr>
          <w:rFonts w:ascii="Times New Roman" w:cs="Times New Roman" w:eastAsia="Times New Roman" w:hAnsi="Times New Roman"/>
          <w:sz w:val="16"/>
          <w:szCs w:val="16"/>
          <w:color w:val="auto"/>
        </w:rPr>
        <w:t>2.2.2</w:t>
      </w:r>
      <w:r>
        <w:rPr>
          <w:sz w:val="20"/>
          <w:szCs w:val="20"/>
          <w:color w:val="auto"/>
        </w:rPr>
        <w:tab/>
      </w:r>
      <w:r>
        <w:rPr>
          <w:rFonts w:ascii="Times New Roman" w:cs="Times New Roman" w:eastAsia="Times New Roman" w:hAnsi="Times New Roman"/>
          <w:sz w:val="16"/>
          <w:szCs w:val="16"/>
          <w:color w:val="auto"/>
        </w:rPr>
        <w:t>releases and discharges NIO from all liabilities and obligations to Forseven under the Contract.</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6"/>
          <w:szCs w:val="16"/>
          <w:color w:val="auto"/>
        </w:rPr>
        <w:t>With effect from the Novation Date, MAL, by way of novation:</w:t>
      </w:r>
    </w:p>
    <w:p>
      <w:pPr>
        <w:spacing w:after="0" w:line="212" w:lineRule="exact"/>
        <w:rPr>
          <w:sz w:val="20"/>
          <w:szCs w:val="20"/>
          <w:color w:val="auto"/>
        </w:rPr>
      </w:pPr>
    </w:p>
    <w:p>
      <w:pPr>
        <w:jc w:val="both"/>
        <w:ind w:left="1340" w:hanging="742"/>
        <w:spacing w:after="0" w:line="298" w:lineRule="auto"/>
        <w:tabs>
          <w:tab w:leader="none" w:pos="1320" w:val="left"/>
        </w:tabs>
        <w:rPr>
          <w:sz w:val="20"/>
          <w:szCs w:val="20"/>
          <w:color w:val="auto"/>
        </w:rPr>
      </w:pPr>
      <w:r>
        <w:rPr>
          <w:rFonts w:ascii="Times New Roman" w:cs="Times New Roman" w:eastAsia="Times New Roman" w:hAnsi="Times New Roman"/>
          <w:sz w:val="16"/>
          <w:szCs w:val="16"/>
          <w:color w:val="auto"/>
        </w:rPr>
        <w:t>2.3.1</w:t>
      </w:r>
      <w:r>
        <w:rPr>
          <w:sz w:val="20"/>
          <w:szCs w:val="20"/>
          <w:color w:val="auto"/>
        </w:rPr>
        <w:tab/>
      </w:r>
      <w:r>
        <w:rPr>
          <w:rFonts w:ascii="Times New Roman" w:cs="Times New Roman" w:eastAsia="Times New Roman" w:hAnsi="Times New Roman"/>
          <w:sz w:val="16"/>
          <w:szCs w:val="16"/>
          <w:color w:val="auto"/>
        </w:rPr>
        <w:t>accepts the novation and transfer of all of Forseven’s rights, obligations and liabilities under and in connection with the Contract, whether arising before, on or after the Novation Date, in accordance with clause 2.1;</w:t>
      </w:r>
    </w:p>
    <w:p>
      <w:pPr>
        <w:spacing w:after="0" w:line="137" w:lineRule="exact"/>
        <w:rPr>
          <w:sz w:val="20"/>
          <w:szCs w:val="20"/>
          <w:color w:val="auto"/>
        </w:rPr>
      </w:pPr>
    </w:p>
    <w:p>
      <w:pPr>
        <w:jc w:val="both"/>
        <w:ind w:left="1340" w:hanging="742"/>
        <w:spacing w:after="0" w:line="278" w:lineRule="auto"/>
        <w:tabs>
          <w:tab w:leader="none" w:pos="1320" w:val="left"/>
        </w:tabs>
        <w:rPr>
          <w:sz w:val="20"/>
          <w:szCs w:val="20"/>
          <w:color w:val="auto"/>
        </w:rPr>
      </w:pPr>
      <w:r>
        <w:rPr>
          <w:rFonts w:ascii="Times New Roman" w:cs="Times New Roman" w:eastAsia="Times New Roman" w:hAnsi="Times New Roman"/>
          <w:sz w:val="16"/>
          <w:szCs w:val="16"/>
          <w:color w:val="auto"/>
        </w:rPr>
        <w:t>2.3.2</w:t>
      </w:r>
      <w:r>
        <w:rPr>
          <w:sz w:val="20"/>
          <w:szCs w:val="20"/>
          <w:color w:val="auto"/>
        </w:rPr>
        <w:tab/>
      </w:r>
      <w:r>
        <w:rPr>
          <w:rFonts w:ascii="Times New Roman" w:cs="Times New Roman" w:eastAsia="Times New Roman" w:hAnsi="Times New Roman"/>
          <w:sz w:val="16"/>
          <w:szCs w:val="16"/>
          <w:color w:val="auto"/>
        </w:rPr>
        <w:t>undertakes, on and from the Novation Date, to perform the Contract and to be bound by the terms of the Contract as if it were the original party to it in place of Forseven, irrespective of whether such performance and undertaking relates to rights, obligations and liabilities arising before, on or after the Novation Date; and</w:t>
      </w:r>
    </w:p>
    <w:p>
      <w:pPr>
        <w:spacing w:after="0" w:line="153" w:lineRule="exact"/>
        <w:rPr>
          <w:sz w:val="20"/>
          <w:szCs w:val="20"/>
          <w:color w:val="auto"/>
        </w:rPr>
      </w:pPr>
    </w:p>
    <w:p>
      <w:pPr>
        <w:ind w:left="600"/>
        <w:spacing w:after="0"/>
        <w:tabs>
          <w:tab w:leader="none" w:pos="1320" w:val="left"/>
        </w:tabs>
        <w:rPr>
          <w:sz w:val="20"/>
          <w:szCs w:val="20"/>
          <w:color w:val="auto"/>
        </w:rPr>
      </w:pPr>
      <w:r>
        <w:rPr>
          <w:rFonts w:ascii="Times New Roman" w:cs="Times New Roman" w:eastAsia="Times New Roman" w:hAnsi="Times New Roman"/>
          <w:sz w:val="16"/>
          <w:szCs w:val="16"/>
          <w:color w:val="auto"/>
        </w:rPr>
        <w:t>2.3.3</w:t>
      </w:r>
      <w:r>
        <w:rPr>
          <w:sz w:val="20"/>
          <w:szCs w:val="20"/>
          <w:color w:val="auto"/>
        </w:rPr>
        <w:tab/>
      </w:r>
      <w:r>
        <w:rPr>
          <w:rFonts w:ascii="Times New Roman" w:cs="Times New Roman" w:eastAsia="Times New Roman" w:hAnsi="Times New Roman"/>
          <w:sz w:val="16"/>
          <w:szCs w:val="16"/>
          <w:color w:val="auto"/>
        </w:rPr>
        <w:t>agrees to be liable to NIO for such performance (as described in clause 2.3.2 above).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2.4</w:t>
      </w:r>
      <w:r>
        <w:rPr>
          <w:sz w:val="20"/>
          <w:szCs w:val="20"/>
          <w:color w:val="auto"/>
        </w:rPr>
        <w:tab/>
      </w:r>
      <w:r>
        <w:rPr>
          <w:rFonts w:ascii="Times New Roman" w:cs="Times New Roman" w:eastAsia="Times New Roman" w:hAnsi="Times New Roman"/>
          <w:sz w:val="16"/>
          <w:szCs w:val="16"/>
          <w:color w:val="auto"/>
        </w:rPr>
        <w:t>With effect from the Novation Date, NIO:</w:t>
      </w:r>
    </w:p>
    <w:p>
      <w:pPr>
        <w:spacing w:after="0" w:line="212" w:lineRule="exact"/>
        <w:rPr>
          <w:sz w:val="20"/>
          <w:szCs w:val="20"/>
          <w:color w:val="auto"/>
        </w:rPr>
      </w:pPr>
    </w:p>
    <w:p>
      <w:pPr>
        <w:jc w:val="both"/>
        <w:ind w:left="1340" w:hanging="742"/>
        <w:spacing w:after="0" w:line="298" w:lineRule="auto"/>
        <w:tabs>
          <w:tab w:leader="none" w:pos="1320" w:val="left"/>
        </w:tabs>
        <w:rPr>
          <w:sz w:val="20"/>
          <w:szCs w:val="20"/>
          <w:color w:val="auto"/>
        </w:rPr>
      </w:pPr>
      <w:r>
        <w:rPr>
          <w:rFonts w:ascii="Times New Roman" w:cs="Times New Roman" w:eastAsia="Times New Roman" w:hAnsi="Times New Roman"/>
          <w:sz w:val="16"/>
          <w:szCs w:val="16"/>
          <w:color w:val="auto"/>
        </w:rPr>
        <w:t>2.4.1</w:t>
      </w:r>
      <w:r>
        <w:rPr>
          <w:sz w:val="20"/>
          <w:szCs w:val="20"/>
          <w:color w:val="auto"/>
        </w:rPr>
        <w:tab/>
      </w:r>
      <w:r>
        <w:rPr>
          <w:rFonts w:ascii="Times New Roman" w:cs="Times New Roman" w:eastAsia="Times New Roman" w:hAnsi="Times New Roman"/>
          <w:sz w:val="16"/>
          <w:szCs w:val="16"/>
          <w:color w:val="auto"/>
        </w:rPr>
        <w:t>irrevocably and unconditionally consents to the transfer, by way of novation, of all of Forseven’s rights, obligations and liabilities under and in connection with the Contract to MAL in accordance with clause 2.2</w:t>
      </w:r>
    </w:p>
    <w:p>
      <w:pPr>
        <w:spacing w:after="0" w:line="137" w:lineRule="exact"/>
        <w:rPr>
          <w:sz w:val="20"/>
          <w:szCs w:val="20"/>
          <w:color w:val="auto"/>
        </w:rPr>
      </w:pPr>
    </w:p>
    <w:p>
      <w:pPr>
        <w:ind w:left="600"/>
        <w:spacing w:after="0"/>
        <w:tabs>
          <w:tab w:leader="none" w:pos="1320" w:val="left"/>
        </w:tabs>
        <w:rPr>
          <w:sz w:val="20"/>
          <w:szCs w:val="20"/>
          <w:color w:val="auto"/>
        </w:rPr>
      </w:pPr>
      <w:r>
        <w:rPr>
          <w:rFonts w:ascii="Times New Roman" w:cs="Times New Roman" w:eastAsia="Times New Roman" w:hAnsi="Times New Roman"/>
          <w:sz w:val="16"/>
          <w:szCs w:val="16"/>
          <w:color w:val="auto"/>
        </w:rPr>
        <w:t>2.4.2</w:t>
      </w:r>
      <w:r>
        <w:rPr>
          <w:sz w:val="20"/>
          <w:szCs w:val="20"/>
          <w:color w:val="auto"/>
        </w:rPr>
        <w:tab/>
      </w:r>
      <w:r>
        <w:rPr>
          <w:rFonts w:ascii="Times New Roman" w:cs="Times New Roman" w:eastAsia="Times New Roman" w:hAnsi="Times New Roman"/>
          <w:sz w:val="16"/>
          <w:szCs w:val="16"/>
          <w:color w:val="auto"/>
        </w:rPr>
        <w:t>releases and discharges Forseven from all liabilities and obligations to NIO under the Contract;</w:t>
      </w:r>
    </w:p>
    <w:p>
      <w:pPr>
        <w:spacing w:after="0" w:line="212" w:lineRule="exact"/>
        <w:rPr>
          <w:sz w:val="20"/>
          <w:szCs w:val="20"/>
          <w:color w:val="auto"/>
        </w:rPr>
      </w:pPr>
    </w:p>
    <w:p>
      <w:pPr>
        <w:jc w:val="both"/>
        <w:ind w:left="1340" w:hanging="742"/>
        <w:spacing w:after="0" w:line="278" w:lineRule="auto"/>
        <w:tabs>
          <w:tab w:leader="none" w:pos="1320" w:val="left"/>
        </w:tabs>
        <w:rPr>
          <w:sz w:val="20"/>
          <w:szCs w:val="20"/>
          <w:color w:val="auto"/>
        </w:rPr>
      </w:pPr>
      <w:r>
        <w:rPr>
          <w:rFonts w:ascii="Times New Roman" w:cs="Times New Roman" w:eastAsia="Times New Roman" w:hAnsi="Times New Roman"/>
          <w:sz w:val="16"/>
          <w:szCs w:val="16"/>
          <w:color w:val="auto"/>
        </w:rPr>
        <w:t>2.4.3</w:t>
      </w:r>
      <w:r>
        <w:rPr>
          <w:sz w:val="20"/>
          <w:szCs w:val="20"/>
          <w:color w:val="auto"/>
        </w:rPr>
        <w:tab/>
      </w:r>
      <w:r>
        <w:rPr>
          <w:rFonts w:ascii="Times New Roman" w:cs="Times New Roman" w:eastAsia="Times New Roman" w:hAnsi="Times New Roman"/>
          <w:sz w:val="16"/>
          <w:szCs w:val="16"/>
          <w:color w:val="auto"/>
        </w:rPr>
        <w:t>irrevocably and unconditionally undertakes, on and from the Novation Date, to perform the Contract and be bound by its terms in every way as if MAL were the original party to it in place of Forseven irrespective of whether such performance and undertaking relates to rights, obligations and liabilities arising before, on or after the Novation Date; and</w:t>
      </w:r>
    </w:p>
    <w:p>
      <w:pPr>
        <w:spacing w:after="0" w:line="153" w:lineRule="exact"/>
        <w:rPr>
          <w:sz w:val="20"/>
          <w:szCs w:val="20"/>
          <w:color w:val="auto"/>
        </w:rPr>
      </w:pPr>
    </w:p>
    <w:p>
      <w:pPr>
        <w:ind w:left="600"/>
        <w:spacing w:after="0"/>
        <w:tabs>
          <w:tab w:leader="none" w:pos="1320" w:val="left"/>
        </w:tabs>
        <w:rPr>
          <w:sz w:val="20"/>
          <w:szCs w:val="20"/>
          <w:color w:val="auto"/>
        </w:rPr>
      </w:pPr>
      <w:r>
        <w:rPr>
          <w:rFonts w:ascii="Times New Roman" w:cs="Times New Roman" w:eastAsia="Times New Roman" w:hAnsi="Times New Roman"/>
          <w:sz w:val="16"/>
          <w:szCs w:val="16"/>
          <w:color w:val="auto"/>
        </w:rPr>
        <w:t>2.4.4</w:t>
      </w:r>
      <w:r>
        <w:rPr>
          <w:sz w:val="20"/>
          <w:szCs w:val="20"/>
          <w:color w:val="auto"/>
        </w:rPr>
        <w:tab/>
      </w:r>
      <w:r>
        <w:rPr>
          <w:rFonts w:ascii="Times New Roman" w:cs="Times New Roman" w:eastAsia="Times New Roman" w:hAnsi="Times New Roman"/>
          <w:sz w:val="16"/>
          <w:szCs w:val="16"/>
          <w:color w:val="auto"/>
        </w:rPr>
        <w:t>agrees to be liable to MAL for such performance (as described in clause 2.4.3 above).</w:t>
      </w:r>
    </w:p>
    <w:p>
      <w:pPr>
        <w:spacing w:after="0" w:line="208" w:lineRule="exact"/>
        <w:rPr>
          <w:sz w:val="20"/>
          <w:szCs w:val="20"/>
          <w:color w:val="auto"/>
        </w:rPr>
      </w:pPr>
    </w:p>
    <w:p>
      <w:pPr>
        <w:ind w:left="600" w:hanging="600"/>
        <w:spacing w:after="0"/>
        <w:tabs>
          <w:tab w:leader="none" w:pos="60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VARIATION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14" w:right="999" w:bottom="1440" w:gutter="0" w:footer="0" w:header="0"/>
        </w:sectPr>
      </w:pPr>
    </w:p>
    <w:bookmarkStart w:id="252" w:name="page253"/>
    <w:bookmarkEnd w:id="252"/>
    <w:p>
      <w:pPr>
        <w:ind w:left="8140"/>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1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With effect from the Amendment Date MAL and NIO agree that the Contract will be amended as set out in Schedule 1.</w:t>
      </w:r>
    </w:p>
    <w:p>
      <w:pPr>
        <w:spacing w:after="0" w:line="212" w:lineRule="exact"/>
        <w:rPr>
          <w:sz w:val="20"/>
          <w:szCs w:val="20"/>
          <w:color w:val="auto"/>
        </w:rPr>
      </w:pPr>
    </w:p>
    <w:p>
      <w:pPr>
        <w:jc w:val="both"/>
        <w:ind w:left="600" w:hanging="593"/>
        <w:spacing w:after="0" w:line="278" w:lineRule="auto"/>
        <w:tabs>
          <w:tab w:leader="none" w:pos="58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With effect from the Novation Date, immediately following the novation and transfer of the Contract in accordance with clause 2 above all references to Forseven in the Contract (including any reference to the “parties” or a “party” which is intended to or understood as referring to Forseven) shall be read and construed as references to MAL.</w:t>
      </w:r>
    </w:p>
    <w:p>
      <w:pPr>
        <w:spacing w:after="0" w:line="15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With effect from the Novation Date, all references to “Licensed Affiliate” in the Contract (as amended pursuant to Clause 4.1 and Schedule</w:t>
      </w:r>
    </w:p>
    <w:p>
      <w:pPr>
        <w:spacing w:after="0" w:line="31" w:lineRule="exact"/>
        <w:rPr>
          <w:sz w:val="20"/>
          <w:szCs w:val="20"/>
          <w:color w:val="auto"/>
        </w:rPr>
      </w:pPr>
    </w:p>
    <w:p>
      <w:pPr>
        <w:ind w:left="600" w:hanging="6"/>
        <w:spacing w:after="0" w:line="276" w:lineRule="auto"/>
        <w:tabs>
          <w:tab w:leader="none" w:pos="78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be deemed deleted, and all rights and obligations of the “Licensed Affiliate” shall be deemed assumed by the Licensee (i.e. McLaren Automotive Limited) as the sole Licensee under the Agreement.</w:t>
      </w:r>
    </w:p>
    <w:p>
      <w:pPr>
        <w:spacing w:after="0" w:line="1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3.4</w:t>
      </w:r>
      <w:r>
        <w:rPr>
          <w:sz w:val="20"/>
          <w:szCs w:val="20"/>
          <w:color w:val="auto"/>
        </w:rPr>
        <w:tab/>
      </w:r>
      <w:r>
        <w:rPr>
          <w:rFonts w:ascii="Times New Roman" w:cs="Times New Roman" w:eastAsia="Times New Roman" w:hAnsi="Times New Roman"/>
          <w:sz w:val="16"/>
          <w:szCs w:val="16"/>
          <w:color w:val="auto"/>
        </w:rPr>
        <w:t>Except as set out in clause 3.1, clause 3.2 and Schedule 1, the Contract will continue in full force and effect.</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3.5</w:t>
      </w:r>
      <w:r>
        <w:rPr>
          <w:sz w:val="20"/>
          <w:szCs w:val="20"/>
          <w:color w:val="auto"/>
        </w:rPr>
        <w:tab/>
      </w:r>
      <w:r>
        <w:rPr>
          <w:rFonts w:ascii="Times New Roman" w:cs="Times New Roman" w:eastAsia="Times New Roman" w:hAnsi="Times New Roman"/>
          <w:sz w:val="16"/>
          <w:szCs w:val="16"/>
          <w:color w:val="auto"/>
        </w:rPr>
        <w:t>To the extent there is any conflict between the terms of the Contract and this Deed, the terms of this Deed will prevail.</w:t>
      </w:r>
    </w:p>
    <w:p>
      <w:pPr>
        <w:spacing w:after="0" w:line="208" w:lineRule="exact"/>
        <w:rPr>
          <w:sz w:val="20"/>
          <w:szCs w:val="20"/>
          <w:color w:val="auto"/>
        </w:rPr>
      </w:pPr>
    </w:p>
    <w:p>
      <w:pPr>
        <w:ind w:left="600" w:hanging="600"/>
        <w:spacing w:after="0"/>
        <w:tabs>
          <w:tab w:leader="none" w:pos="60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COUNTERPARTS</w:t>
      </w:r>
    </w:p>
    <w:p>
      <w:pPr>
        <w:spacing w:after="0" w:line="216" w:lineRule="exact"/>
        <w:rPr>
          <w:sz w:val="20"/>
          <w:szCs w:val="20"/>
          <w:color w:val="auto"/>
        </w:rPr>
      </w:pPr>
    </w:p>
    <w:p>
      <w:pPr>
        <w:jc w:val="both"/>
        <w:ind w:left="600" w:hanging="593"/>
        <w:spacing w:after="0" w:line="278" w:lineRule="auto"/>
        <w:tabs>
          <w:tab w:leader="none" w:pos="58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This Deed may be executed in any number of separate counterparts, each of which when executed and delivered shall be an original, and such counterparts taken together shall constitute one and the same Deed. No counterpart shall be effective until each party has delivered a duly executed counterpart to each other party.</w:t>
      </w:r>
    </w:p>
    <w:p>
      <w:pPr>
        <w:spacing w:after="0" w:line="149" w:lineRule="exact"/>
        <w:rPr>
          <w:sz w:val="20"/>
          <w:szCs w:val="20"/>
          <w:color w:val="auto"/>
        </w:rPr>
      </w:pPr>
    </w:p>
    <w:p>
      <w:pPr>
        <w:ind w:left="600" w:hanging="600"/>
        <w:spacing w:after="0"/>
        <w:tabs>
          <w:tab w:leader="none" w:pos="6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ENTIRE AGREEMENT</w:t>
      </w:r>
    </w:p>
    <w:p>
      <w:pPr>
        <w:spacing w:after="0" w:line="216" w:lineRule="exact"/>
        <w:rPr>
          <w:sz w:val="20"/>
          <w:szCs w:val="20"/>
          <w:color w:val="auto"/>
        </w:rPr>
      </w:pPr>
    </w:p>
    <w:p>
      <w:pPr>
        <w:jc w:val="both"/>
        <w:ind w:left="600" w:hanging="593"/>
        <w:spacing w:after="0" w:line="266" w:lineRule="auto"/>
        <w:tabs>
          <w:tab w:leader="none" w:pos="58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color w:val="auto"/>
        </w:rPr>
        <w:t>The parties agree that this Deed constitutes the entire agreement between them and supersedes all previous agreements, understandings and arrangements between them, whether in writing or oral in respect of its subject matter. Each party acknowledges and agrees that in entering into this Deed it has not relied on, and hereby waives any rights or remedies it may have in relation to, any oral or written statements, collateral or other warranties, assurances, undertakings or representations which were made by or on behalf of any other party in relation to the subject matter of this Deed at any time prior to its signature, other than those which are expressly stated in this Deed. For the avoidance of doubt, nothing in this clause 6.1 shall exclude or restrict the liability of a party arising out of fraud or fraudulent misrepresentation.</w:t>
      </w:r>
    </w:p>
    <w:p>
      <w:pPr>
        <w:spacing w:after="0" w:line="159" w:lineRule="exact"/>
        <w:rPr>
          <w:sz w:val="20"/>
          <w:szCs w:val="20"/>
          <w:color w:val="auto"/>
        </w:rPr>
      </w:pPr>
    </w:p>
    <w:p>
      <w:pPr>
        <w:ind w:left="600" w:hanging="600"/>
        <w:spacing w:after="0"/>
        <w:tabs>
          <w:tab w:leader="none" w:pos="60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FURTHER ASSURANCE</w:t>
      </w:r>
    </w:p>
    <w:p>
      <w:pPr>
        <w:spacing w:after="0" w:line="216" w:lineRule="exact"/>
        <w:rPr>
          <w:sz w:val="20"/>
          <w:szCs w:val="20"/>
          <w:color w:val="auto"/>
        </w:rPr>
      </w:pPr>
    </w:p>
    <w:p>
      <w:pPr>
        <w:ind w:left="600" w:hanging="593"/>
        <w:spacing w:after="0" w:line="298" w:lineRule="auto"/>
        <w:tabs>
          <w:tab w:leader="none" w:pos="580" w:val="left"/>
        </w:tabs>
        <w:rPr>
          <w:sz w:val="20"/>
          <w:szCs w:val="20"/>
          <w:color w:val="auto"/>
        </w:rPr>
      </w:pPr>
      <w:r>
        <w:rPr>
          <w:rFonts w:ascii="Times New Roman" w:cs="Times New Roman" w:eastAsia="Times New Roman" w:hAnsi="Times New Roman"/>
          <w:sz w:val="16"/>
          <w:szCs w:val="16"/>
          <w:color w:val="auto"/>
        </w:rPr>
        <w:t>6.1</w:t>
      </w:r>
      <w:r>
        <w:rPr>
          <w:sz w:val="20"/>
          <w:szCs w:val="20"/>
          <w:color w:val="auto"/>
        </w:rPr>
        <w:tab/>
      </w:r>
      <w:r>
        <w:rPr>
          <w:rFonts w:ascii="Times New Roman" w:cs="Times New Roman" w:eastAsia="Times New Roman" w:hAnsi="Times New Roman"/>
          <w:sz w:val="16"/>
          <w:szCs w:val="16"/>
          <w:color w:val="auto"/>
        </w:rPr>
        <w:t>Each of the parties shall, at the reasonable request of any other party, perform all acts and sign, execute, and deliver all Deeds and documents for the purpose of giving full effect to this Deed.</w:t>
      </w:r>
    </w:p>
    <w:p>
      <w:pPr>
        <w:spacing w:after="0" w:line="133" w:lineRule="exact"/>
        <w:rPr>
          <w:sz w:val="20"/>
          <w:szCs w:val="20"/>
          <w:color w:val="auto"/>
        </w:rPr>
      </w:pPr>
    </w:p>
    <w:p>
      <w:pPr>
        <w:ind w:left="600" w:hanging="600"/>
        <w:spacing w:after="0"/>
        <w:tabs>
          <w:tab w:leader="none" w:pos="6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VARIATION</w:t>
      </w:r>
    </w:p>
    <w:p>
      <w:pPr>
        <w:spacing w:after="0" w:line="216" w:lineRule="exact"/>
        <w:rPr>
          <w:sz w:val="20"/>
          <w:szCs w:val="20"/>
          <w:color w:val="auto"/>
        </w:rPr>
      </w:pPr>
    </w:p>
    <w:p>
      <w:pPr>
        <w:ind w:left="600" w:hanging="593"/>
        <w:spacing w:after="0" w:line="298" w:lineRule="auto"/>
        <w:tabs>
          <w:tab w:leader="none" w:pos="580"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6"/>
          <w:szCs w:val="16"/>
          <w:color w:val="auto"/>
        </w:rPr>
        <w:t>No variation of this Deed shall be valid or effective unless it is in writing, refers to this Deed and is duly signed or executed (as the case may be) by, or on behalf of, each of the parties.</w:t>
      </w:r>
    </w:p>
    <w:p>
      <w:pPr>
        <w:spacing w:after="0" w:line="133" w:lineRule="exact"/>
        <w:rPr>
          <w:sz w:val="20"/>
          <w:szCs w:val="20"/>
          <w:color w:val="auto"/>
        </w:rPr>
      </w:pPr>
    </w:p>
    <w:p>
      <w:pPr>
        <w:ind w:left="600" w:hanging="600"/>
        <w:spacing w:after="0"/>
        <w:tabs>
          <w:tab w:leader="none" w:pos="60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THIRD PARTY RIGHTS</w:t>
      </w:r>
    </w:p>
    <w:p>
      <w:pPr>
        <w:spacing w:after="0" w:line="21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8.1</w:t>
      </w:r>
      <w:r>
        <w:rPr>
          <w:sz w:val="20"/>
          <w:szCs w:val="20"/>
          <w:color w:val="auto"/>
        </w:rPr>
        <w:tab/>
      </w:r>
      <w:r>
        <w:rPr>
          <w:rFonts w:ascii="Times New Roman" w:cs="Times New Roman" w:eastAsia="Times New Roman" w:hAnsi="Times New Roman"/>
          <w:sz w:val="16"/>
          <w:szCs w:val="16"/>
          <w:color w:val="auto"/>
        </w:rPr>
        <w:t>No one other than a party to this Deed shall have any right to enforce any of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14" w:right="99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12" w:lineRule="exact"/>
        <w:rPr>
          <w:sz w:val="20"/>
          <w:szCs w:val="20"/>
          <w:color w:val="auto"/>
        </w:rPr>
      </w:pPr>
    </w:p>
    <w:p>
      <w:pPr>
        <w:ind w:left="600" w:hanging="600"/>
        <w:spacing w:after="0"/>
        <w:tabs>
          <w:tab w:leader="none" w:pos="6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GOVERNING LAW &amp; JURISDICTION</w:t>
      </w:r>
    </w:p>
    <w:p>
      <w:pPr>
        <w:spacing w:after="0" w:line="216" w:lineRule="exact"/>
        <w:rPr>
          <w:sz w:val="20"/>
          <w:szCs w:val="20"/>
          <w:color w:val="auto"/>
        </w:rPr>
      </w:pPr>
    </w:p>
    <w:p>
      <w:pPr>
        <w:jc w:val="both"/>
        <w:ind w:left="600" w:hanging="593"/>
        <w:spacing w:after="0" w:line="291" w:lineRule="auto"/>
        <w:tabs>
          <w:tab w:leader="none" w:pos="580" w:val="left"/>
        </w:tabs>
        <w:rPr>
          <w:sz w:val="20"/>
          <w:szCs w:val="20"/>
          <w:color w:val="auto"/>
        </w:rPr>
      </w:pPr>
      <w:r>
        <w:rPr>
          <w:rFonts w:ascii="Times New Roman" w:cs="Times New Roman" w:eastAsia="Times New Roman" w:hAnsi="Times New Roman"/>
          <w:sz w:val="16"/>
          <w:szCs w:val="16"/>
          <w:color w:val="auto"/>
        </w:rPr>
        <w:t>9.1</w:t>
      </w:r>
      <w:r>
        <w:rPr>
          <w:sz w:val="20"/>
          <w:szCs w:val="20"/>
          <w:color w:val="auto"/>
        </w:rPr>
        <w:tab/>
      </w:r>
      <w:r>
        <w:rPr>
          <w:rFonts w:ascii="Times New Roman" w:cs="Times New Roman" w:eastAsia="Times New Roman" w:hAnsi="Times New Roman"/>
          <w:sz w:val="16"/>
          <w:szCs w:val="16"/>
          <w:color w:val="auto"/>
        </w:rPr>
        <w:t>This Deed and any dispute or claim (including non-contractual disputes or claims) arising out of or in connection with it or its subject matter or formation shall be governed by and construed in accordance with the laws of Singapore, excluding the application of its conflict of law rules.</w:t>
      </w:r>
    </w:p>
    <w:p>
      <w:pPr>
        <w:spacing w:after="0" w:line="346" w:lineRule="exact"/>
        <w:rPr>
          <w:sz w:val="20"/>
          <w:szCs w:val="20"/>
          <w:color w:val="auto"/>
        </w:rPr>
      </w:pPr>
    </w:p>
    <w:p>
      <w:pPr>
        <w:jc w:val="both"/>
        <w:ind w:left="600" w:hanging="593"/>
        <w:spacing w:after="0" w:line="264" w:lineRule="auto"/>
        <w:tabs>
          <w:tab w:leader="none" w:pos="580" w:val="left"/>
        </w:tabs>
        <w:rPr>
          <w:sz w:val="20"/>
          <w:szCs w:val="20"/>
          <w:color w:val="auto"/>
        </w:rPr>
      </w:pPr>
      <w:r>
        <w:rPr>
          <w:rFonts w:ascii="Times New Roman" w:cs="Times New Roman" w:eastAsia="Times New Roman" w:hAnsi="Times New Roman"/>
          <w:sz w:val="16"/>
          <w:szCs w:val="16"/>
          <w:color w:val="auto"/>
        </w:rPr>
        <w:t>9.2</w:t>
      </w:r>
      <w:r>
        <w:rPr>
          <w:sz w:val="20"/>
          <w:szCs w:val="20"/>
          <w:color w:val="auto"/>
        </w:rPr>
        <w:tab/>
      </w:r>
      <w:r>
        <w:rPr>
          <w:rFonts w:ascii="Times New Roman" w:cs="Times New Roman" w:eastAsia="Times New Roman" w:hAnsi="Times New Roman"/>
          <w:sz w:val="16"/>
          <w:szCs w:val="16"/>
          <w:color w:val="auto"/>
        </w:rPr>
        <w:t>In the event of any disputes arising out of or relating to this Deed, the party claiming that the dispute has arisen must give written notice to the other party (the “</w:t>
      </w:r>
      <w:r>
        <w:rPr>
          <w:rFonts w:ascii="Times New Roman" w:cs="Times New Roman" w:eastAsia="Times New Roman" w:hAnsi="Times New Roman"/>
          <w:sz w:val="16"/>
          <w:szCs w:val="16"/>
          <w:b w:val="1"/>
          <w:bCs w:val="1"/>
          <w:color w:val="auto"/>
        </w:rPr>
        <w:t>Notice of Dispute</w:t>
      </w:r>
      <w:r>
        <w:rPr>
          <w:rFonts w:ascii="Times New Roman" w:cs="Times New Roman" w:eastAsia="Times New Roman" w:hAnsi="Times New Roman"/>
          <w:sz w:val="16"/>
          <w:szCs w:val="16"/>
          <w:color w:val="auto"/>
        </w:rPr>
        <w:t>”) and parties shall seek resolution through amicable negotiation. If negotiation fails after 10 Business Days of one party issuing the Notice of Dispute, any dispute arising out of or in connection with this Deed, including any question regarding its existence, validity or termination, shall be referred to and finally resolved by arbitration administered by the Singapore International Arbitration Centre in accordance with the Arbitration Rules of the Singapore International Arbitration Centre for the time being in force, which rules are deemed to be incorporated by reference in this clause. The Tribunal shall consist of three arbitrators. The seat of the arbitration shall be Singapore. The arbitration proceedings shall be conducted in English. The arbitration award shall be final and binding upon the parties.</w:t>
      </w:r>
    </w:p>
    <w:p>
      <w:pPr>
        <w:spacing w:after="0" w:line="365" w:lineRule="exact"/>
        <w:rPr>
          <w:sz w:val="20"/>
          <w:szCs w:val="20"/>
          <w:color w:val="auto"/>
        </w:rPr>
      </w:pPr>
    </w:p>
    <w:p>
      <w:pPr>
        <w:jc w:val="both"/>
        <w:ind w:left="600" w:hanging="593"/>
        <w:spacing w:after="0" w:line="278" w:lineRule="auto"/>
        <w:tabs>
          <w:tab w:leader="none" w:pos="580" w:val="left"/>
        </w:tabs>
        <w:rPr>
          <w:sz w:val="20"/>
          <w:szCs w:val="20"/>
          <w:color w:val="auto"/>
        </w:rPr>
      </w:pPr>
      <w:r>
        <w:rPr>
          <w:rFonts w:ascii="Times New Roman" w:cs="Times New Roman" w:eastAsia="Times New Roman" w:hAnsi="Times New Roman"/>
          <w:sz w:val="16"/>
          <w:szCs w:val="16"/>
          <w:color w:val="auto"/>
        </w:rPr>
        <w:t>9.3</w:t>
      </w:r>
      <w:r>
        <w:rPr>
          <w:sz w:val="20"/>
          <w:szCs w:val="20"/>
          <w:color w:val="auto"/>
        </w:rPr>
        <w:tab/>
      </w:r>
      <w:r>
        <w:rPr>
          <w:rFonts w:ascii="Times New Roman" w:cs="Times New Roman" w:eastAsia="Times New Roman" w:hAnsi="Times New Roman"/>
          <w:sz w:val="16"/>
          <w:szCs w:val="16"/>
          <w:color w:val="auto"/>
        </w:rPr>
        <w:t>Without prejudice to any other rights or remedies that the other party may have, each party acknowledges and agrees that damages alone would not be an adequate remedy for any breach of the terms of this Deed by them. Accordingly, each party shall be entitled to the remedies of injunction, specific performance or other equitable relief for any threatened or actual breach of the terms of this Deed.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WITNESS the hands of the parties hereto or their duly authorised agents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overleaf]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14" w:right="999" w:bottom="1440" w:gutter="0" w:footer="0" w:header="0"/>
        </w:sectPr>
      </w:pPr>
    </w:p>
    <w:bookmarkStart w:id="254" w:name="page255"/>
    <w:bookmarkEnd w:id="254"/>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SIGNATORIES</w:t>
      </w:r>
    </w:p>
    <w:p>
      <w:pPr>
        <w:spacing w:after="0" w:line="224"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6"/>
          <w:szCs w:val="16"/>
          <w:color w:val="auto"/>
        </w:rPr>
        <w:t xml:space="preserve">Executed as </w:t>
      </w:r>
      <w:r>
        <w:rPr>
          <w:rFonts w:ascii="Times New Roman" w:cs="Times New Roman" w:eastAsia="Times New Roman" w:hAnsi="Times New Roman"/>
          <w:sz w:val="16"/>
          <w:szCs w:val="16"/>
          <w:b w:val="1"/>
          <w:bCs w:val="1"/>
          <w:color w:val="auto"/>
        </w:rPr>
        <w:t>DEED</w:t>
      </w:r>
      <w:r>
        <w:rPr>
          <w:rFonts w:ascii="Times New Roman" w:cs="Times New Roman" w:eastAsia="Times New Roman" w:hAnsi="Times New Roman"/>
          <w:sz w:val="16"/>
          <w:szCs w:val="16"/>
          <w:color w:val="auto"/>
        </w:rPr>
        <w:t xml:space="preserve"> by </w:t>
      </w:r>
      <w:r>
        <w:rPr>
          <w:rFonts w:ascii="Times New Roman" w:cs="Times New Roman" w:eastAsia="Times New Roman" w:hAnsi="Times New Roman"/>
          <w:sz w:val="16"/>
          <w:szCs w:val="16"/>
          <w:b w:val="1"/>
          <w:bCs w:val="1"/>
          <w:color w:val="auto"/>
        </w:rPr>
        <w:t>Forseven Limited</w:t>
      </w:r>
      <w:r>
        <w:rPr>
          <w:rFonts w:ascii="Times New Roman" w:cs="Times New Roman" w:eastAsia="Times New Roman" w:hAnsi="Times New Roman"/>
          <w:sz w:val="16"/>
          <w:szCs w:val="16"/>
          <w:color w:val="auto"/>
        </w:rPr>
        <w:t xml:space="preserve"> by a duly authorised Director:</w:t>
        <w:tab/>
        <w:t>​​​Signature: /s/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22225</wp:posOffset>
            </wp:positionV>
            <wp:extent cx="258572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1">
                      <a:extLst>
                        <a:ext uri="{28A0092B-C50C-407E-A947-70E740481C1C}"/>
                      </a:extLst>
                    </a:blip>
                    <a:srcRect/>
                    <a:stretch>
                      <a:fillRect/>
                    </a:stretch>
                  </pic:blipFill>
                  <pic:spPr bwMode="auto">
                    <a:xfrm>
                      <a:off x="0" y="0"/>
                      <a:ext cx="2585720" cy="7620"/>
                    </a:xfrm>
                    <a:prstGeom prst="rect">
                      <a:avLst/>
                    </a:prstGeom>
                    <a:noFill/>
                  </pic:spPr>
                </pic:pic>
              </a:graphicData>
            </a:graphic>
          </wp:anchor>
        </w:drawing>
      </w:r>
    </w:p>
    <w:p>
      <w:pPr>
        <w:spacing w:after="0" w:line="196" w:lineRule="exact"/>
        <w:rPr>
          <w:sz w:val="20"/>
          <w:szCs w:val="20"/>
          <w:color w:val="auto"/>
        </w:rPr>
      </w:pPr>
    </w:p>
    <w:p>
      <w:pPr>
        <w:ind w:left="5120"/>
        <w:spacing w:after="0"/>
        <w:tabs>
          <w:tab w:leader="none" w:pos="5680" w:val="left"/>
        </w:tabs>
        <w:rPr>
          <w:sz w:val="20"/>
          <w:szCs w:val="20"/>
          <w:color w:val="auto"/>
        </w:rPr>
      </w:pPr>
      <w:r>
        <w:rPr>
          <w:rFonts w:ascii="Times New Roman" w:cs="Times New Roman" w:eastAsia="Times New Roman" w:hAnsi="Times New Roman"/>
          <w:sz w:val="16"/>
          <w:szCs w:val="16"/>
          <w:color w:val="auto"/>
        </w:rPr>
        <w:t>Name: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19685</wp:posOffset>
            </wp:positionV>
            <wp:extent cx="268795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2">
                      <a:extLst>
                        <a:ext uri="{28A0092B-C50C-407E-A947-70E740481C1C}"/>
                      </a:extLst>
                    </a:blip>
                    <a:srcRect/>
                    <a:stretch>
                      <a:fillRect/>
                    </a:stretch>
                  </pic:blipFill>
                  <pic:spPr bwMode="auto">
                    <a:xfrm>
                      <a:off x="0" y="0"/>
                      <a:ext cx="2687955" cy="762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the presence of a witness</w:t>
      </w:r>
      <w:r>
        <w:rPr>
          <w:rFonts w:ascii="Times New Roman" w:cs="Times New Roman" w:eastAsia="Times New Roman" w:hAnsi="Times New Roman"/>
          <w:sz w:val="16"/>
          <w:szCs w:val="16"/>
          <w:i w:val="1"/>
          <w:i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Signature:</w:t>
            </w:r>
          </w:p>
        </w:tc>
        <w:tc>
          <w:tcPr>
            <w:tcW w:w="3980" w:type="dxa"/>
            <w:vAlign w:val="bottom"/>
            <w:tcBorders>
              <w:bottom w:val="single" w:sz="8" w:color="auto"/>
            </w:tcBorders>
          </w:tcPr>
          <w:p>
            <w:pPr>
              <w:jc w:val="right"/>
              <w:ind w:right="3538"/>
              <w:spacing w:after="0"/>
              <w:rPr>
                <w:sz w:val="20"/>
                <w:szCs w:val="20"/>
                <w:color w:val="auto"/>
              </w:rPr>
            </w:pPr>
            <w:r>
              <w:rPr>
                <w:rFonts w:ascii="Times New Roman" w:cs="Times New Roman" w:eastAsia="Times New Roman" w:hAnsi="Times New Roman"/>
                <w:sz w:val="16"/>
                <w:szCs w:val="16"/>
                <w:color w:val="auto"/>
                <w:w w:val="97"/>
              </w:rPr>
              <w:t>[***]</w:t>
            </w:r>
          </w:p>
        </w:tc>
      </w:tr>
      <w:tr>
        <w:trPr>
          <w:trHeight w:val="37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980" w:type="dxa"/>
            <w:vAlign w:val="bottom"/>
            <w:tcBorders>
              <w:bottom w:val="single" w:sz="8" w:color="auto"/>
            </w:tcBorders>
          </w:tcPr>
          <w:p>
            <w:pPr>
              <w:jc w:val="right"/>
              <w:ind w:right="3538"/>
              <w:spacing w:after="0"/>
              <w:rPr>
                <w:sz w:val="20"/>
                <w:szCs w:val="20"/>
                <w:color w:val="auto"/>
              </w:rPr>
            </w:pPr>
            <w:r>
              <w:rPr>
                <w:rFonts w:ascii="Times New Roman" w:cs="Times New Roman" w:eastAsia="Times New Roman" w:hAnsi="Times New Roman"/>
                <w:sz w:val="16"/>
                <w:szCs w:val="16"/>
                <w:color w:val="auto"/>
                <w:w w:val="97"/>
              </w:rPr>
              <w:t>[***]</w:t>
            </w:r>
          </w:p>
        </w:tc>
      </w:tr>
      <w:tr>
        <w:trPr>
          <w:trHeight w:val="37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Address:</w:t>
            </w:r>
          </w:p>
        </w:tc>
        <w:tc>
          <w:tcPr>
            <w:tcW w:w="3980" w:type="dxa"/>
            <w:vAlign w:val="bottom"/>
            <w:tcBorders>
              <w:bottom w:val="single" w:sz="8" w:color="auto"/>
            </w:tcBorders>
          </w:tcPr>
          <w:p>
            <w:pPr>
              <w:jc w:val="right"/>
              <w:ind w:right="3538"/>
              <w:spacing w:after="0"/>
              <w:rPr>
                <w:sz w:val="20"/>
                <w:szCs w:val="20"/>
                <w:color w:val="auto"/>
              </w:rPr>
            </w:pPr>
            <w:r>
              <w:rPr>
                <w:rFonts w:ascii="Times New Roman" w:cs="Times New Roman" w:eastAsia="Times New Roman" w:hAnsi="Times New Roman"/>
                <w:sz w:val="16"/>
                <w:szCs w:val="16"/>
                <w:color w:val="auto"/>
                <w:w w:val="97"/>
              </w:rPr>
              <w:t>[***]</w:t>
            </w:r>
          </w:p>
        </w:tc>
      </w:tr>
      <w:tr>
        <w:trPr>
          <w:trHeight w:val="37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Occupation:</w:t>
            </w:r>
          </w:p>
        </w:tc>
        <w:tc>
          <w:tcPr>
            <w:tcW w:w="3980" w:type="dxa"/>
            <w:vAlign w:val="bottom"/>
            <w:tcBorders>
              <w:bottom w:val="single" w:sz="8" w:color="auto"/>
            </w:tcBorders>
          </w:tcPr>
          <w:p>
            <w:pPr>
              <w:jc w:val="right"/>
              <w:ind w:right="3538"/>
              <w:spacing w:after="0"/>
              <w:rPr>
                <w:sz w:val="20"/>
                <w:szCs w:val="20"/>
                <w:color w:val="auto"/>
              </w:rPr>
            </w:pPr>
            <w:r>
              <w:rPr>
                <w:rFonts w:ascii="Times New Roman" w:cs="Times New Roman" w:eastAsia="Times New Roman" w:hAnsi="Times New Roman"/>
                <w:sz w:val="16"/>
                <w:szCs w:val="16"/>
                <w:color w:val="auto"/>
                <w:w w:val="97"/>
              </w:rPr>
              <w:t>[***]</w:t>
            </w: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Executed as </w:t>
            </w:r>
            <w:r>
              <w:rPr>
                <w:rFonts w:ascii="Times New Roman" w:cs="Times New Roman" w:eastAsia="Times New Roman" w:hAnsi="Times New Roman"/>
                <w:sz w:val="16"/>
                <w:szCs w:val="16"/>
                <w:b w:val="1"/>
                <w:bCs w:val="1"/>
                <w:color w:val="auto"/>
              </w:rPr>
              <w:t>DEED</w:t>
            </w:r>
            <w:r>
              <w:rPr>
                <w:rFonts w:ascii="Times New Roman" w:cs="Times New Roman" w:eastAsia="Times New Roman" w:hAnsi="Times New Roman"/>
                <w:sz w:val="16"/>
                <w:szCs w:val="16"/>
                <w:color w:val="auto"/>
              </w:rPr>
              <w:t xml:space="preserve"> by </w:t>
            </w:r>
            <w:r>
              <w:rPr>
                <w:rFonts w:ascii="Times New Roman" w:cs="Times New Roman" w:eastAsia="Times New Roman" w:hAnsi="Times New Roman"/>
                <w:sz w:val="16"/>
                <w:szCs w:val="16"/>
                <w:b w:val="1"/>
                <w:bCs w:val="1"/>
                <w:color w:val="auto"/>
              </w:rPr>
              <w:t>McLaren Automotive Limited</w:t>
            </w:r>
            <w:r>
              <w:rPr>
                <w:rFonts w:ascii="Times New Roman" w:cs="Times New Roman" w:eastAsia="Times New Roman" w:hAnsi="Times New Roman"/>
                <w:sz w:val="16"/>
                <w:szCs w:val="16"/>
                <w:color w:val="auto"/>
              </w:rPr>
              <w:t xml:space="preserve"> by a duly</w:t>
            </w:r>
          </w:p>
        </w:tc>
        <w:tc>
          <w:tcPr>
            <w:tcW w:w="52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Signature: /s/ Authorized Signatory</w:t>
            </w: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authorised Director:</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r>
      <w:tr>
        <w:trPr>
          <w:trHeight w:val="376"/>
        </w:trPr>
        <w:tc>
          <w:tcPr>
            <w:tcW w:w="4720" w:type="dxa"/>
            <w:vAlign w:val="bottom"/>
          </w:tcPr>
          <w:p>
            <w:pPr>
              <w:spacing w:after="0"/>
              <w:rPr>
                <w:sz w:val="24"/>
                <w:szCs w:val="24"/>
                <w:color w:val="auto"/>
              </w:rPr>
            </w:pPr>
          </w:p>
        </w:tc>
        <w:tc>
          <w:tcPr>
            <w:tcW w:w="52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Name:  Authorized Signatory</w:t>
            </w:r>
          </w:p>
        </w:tc>
      </w:tr>
      <w:tr>
        <w:trPr>
          <w:trHeight w:val="20"/>
        </w:trPr>
        <w:tc>
          <w:tcPr>
            <w:tcW w:w="4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the presence of a witness</w:t>
      </w:r>
      <w:r>
        <w:rPr>
          <w:rFonts w:ascii="Times New Roman" w:cs="Times New Roman" w:eastAsia="Times New Roman" w:hAnsi="Times New Roman"/>
          <w:sz w:val="16"/>
          <w:szCs w:val="16"/>
          <w:i w:val="1"/>
          <w:i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Signature:</w:t>
            </w:r>
          </w:p>
        </w:tc>
        <w:tc>
          <w:tcPr>
            <w:tcW w:w="3980" w:type="dxa"/>
            <w:vAlign w:val="bottom"/>
            <w:tcBorders>
              <w:bottom w:val="single" w:sz="8" w:color="auto"/>
            </w:tcBorders>
          </w:tcPr>
          <w:p>
            <w:pPr>
              <w:jc w:val="right"/>
              <w:ind w:right="3538"/>
              <w:spacing w:after="0"/>
              <w:rPr>
                <w:sz w:val="20"/>
                <w:szCs w:val="20"/>
                <w:color w:val="auto"/>
              </w:rPr>
            </w:pPr>
            <w:r>
              <w:rPr>
                <w:rFonts w:ascii="Times New Roman" w:cs="Times New Roman" w:eastAsia="Times New Roman" w:hAnsi="Times New Roman"/>
                <w:sz w:val="16"/>
                <w:szCs w:val="16"/>
                <w:color w:val="auto"/>
                <w:w w:val="97"/>
              </w:rPr>
              <w:t>[***]</w:t>
            </w:r>
          </w:p>
        </w:tc>
      </w:tr>
      <w:tr>
        <w:trPr>
          <w:trHeight w:val="37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980" w:type="dxa"/>
            <w:vAlign w:val="bottom"/>
            <w:tcBorders>
              <w:bottom w:val="single" w:sz="8" w:color="auto"/>
            </w:tcBorders>
          </w:tcPr>
          <w:p>
            <w:pPr>
              <w:jc w:val="right"/>
              <w:ind w:right="3538"/>
              <w:spacing w:after="0"/>
              <w:rPr>
                <w:sz w:val="20"/>
                <w:szCs w:val="20"/>
                <w:color w:val="auto"/>
              </w:rPr>
            </w:pPr>
            <w:r>
              <w:rPr>
                <w:rFonts w:ascii="Times New Roman" w:cs="Times New Roman" w:eastAsia="Times New Roman" w:hAnsi="Times New Roman"/>
                <w:sz w:val="16"/>
                <w:szCs w:val="16"/>
                <w:color w:val="auto"/>
                <w:w w:val="97"/>
              </w:rPr>
              <w:t>[***]</w:t>
            </w:r>
          </w:p>
        </w:tc>
      </w:tr>
      <w:tr>
        <w:trPr>
          <w:trHeight w:val="37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Address:</w:t>
            </w:r>
          </w:p>
        </w:tc>
        <w:tc>
          <w:tcPr>
            <w:tcW w:w="3980" w:type="dxa"/>
            <w:vAlign w:val="bottom"/>
            <w:tcBorders>
              <w:bottom w:val="single" w:sz="8" w:color="auto"/>
            </w:tcBorders>
          </w:tcPr>
          <w:p>
            <w:pPr>
              <w:jc w:val="right"/>
              <w:ind w:right="3538"/>
              <w:spacing w:after="0"/>
              <w:rPr>
                <w:sz w:val="20"/>
                <w:szCs w:val="20"/>
                <w:color w:val="auto"/>
              </w:rPr>
            </w:pPr>
            <w:r>
              <w:rPr>
                <w:rFonts w:ascii="Times New Roman" w:cs="Times New Roman" w:eastAsia="Times New Roman" w:hAnsi="Times New Roman"/>
                <w:sz w:val="16"/>
                <w:szCs w:val="16"/>
                <w:color w:val="auto"/>
                <w:w w:val="97"/>
              </w:rPr>
              <w:t>[***]</w:t>
            </w:r>
          </w:p>
        </w:tc>
      </w:tr>
      <w:tr>
        <w:trPr>
          <w:trHeight w:val="37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Occupation:</w:t>
            </w:r>
          </w:p>
        </w:tc>
        <w:tc>
          <w:tcPr>
            <w:tcW w:w="3980" w:type="dxa"/>
            <w:vAlign w:val="bottom"/>
            <w:tcBorders>
              <w:bottom w:val="single" w:sz="8" w:color="auto"/>
            </w:tcBorders>
          </w:tcPr>
          <w:p>
            <w:pPr>
              <w:jc w:val="right"/>
              <w:ind w:right="3538"/>
              <w:spacing w:after="0"/>
              <w:rPr>
                <w:sz w:val="20"/>
                <w:szCs w:val="20"/>
                <w:color w:val="auto"/>
              </w:rPr>
            </w:pPr>
            <w:r>
              <w:rPr>
                <w:rFonts w:ascii="Times New Roman" w:cs="Times New Roman" w:eastAsia="Times New Roman" w:hAnsi="Times New Roman"/>
                <w:sz w:val="16"/>
                <w:szCs w:val="16"/>
                <w:color w:val="auto"/>
                <w:w w:val="97"/>
              </w:rPr>
              <w:t>[***]</w:t>
            </w: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Executed as </w:t>
            </w:r>
            <w:r>
              <w:rPr>
                <w:rFonts w:ascii="Times New Roman" w:cs="Times New Roman" w:eastAsia="Times New Roman" w:hAnsi="Times New Roman"/>
                <w:sz w:val="16"/>
                <w:szCs w:val="16"/>
                <w:b w:val="1"/>
                <w:bCs w:val="1"/>
                <w:color w:val="auto"/>
              </w:rPr>
              <w:t>DEED</w:t>
            </w:r>
            <w:r>
              <w:rPr>
                <w:rFonts w:ascii="Times New Roman" w:cs="Times New Roman" w:eastAsia="Times New Roman" w:hAnsi="Times New Roman"/>
                <w:sz w:val="16"/>
                <w:szCs w:val="16"/>
                <w:color w:val="auto"/>
              </w:rPr>
              <w:t xml:space="preserve"> by </w:t>
            </w:r>
            <w:r>
              <w:rPr>
                <w:rFonts w:ascii="Times New Roman" w:cs="Times New Roman" w:eastAsia="Times New Roman" w:hAnsi="Times New Roman"/>
                <w:sz w:val="16"/>
                <w:szCs w:val="16"/>
                <w:b w:val="1"/>
                <w:bCs w:val="1"/>
                <w:color w:val="auto"/>
              </w:rPr>
              <w:t>NIO Technology (Anhui) Co., Ltd.</w:t>
            </w:r>
            <w:r>
              <w:rPr>
                <w:rFonts w:ascii="Times New Roman" w:cs="Times New Roman" w:eastAsia="Times New Roman" w:hAnsi="Times New Roman"/>
                <w:sz w:val="16"/>
                <w:szCs w:val="16"/>
                <w:color w:val="auto"/>
              </w:rPr>
              <w:t xml:space="preserve"> by a duly</w:t>
            </w: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​​​Signature: /s/ Authorized Signatory</w:t>
            </w: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authorised Director:</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r>
      <w:tr>
        <w:trPr>
          <w:trHeight w:val="376"/>
        </w:trPr>
        <w:tc>
          <w:tcPr>
            <w:tcW w:w="4780" w:type="dxa"/>
            <w:vAlign w:val="bottom"/>
          </w:tcPr>
          <w:p>
            <w:pPr>
              <w:spacing w:after="0"/>
              <w:rPr>
                <w:sz w:val="24"/>
                <w:szCs w:val="24"/>
                <w:color w:val="auto"/>
              </w:rPr>
            </w:pPr>
          </w:p>
        </w:tc>
        <w:tc>
          <w:tcPr>
            <w:tcW w:w="51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Name:  Authorized Signatory</w:t>
            </w:r>
          </w:p>
        </w:tc>
      </w:tr>
      <w:tr>
        <w:trPr>
          <w:trHeight w:val="20"/>
        </w:trPr>
        <w:tc>
          <w:tcPr>
            <w:tcW w:w="4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the presence of a witness</w:t>
      </w:r>
      <w:r>
        <w:rPr>
          <w:rFonts w:ascii="Times New Roman" w:cs="Times New Roman" w:eastAsia="Times New Roman" w:hAnsi="Times New Roman"/>
          <w:sz w:val="16"/>
          <w:szCs w:val="16"/>
          <w:i w:val="1"/>
          <w:iCs w:val="1"/>
          <w:color w:val="auto"/>
        </w:rPr>
        <w:t>:</w:t>
      </w:r>
    </w:p>
    <w:p>
      <w:pPr>
        <w:spacing w:after="0" w:line="2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color w:val="auto"/>
        </w:rPr>
        <w:t>Signature: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19685</wp:posOffset>
            </wp:positionV>
            <wp:extent cx="252285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3">
                      <a:extLst>
                        <a:ext uri="{28A0092B-C50C-407E-A947-70E740481C1C}"/>
                      </a:extLst>
                    </a:blip>
                    <a:srcRect/>
                    <a:stretch>
                      <a:fillRect/>
                    </a:stretch>
                  </pic:blipFill>
                  <pic:spPr bwMode="auto">
                    <a:xfrm>
                      <a:off x="0" y="0"/>
                      <a:ext cx="2522855" cy="7620"/>
                    </a:xfrm>
                    <a:prstGeom prst="rect">
                      <a:avLst/>
                    </a:prstGeom>
                    <a:noFill/>
                  </pic:spPr>
                </pic:pic>
              </a:graphicData>
            </a:graphic>
          </wp:anchor>
        </w:drawing>
      </w:r>
    </w:p>
    <w:p>
      <w:pPr>
        <w:spacing w:after="0" w:line="1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19685</wp:posOffset>
            </wp:positionV>
            <wp:extent cx="252285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4">
                      <a:extLst>
                        <a:ext uri="{28A0092B-C50C-407E-A947-70E740481C1C}"/>
                      </a:extLst>
                    </a:blip>
                    <a:srcRect/>
                    <a:stretch>
                      <a:fillRect/>
                    </a:stretch>
                  </pic:blipFill>
                  <pic:spPr bwMode="auto">
                    <a:xfrm>
                      <a:off x="0" y="0"/>
                      <a:ext cx="2522855" cy="7620"/>
                    </a:xfrm>
                    <a:prstGeom prst="rect">
                      <a:avLst/>
                    </a:prstGeom>
                    <a:noFill/>
                  </pic:spPr>
                </pic:pic>
              </a:graphicData>
            </a:graphic>
          </wp:anchor>
        </w:drawing>
      </w:r>
    </w:p>
    <w:p>
      <w:pPr>
        <w:spacing w:after="0" w:line="1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color w:val="auto"/>
        </w:rPr>
        <w:t>Address: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19685</wp:posOffset>
            </wp:positionV>
            <wp:extent cx="252285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5">
                      <a:extLst>
                        <a:ext uri="{28A0092B-C50C-407E-A947-70E740481C1C}"/>
                      </a:extLst>
                    </a:blip>
                    <a:srcRect/>
                    <a:stretch>
                      <a:fillRect/>
                    </a:stretch>
                  </pic:blipFill>
                  <pic:spPr bwMode="auto">
                    <a:xfrm>
                      <a:off x="0" y="0"/>
                      <a:ext cx="2522855" cy="762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Occupation: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19685</wp:posOffset>
            </wp:positionV>
            <wp:extent cx="252285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6">
                      <a:extLst>
                        <a:ext uri="{28A0092B-C50C-407E-A947-70E740481C1C}"/>
                      </a:extLst>
                    </a:blip>
                    <a:srcRect/>
                    <a:stretch>
                      <a:fillRect/>
                    </a:stretch>
                  </pic:blipFill>
                  <pic:spPr bwMode="auto">
                    <a:xfrm>
                      <a:off x="0" y="0"/>
                      <a:ext cx="25228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614" w:right="979" w:bottom="1440" w:gutter="0" w:footer="0" w:header="0"/>
        </w:sectPr>
      </w:pPr>
    </w:p>
    <w:bookmarkStart w:id="255" w:name="page256"/>
    <w:bookmarkEnd w:id="255"/>
    <w:p>
      <w:pPr>
        <w:ind w:left="7909"/>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12"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35"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Contract Amendments</w:t>
      </w:r>
    </w:p>
    <w:p>
      <w:pPr>
        <w:spacing w:after="0" w:line="207" w:lineRule="exact"/>
        <w:rPr>
          <w:sz w:val="20"/>
          <w:szCs w:val="20"/>
          <w:color w:val="auto"/>
        </w:rPr>
      </w:pPr>
    </w:p>
    <w:p>
      <w:pPr>
        <w:ind w:left="349" w:hanging="349"/>
        <w:spacing w:after="0"/>
        <w:tabs>
          <w:tab w:leader="none" w:pos="349"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a new clause 1.19A to read:</w:t>
      </w:r>
    </w:p>
    <w:p>
      <w:pPr>
        <w:spacing w:after="0" w:line="208" w:lineRule="exact"/>
        <w:rPr>
          <w:rFonts w:ascii="Times New Roman" w:cs="Times New Roman" w:eastAsia="Times New Roman" w:hAnsi="Times New Roman"/>
          <w:sz w:val="16"/>
          <w:szCs w:val="16"/>
          <w:color w:val="auto"/>
        </w:rPr>
      </w:pPr>
    </w:p>
    <w:p>
      <w:pPr>
        <w:ind w:left="349"/>
        <w:spacing w:after="0" w:line="3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Affiliate</w:t>
      </w:r>
      <w:r>
        <w:rPr>
          <w:rFonts w:ascii="Times New Roman" w:cs="Times New Roman" w:eastAsia="Times New Roman" w:hAnsi="Times New Roman"/>
          <w:sz w:val="16"/>
          <w:szCs w:val="16"/>
          <w:color w:val="auto"/>
        </w:rPr>
        <w:t>” means McLaren Automotive Limited (a company incorporated and registered in England and Wales with company number 01967717).</w:t>
      </w:r>
    </w:p>
    <w:p>
      <w:pPr>
        <w:spacing w:after="0" w:line="145" w:lineRule="exact"/>
        <w:rPr>
          <w:rFonts w:ascii="Times New Roman" w:cs="Times New Roman" w:eastAsia="Times New Roman" w:hAnsi="Times New Roman"/>
          <w:sz w:val="16"/>
          <w:szCs w:val="16"/>
          <w:color w:val="auto"/>
        </w:rPr>
      </w:pPr>
    </w:p>
    <w:p>
      <w:pPr>
        <w:ind w:left="349" w:hanging="349"/>
        <w:spacing w:after="0"/>
        <w:tabs>
          <w:tab w:leader="none" w:pos="349"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clause 1.17 to read:</w:t>
      </w:r>
    </w:p>
    <w:p>
      <w:pPr>
        <w:spacing w:after="0" w:line="208" w:lineRule="exact"/>
        <w:rPr>
          <w:rFonts w:ascii="Times New Roman" w:cs="Times New Roman" w:eastAsia="Times New Roman" w:hAnsi="Times New Roman"/>
          <w:sz w:val="16"/>
          <w:szCs w:val="16"/>
          <w:color w:val="auto"/>
        </w:rPr>
      </w:pPr>
    </w:p>
    <w:p>
      <w:pPr>
        <w:jc w:val="both"/>
        <w:ind w:left="349"/>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IPR Claim</w:t>
      </w:r>
      <w:r>
        <w:rPr>
          <w:rFonts w:ascii="Times New Roman" w:cs="Times New Roman" w:eastAsia="Times New Roman" w:hAnsi="Times New Roman"/>
          <w:sz w:val="16"/>
          <w:szCs w:val="16"/>
          <w:i w:val="1"/>
          <w:iCs w:val="1"/>
          <w:color w:val="auto"/>
        </w:rPr>
        <w:t>” means any Claim brought by a Third Party that the provision or Use by the LICENSEE, the Licensed Affiliate, or any SUB-LICENSEE of the Licensed Technology in accordance with the terms of this Agreement infringes the Intellectual Property Rights of such Third Party.</w:t>
      </w:r>
    </w:p>
    <w:p>
      <w:pPr>
        <w:spacing w:after="0" w:line="162" w:lineRule="exact"/>
        <w:rPr>
          <w:rFonts w:ascii="Times New Roman" w:cs="Times New Roman" w:eastAsia="Times New Roman" w:hAnsi="Times New Roman"/>
          <w:sz w:val="16"/>
          <w:szCs w:val="16"/>
          <w:color w:val="auto"/>
        </w:rPr>
      </w:pPr>
    </w:p>
    <w:p>
      <w:pPr>
        <w:ind w:left="349" w:hanging="349"/>
        <w:spacing w:after="0"/>
        <w:tabs>
          <w:tab w:leader="none" w:pos="349"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clause 1.41 to read:</w:t>
      </w:r>
    </w:p>
    <w:p>
      <w:pPr>
        <w:spacing w:after="0" w:line="208" w:lineRule="exact"/>
        <w:rPr>
          <w:rFonts w:ascii="Times New Roman" w:cs="Times New Roman" w:eastAsia="Times New Roman" w:hAnsi="Times New Roman"/>
          <w:sz w:val="16"/>
          <w:szCs w:val="16"/>
          <w:color w:val="auto"/>
        </w:rPr>
      </w:pPr>
    </w:p>
    <w:p>
      <w:pPr>
        <w:jc w:val="both"/>
        <w:ind w:left="349"/>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“SUB-LICENSEE” </w:t>
      </w:r>
      <w:r>
        <w:rPr>
          <w:rFonts w:ascii="Times New Roman" w:cs="Times New Roman" w:eastAsia="Times New Roman" w:hAnsi="Times New Roman"/>
          <w:sz w:val="16"/>
          <w:szCs w:val="16"/>
          <w:i w:val="1"/>
          <w:iCs w:val="1"/>
          <w:color w:val="auto"/>
        </w:rPr>
        <w:t>means a Specific Supplier to whom LICENSEE or any of the Licensed Affiliate has granted a sublicense of the rights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the Licensed Technologies granted to it under this Agreement in accordance with Section 5.4, which shall include any Specific Suppliers to which LICENSEE or the Licensed Affiliate provides NIO’s Intellectual Property Rights or Confidential Information (whether or not such Specific Supplier has separately received such Intellectual Property Rights or Confidential Information from NIO).</w:t>
      </w:r>
    </w:p>
    <w:p>
      <w:pPr>
        <w:spacing w:after="0" w:line="169" w:lineRule="exact"/>
        <w:rPr>
          <w:rFonts w:ascii="Times New Roman" w:cs="Times New Roman" w:eastAsia="Times New Roman" w:hAnsi="Times New Roman"/>
          <w:sz w:val="16"/>
          <w:szCs w:val="16"/>
          <w:color w:val="auto"/>
        </w:rPr>
      </w:pPr>
    </w:p>
    <w:p>
      <w:pPr>
        <w:ind w:left="349" w:hanging="349"/>
        <w:spacing w:after="0"/>
        <w:tabs>
          <w:tab w:leader="none" w:pos="349"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clause 2.1 to read:</w:t>
      </w:r>
    </w:p>
    <w:p>
      <w:pPr>
        <w:spacing w:after="0" w:line="208" w:lineRule="exact"/>
        <w:rPr>
          <w:rFonts w:ascii="Times New Roman" w:cs="Times New Roman" w:eastAsia="Times New Roman" w:hAnsi="Times New Roman"/>
          <w:sz w:val="16"/>
          <w:szCs w:val="16"/>
          <w:color w:val="auto"/>
        </w:rPr>
      </w:pPr>
    </w:p>
    <w:p>
      <w:pPr>
        <w:ind w:left="34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are engaged in a collaboration (the “</w:t>
      </w:r>
      <w:r>
        <w:rPr>
          <w:rFonts w:ascii="Times New Roman" w:cs="Times New Roman" w:eastAsia="Times New Roman" w:hAnsi="Times New Roman"/>
          <w:sz w:val="16"/>
          <w:szCs w:val="16"/>
          <w:b w:val="1"/>
          <w:bCs w:val="1"/>
          <w:color w:val="auto"/>
        </w:rPr>
        <w:t>Project</w:t>
      </w:r>
      <w:r>
        <w:rPr>
          <w:rFonts w:ascii="Times New Roman" w:cs="Times New Roman" w:eastAsia="Times New Roman" w:hAnsi="Times New Roman"/>
          <w:sz w:val="16"/>
          <w:szCs w:val="16"/>
          <w:color w:val="auto"/>
        </w:rPr>
        <w:t>”) which, amongst other things, will entail:</w:t>
      </w:r>
    </w:p>
    <w:p>
      <w:pPr>
        <w:spacing w:after="0" w:line="216" w:lineRule="exact"/>
        <w:rPr>
          <w:rFonts w:ascii="Times New Roman" w:cs="Times New Roman" w:eastAsia="Times New Roman" w:hAnsi="Times New Roman"/>
          <w:sz w:val="16"/>
          <w:szCs w:val="16"/>
          <w:color w:val="auto"/>
        </w:rPr>
      </w:pPr>
    </w:p>
    <w:p>
      <w:pPr>
        <w:ind w:left="769" w:hanging="416"/>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2.1.1 NIO providing and licensing the Licensed Technologies in the SEV Platforms to LICENSEE and the Licensed Affiliate for Use in Licensed Products in accordance with Section 5.1 and providing LICENSEE and the Licensed Affiliate with information and reasonable assistance to the extent necessary for LICENSEE and the Licensed Affiliate to utilise the Licensed Technologies in accordance with general industry practice; and</w:t>
      </w:r>
    </w:p>
    <w:p>
      <w:pPr>
        <w:spacing w:after="0" w:line="159" w:lineRule="exact"/>
        <w:rPr>
          <w:rFonts w:ascii="Times New Roman" w:cs="Times New Roman" w:eastAsia="Times New Roman" w:hAnsi="Times New Roman"/>
          <w:sz w:val="16"/>
          <w:szCs w:val="16"/>
          <w:color w:val="auto"/>
        </w:rPr>
      </w:pPr>
    </w:p>
    <w:p>
      <w:pPr>
        <w:ind w:left="769" w:hanging="416"/>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2.1.2 NIO’s willingness to provide LICENSEE and the Licensed Affiliate with opportunities to acquire relevant hardware for use in the SEV Platforms in the Licensed Products, provided that while NIO shall use reasonable endeavours to facilitate the LICENSEE’s and the Licensed Affiliate’s engagement of suppliers of relevant hardware and take the steps set out in Section 4.4 in respect of Core Technologies, NIO does not guarantee that any such suppliers will agree to supply hardware to LICENSEE or the Licensed Affiliate.</w:t>
      </w:r>
    </w:p>
    <w:p>
      <w:pPr>
        <w:spacing w:after="0" w:line="171" w:lineRule="exact"/>
        <w:rPr>
          <w:rFonts w:ascii="Times New Roman" w:cs="Times New Roman" w:eastAsia="Times New Roman" w:hAnsi="Times New Roman"/>
          <w:sz w:val="16"/>
          <w:szCs w:val="16"/>
          <w:color w:val="auto"/>
        </w:rPr>
      </w:pPr>
    </w:p>
    <w:p>
      <w:pPr>
        <w:ind w:left="349" w:hanging="349"/>
        <w:spacing w:after="0"/>
        <w:tabs>
          <w:tab w:leader="none" w:pos="349"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Clause 4.5 to read:</w:t>
      </w:r>
    </w:p>
    <w:p>
      <w:pPr>
        <w:spacing w:after="0" w:line="212" w:lineRule="exact"/>
        <w:rPr>
          <w:rFonts w:ascii="Times New Roman" w:cs="Times New Roman" w:eastAsia="Times New Roman" w:hAnsi="Times New Roman"/>
          <w:sz w:val="16"/>
          <w:szCs w:val="16"/>
          <w:color w:val="auto"/>
        </w:rPr>
      </w:pPr>
    </w:p>
    <w:p>
      <w:pPr>
        <w:ind w:left="349" w:right="16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agree that LICENSEE and the Licensed Affiliate may only use the Licensed Technologies to produce vehicle models which are sold or marketed:</w:t>
      </w:r>
    </w:p>
    <w:p>
      <w:pPr>
        <w:spacing w:after="0" w:line="137" w:lineRule="exact"/>
        <w:rPr>
          <w:rFonts w:ascii="Times New Roman" w:cs="Times New Roman" w:eastAsia="Times New Roman" w:hAnsi="Times New Roman"/>
          <w:sz w:val="16"/>
          <w:szCs w:val="16"/>
          <w:color w:val="auto"/>
        </w:rPr>
      </w:pPr>
    </w:p>
    <w:p>
      <w:pPr>
        <w:ind w:left="769" w:hanging="416"/>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4.5.1 under one LICENSEE brand (or a brand of the Licensed Affiliate), which LICENSEE shall notify to NIO as soon as reasonably practicable, with an MSRP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-4970780</wp:posOffset>
            </wp:positionV>
            <wp:extent cx="6365875" cy="49510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8">
                      <a:extLst>
                        <a:ext uri="{28A0092B-C50C-407E-A947-70E740481C1C}"/>
                      </a:extLst>
                    </a:blip>
                    <a:srcRect/>
                    <a:stretch>
                      <a:fillRect/>
                    </a:stretch>
                  </pic:blipFill>
                  <pic:spPr bwMode="auto">
                    <a:xfrm>
                      <a:off x="0" y="0"/>
                      <a:ext cx="6365875" cy="4951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334010</wp:posOffset>
            </wp:positionV>
            <wp:extent cx="6310630" cy="234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709"/>
          </w:cols>
          <w:pgMar w:left="1211" w:top="614" w:right="979" w:bottom="1440" w:gutter="0" w:footer="0" w:header="0"/>
        </w:sectPr>
      </w:pPr>
    </w:p>
    <w:bookmarkStart w:id="256" w:name="page257"/>
    <w:bookmarkEnd w:id="256"/>
    <w:p>
      <w:pPr>
        <w:ind w:left="7920"/>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over USD $50,000 (excluding tax), provided that this shall include any region-specific variations of such designated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-113665</wp:posOffset>
            </wp:positionV>
            <wp:extent cx="6365875" cy="49434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0">
                      <a:extLst>
                        <a:ext uri="{28A0092B-C50C-407E-A947-70E740481C1C}"/>
                      </a:extLst>
                    </a:blip>
                    <a:srcRect/>
                    <a:stretch>
                      <a:fillRect/>
                    </a:stretch>
                  </pic:blipFill>
                  <pic:spPr bwMode="auto">
                    <a:xfrm>
                      <a:off x="0" y="0"/>
                      <a:ext cx="6365875" cy="4943475"/>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4.5.2 under any additional LICENSEE brand or brand of the Licensed Affiliate:</w:t>
      </w:r>
    </w:p>
    <w:p>
      <w:pPr>
        <w:spacing w:after="0" w:line="31" w:lineRule="exact"/>
        <w:rPr>
          <w:sz w:val="20"/>
          <w:szCs w:val="20"/>
          <w:color w:val="auto"/>
        </w:rPr>
      </w:pPr>
    </w:p>
    <w:p>
      <w:pPr>
        <w:ind w:left="1000" w:hanging="301"/>
        <w:spacing w:after="0"/>
        <w:tabs>
          <w:tab w:leader="none" w:pos="10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an MSRP of over USD $100,000 (excluding tax); or</w:t>
      </w:r>
    </w:p>
    <w:p>
      <w:pPr>
        <w:spacing w:after="0" w:line="14" w:lineRule="exact"/>
        <w:rPr>
          <w:rFonts w:ascii="Times New Roman" w:cs="Times New Roman" w:eastAsia="Times New Roman" w:hAnsi="Times New Roman"/>
          <w:sz w:val="16"/>
          <w:szCs w:val="16"/>
          <w:color w:val="auto"/>
        </w:rPr>
      </w:pPr>
    </w:p>
    <w:p>
      <w:pPr>
        <w:ind w:left="1000" w:hanging="301"/>
        <w:spacing w:after="0" w:line="276" w:lineRule="auto"/>
        <w:tabs>
          <w:tab w:leader="none" w:pos="115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LICENSEE has obtained NIO’s prior written consent to production of such vehicle model under such additional LICENSEE brand or brand of the Licensed Affiliate, with an MSRP between USD $50,000 and USD $100,000 (excluding tax),</w:t>
      </w:r>
    </w:p>
    <w:p>
      <w:pPr>
        <w:spacing w:after="0" w:line="150" w:lineRule="exact"/>
        <w:rPr>
          <w:sz w:val="20"/>
          <w:szCs w:val="20"/>
          <w:color w:val="auto"/>
        </w:rPr>
      </w:pPr>
    </w:p>
    <w:p>
      <w:pPr>
        <w:jc w:val="both"/>
        <w:ind w:left="360" w:right="60"/>
        <w:spacing w:after="0" w:line="281" w:lineRule="auto"/>
        <w:rPr>
          <w:sz w:val="20"/>
          <w:szCs w:val="20"/>
          <w:color w:val="auto"/>
        </w:rPr>
      </w:pPr>
      <w:r>
        <w:rPr>
          <w:rFonts w:ascii="Times New Roman" w:cs="Times New Roman" w:eastAsia="Times New Roman" w:hAnsi="Times New Roman"/>
          <w:sz w:val="16"/>
          <w:szCs w:val="16"/>
          <w:color w:val="auto"/>
        </w:rPr>
        <w:t>(each such vehicle model that incorporates all or part of the Licensed Technologies, a “</w:t>
      </w:r>
      <w:r>
        <w:rPr>
          <w:rFonts w:ascii="Times New Roman" w:cs="Times New Roman" w:eastAsia="Times New Roman" w:hAnsi="Times New Roman"/>
          <w:sz w:val="16"/>
          <w:szCs w:val="16"/>
          <w:b w:val="1"/>
          <w:bCs w:val="1"/>
          <w:color w:val="auto"/>
        </w:rPr>
        <w:t>Licensed Product</w:t>
      </w:r>
      <w:r>
        <w:rPr>
          <w:rFonts w:ascii="Times New Roman" w:cs="Times New Roman" w:eastAsia="Times New Roman" w:hAnsi="Times New Roman"/>
          <w:sz w:val="16"/>
          <w:szCs w:val="16"/>
          <w:color w:val="auto"/>
        </w:rPr>
        <w:t>”). For the purpose of this Section 4.5, a LICENSEE brand or brand of the Licensed Affiliate includes a brand used by LICENSEE or the Licensed Affiliate but where Intellectual Property Rights in such brand are owned by another Affiliate of LICENSEE.</w:t>
      </w:r>
    </w:p>
    <w:p>
      <w:pPr>
        <w:spacing w:after="0" w:line="162" w:lineRule="exact"/>
        <w:rPr>
          <w:sz w:val="20"/>
          <w:szCs w:val="20"/>
          <w:color w:val="auto"/>
        </w:rPr>
      </w:pPr>
    </w:p>
    <w:p>
      <w:pPr>
        <w:ind w:left="360" w:hanging="353"/>
        <w:spacing w:after="0"/>
        <w:tabs>
          <w:tab w:leader="none" w:pos="3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Clause 5.1 to read:</w:t>
      </w:r>
    </w:p>
    <w:p>
      <w:pPr>
        <w:spacing w:after="0" w:line="212" w:lineRule="exact"/>
        <w:rPr>
          <w:rFonts w:ascii="Times New Roman" w:cs="Times New Roman" w:eastAsia="Times New Roman" w:hAnsi="Times New Roman"/>
          <w:sz w:val="16"/>
          <w:szCs w:val="16"/>
          <w:color w:val="auto"/>
        </w:rPr>
      </w:pPr>
    </w:p>
    <w:p>
      <w:pPr>
        <w:jc w:val="both"/>
        <w:ind w:left="360" w:right="6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hereby grants to LICENSEE and the Licensed Affiliate a non-exclusive, non-transferable, non-sublicensable (except as permitted under Section 5.2.3 and 5.4), worldwide licence to Use the Licensed Technologies, during the Licence Term, on the terms and conditions stipulated in this Agreement, for the Licensed Purpose only.</w:t>
      </w:r>
    </w:p>
    <w:p>
      <w:pPr>
        <w:spacing w:after="0" w:line="165"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Clause 5.2 to read:</w:t>
      </w:r>
    </w:p>
    <w:p>
      <w:pPr>
        <w:spacing w:after="0" w:line="212" w:lineRule="exact"/>
        <w:rPr>
          <w:rFonts w:ascii="Times New Roman" w:cs="Times New Roman" w:eastAsia="Times New Roman" w:hAnsi="Times New Roman"/>
          <w:sz w:val="16"/>
          <w:szCs w:val="16"/>
          <w:color w:val="auto"/>
        </w:rPr>
      </w:pPr>
    </w:p>
    <w:p>
      <w:pPr>
        <w:ind w:left="360" w:right="6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Licensed Software provided by NIO under this Agreement, the licence that NIO grants to LICENSEE and the Licensed Affiliate under Section 5.1 with respect to the Licensed Software shall be limited by the following restraints:</w:t>
      </w:r>
    </w:p>
    <w:p>
      <w:pPr>
        <w:spacing w:after="0" w:line="137"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5.2.1 NIO will provide Licensed Software in object code form only;</w:t>
      </w:r>
    </w:p>
    <w:p>
      <w:pPr>
        <w:spacing w:after="0" w:line="212" w:lineRule="exact"/>
        <w:rPr>
          <w:rFonts w:ascii="Times New Roman" w:cs="Times New Roman" w:eastAsia="Times New Roman" w:hAnsi="Times New Roman"/>
          <w:sz w:val="16"/>
          <w:szCs w:val="16"/>
          <w:color w:val="auto"/>
        </w:rPr>
      </w:pPr>
    </w:p>
    <w:p>
      <w:pPr>
        <w:ind w:left="780" w:right="60" w:hanging="416"/>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5.2.2 LICENSEE shall not (and shall procure that the Licensed Affiliate shall not) attempt to derive or use the source code of such object code by any means, such as decompiling, disassembling, reverse engineering, or any other means, except that for the avoidance of doubt, LICENSEE and the Licensed Affiliate shall be entitled to integrate and interface the Licensed Software with its own software and systems (including in the Licensed Products), but shall not amend or modify the Licensed Software, and NIO shall provide the LICENSEE with all applicable interface documentation which NIO has in its possession to assist the LICENSEE and the Licensed Affiliate in this regard; and</w:t>
      </w:r>
    </w:p>
    <w:p>
      <w:pPr>
        <w:spacing w:after="0" w:line="362" w:lineRule="exact"/>
        <w:rPr>
          <w:rFonts w:ascii="Times New Roman" w:cs="Times New Roman" w:eastAsia="Times New Roman" w:hAnsi="Times New Roman"/>
          <w:sz w:val="16"/>
          <w:szCs w:val="16"/>
          <w:color w:val="auto"/>
        </w:rPr>
      </w:pPr>
    </w:p>
    <w:p>
      <w:pPr>
        <w:ind w:left="780" w:right="60" w:hanging="416"/>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5.2.3 for the purpose of manufacturing, selling, offering to sell, importing and/or exporting the Licensed Product, LICENSEE and the Licensed Affiliate may reproduce, transmit and distribute the Licensed Software to Third Parties, provided that: (1) the Licensed Software is provided in object code only; (2) the Licensed Software is provided only as part of the Licensed Product(s); and (3) LICENSEE or the Licensed Affiliate must enter into a licence agreement with any such Third Party that is consistent with or provide at least the same level of protection as NIO’s Intellectual Property Rights and Confidential Information under this Agreement.</w:t>
      </w:r>
    </w:p>
    <w:p>
      <w:pPr>
        <w:spacing w:after="0" w:line="173"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Clause 5, all references to “LICENSEE” are amended to read “LICENSEE and/or the Licensed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334010</wp:posOffset>
            </wp:positionV>
            <wp:extent cx="6310630" cy="234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780"/>
          </w:cols>
          <w:pgMar w:left="1200" w:top="614" w:right="919" w:bottom="1440" w:gutter="0" w:footer="0" w:header="0"/>
        </w:sectPr>
      </w:pPr>
    </w:p>
    <w:bookmarkStart w:id="257" w:name="page258"/>
    <w:bookmarkEnd w:id="257"/>
    <w:p>
      <w:pPr>
        <w:ind w:left="7960"/>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41" w:lineRule="exact"/>
        <w:rPr>
          <w:sz w:val="20"/>
          <w:szCs w:val="20"/>
          <w:color w:val="auto"/>
        </w:rPr>
      </w:pPr>
    </w:p>
    <w:p>
      <w:pPr>
        <w:ind w:left="400" w:hanging="349"/>
        <w:spacing w:after="0"/>
        <w:tabs>
          <w:tab w:leader="none" w:pos="40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Clauses 8, 9, 10, 11, 12 and 15, all references to “LICENSEE” are amended to read “LICENSEE and/or the Licensed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-113665</wp:posOffset>
            </wp:positionV>
            <wp:extent cx="6373495" cy="14065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2">
                      <a:extLst>
                        <a:ext uri="{28A0092B-C50C-407E-A947-70E740481C1C}"/>
                      </a:extLst>
                    </a:blip>
                    <a:srcRect/>
                    <a:stretch>
                      <a:fillRect/>
                    </a:stretch>
                  </pic:blipFill>
                  <pic:spPr bwMode="auto">
                    <a:xfrm>
                      <a:off x="0" y="0"/>
                      <a:ext cx="6373495" cy="1406525"/>
                    </a:xfrm>
                    <a:prstGeom prst="rect">
                      <a:avLst/>
                    </a:prstGeom>
                    <a:noFill/>
                  </pic:spPr>
                </pic:pic>
              </a:graphicData>
            </a:graphic>
          </wp:anchor>
        </w:drawing>
      </w:r>
    </w:p>
    <w:p>
      <w:pPr>
        <w:spacing w:after="0" w:line="204" w:lineRule="exact"/>
        <w:rPr>
          <w:sz w:val="20"/>
          <w:szCs w:val="20"/>
          <w:color w:val="auto"/>
        </w:rPr>
      </w:pPr>
    </w:p>
    <w:p>
      <w:pPr>
        <w:ind w:left="400" w:hanging="390"/>
        <w:spacing w:after="0"/>
        <w:tabs>
          <w:tab w:leader="none" w:pos="40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clause 21 to read:</w:t>
      </w:r>
    </w:p>
    <w:p>
      <w:pPr>
        <w:spacing w:after="0" w:line="212" w:lineRule="exact"/>
        <w:rPr>
          <w:rFonts w:ascii="Times New Roman" w:cs="Times New Roman" w:eastAsia="Times New Roman" w:hAnsi="Times New Roman"/>
          <w:sz w:val="16"/>
          <w:szCs w:val="16"/>
          <w:color w:val="auto"/>
        </w:rPr>
      </w:pPr>
    </w:p>
    <w:p>
      <w:pPr>
        <w:ind w:left="820" w:hanging="416"/>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21.1 Subject to Section 21.2, no one other than a Party to this Agreement, their successors and permitted assignees, shall have any right to enforce any of its terms.</w:t>
      </w:r>
    </w:p>
    <w:p>
      <w:pPr>
        <w:spacing w:after="0" w:line="137" w:lineRule="exact"/>
        <w:rPr>
          <w:rFonts w:ascii="Times New Roman" w:cs="Times New Roman" w:eastAsia="Times New Roman" w:hAnsi="Times New Roman"/>
          <w:sz w:val="16"/>
          <w:szCs w:val="16"/>
          <w:color w:val="auto"/>
        </w:rPr>
      </w:pPr>
    </w:p>
    <w:p>
      <w:pPr>
        <w:ind w:left="820" w:hanging="416"/>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21.2 Where this Agreement grants any right or benefit to the Licensed Affiliate, any losses or damages suffered by the Licensed Affiliate (an “</w:t>
      </w:r>
      <w:r>
        <w:rPr>
          <w:rFonts w:ascii="Times New Roman" w:cs="Times New Roman" w:eastAsia="Times New Roman" w:hAnsi="Times New Roman"/>
          <w:sz w:val="16"/>
          <w:szCs w:val="16"/>
          <w:b w:val="1"/>
          <w:bCs w:val="1"/>
          <w:color w:val="auto"/>
        </w:rPr>
        <w:t>Affiliate Loss</w:t>
      </w:r>
      <w:r>
        <w:rPr>
          <w:rFonts w:ascii="Times New Roman" w:cs="Times New Roman" w:eastAsia="Times New Roman" w:hAnsi="Times New Roman"/>
          <w:sz w:val="16"/>
          <w:szCs w:val="16"/>
          <w:color w:val="auto"/>
        </w:rPr>
        <w:t>”) that would be recoverable by MAL under this Agreement, and the parties agree such Affiliate Loss shall be recoverable by MAL from NIO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334010</wp:posOffset>
            </wp:positionV>
            <wp:extent cx="6310630" cy="234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760"/>
          </w:cols>
          <w:pgMar w:left="1160" w:top="614" w:right="97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6"/>
          <w:szCs w:val="16"/>
          <w:b w:val="1"/>
          <w:bCs w:val="1"/>
          <w:color w:val="auto"/>
        </w:rPr>
        <w:t>Exhibit 4.51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AND SUPPLEMENTARY AGREEMENT II TO</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CHINA SERIES B INVESTMENT AGREEMENT</w:t>
      </w:r>
    </w:p>
    <w:p>
      <w:pPr>
        <w:spacing w:after="0" w:line="19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color w:val="auto"/>
        </w:rPr>
        <w:t>This Amendment and Supplementary Agreement II to NIO China Series B Investment Agreement (this “</w:t>
      </w:r>
      <w:r>
        <w:rPr>
          <w:rFonts w:ascii="Times New Roman" w:cs="Times New Roman" w:eastAsia="Times New Roman" w:hAnsi="Times New Roman"/>
          <w:sz w:val="16"/>
          <w:szCs w:val="16"/>
          <w:b w:val="1"/>
          <w:bCs w:val="1"/>
          <w:color w:val="auto"/>
        </w:rPr>
        <w:t>Amendment and Supplementary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 II</w:t>
      </w:r>
      <w:r>
        <w:rPr>
          <w:rFonts w:ascii="Times New Roman" w:cs="Times New Roman" w:eastAsia="Times New Roman" w:hAnsi="Times New Roman"/>
          <w:sz w:val="16"/>
          <w:szCs w:val="16"/>
          <w:color w:val="auto"/>
        </w:rPr>
        <w:t>”) is made on July 11, 2025 (the “</w:t>
      </w:r>
      <w:r>
        <w:rPr>
          <w:rFonts w:ascii="Times New Roman" w:cs="Times New Roman" w:eastAsia="Times New Roman" w:hAnsi="Times New Roman"/>
          <w:sz w:val="16"/>
          <w:szCs w:val="16"/>
          <w:b w:val="1"/>
          <w:bCs w:val="1"/>
          <w:color w:val="auto"/>
        </w:rPr>
        <w:t>Execution Date</w:t>
      </w:r>
      <w:r>
        <w:rPr>
          <w:rFonts w:ascii="Times New Roman" w:cs="Times New Roman" w:eastAsia="Times New Roman" w:hAnsi="Times New Roman"/>
          <w:sz w:val="16"/>
          <w:szCs w:val="16"/>
          <w:color w:val="auto"/>
        </w:rPr>
        <w:t>”) by and among:</w:t>
      </w:r>
    </w:p>
    <w:p>
      <w:pPr>
        <w:spacing w:after="0" w:line="133" w:lineRule="exact"/>
        <w:rPr>
          <w:sz w:val="20"/>
          <w:szCs w:val="20"/>
          <w:color w:val="auto"/>
        </w:rPr>
      </w:pPr>
    </w:p>
    <w:p>
      <w:pPr>
        <w:jc w:val="both"/>
        <w:ind w:left="300" w:hanging="300"/>
        <w:spacing w:after="0" w:line="270" w:lineRule="auto"/>
        <w:tabs>
          <w:tab w:leader="none" w:pos="30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Hefei Jianxiang Investment Co., Ltd., a limited liability company duly established and existing under the laws of the People’s Republic of China (the “</w:t>
      </w:r>
      <w:r>
        <w:rPr>
          <w:rFonts w:ascii="Times New Roman" w:cs="Times New Roman" w:eastAsia="Times New Roman" w:hAnsi="Times New Roman"/>
          <w:sz w:val="16"/>
          <w:szCs w:val="16"/>
          <w:b w:val="1"/>
          <w:bCs w:val="1"/>
          <w:color w:val="auto"/>
        </w:rPr>
        <w:t>PRC</w:t>
      </w:r>
      <w:r>
        <w:rPr>
          <w:rFonts w:ascii="Times New Roman" w:cs="Times New Roman" w:eastAsia="Times New Roman" w:hAnsi="Times New Roman"/>
          <w:sz w:val="16"/>
          <w:szCs w:val="16"/>
          <w:color w:val="auto"/>
        </w:rPr>
        <w:t>”, for the purpose of this Amendment and Supplementary Agreement II, excluding the Hong Kong Special Administrative Region, the Macao Special Administrative Region and Taiwan), holding a business license with unified social credit code of 91340100060811593C, and with its legal representative being ZHAO Zhanghua and registered office at NO. 229, Wuhan Road, Binhu New District, Hefei City (“</w:t>
      </w:r>
      <w:r>
        <w:rPr>
          <w:rFonts w:ascii="Times New Roman" w:cs="Times New Roman" w:eastAsia="Times New Roman" w:hAnsi="Times New Roman"/>
          <w:sz w:val="16"/>
          <w:szCs w:val="16"/>
          <w:b w:val="1"/>
          <w:bCs w:val="1"/>
          <w:color w:val="auto"/>
        </w:rPr>
        <w:t>Hefei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Jianxiang</w:t>
      </w:r>
      <w:r>
        <w:rPr>
          <w:rFonts w:ascii="Times New Roman" w:cs="Times New Roman" w:eastAsia="Times New Roman" w:hAnsi="Times New Roman"/>
          <w:sz w:val="16"/>
          <w:szCs w:val="16"/>
          <w:color w:val="auto"/>
        </w:rPr>
        <w:t>”);</w:t>
      </w:r>
    </w:p>
    <w:p>
      <w:pPr>
        <w:spacing w:after="0" w:line="360" w:lineRule="exact"/>
        <w:rPr>
          <w:rFonts w:ascii="Times New Roman" w:cs="Times New Roman" w:eastAsia="Times New Roman" w:hAnsi="Times New Roman"/>
          <w:sz w:val="16"/>
          <w:szCs w:val="16"/>
          <w:color w:val="auto"/>
        </w:rPr>
      </w:pPr>
    </w:p>
    <w:p>
      <w:pPr>
        <w:jc w:val="both"/>
        <w:ind w:left="300" w:hanging="300"/>
        <w:spacing w:after="0" w:line="278" w:lineRule="auto"/>
        <w:tabs>
          <w:tab w:leader="none" w:pos="30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CS Capital Co., Ltd., a limited liability company duly established and existing under the laws of the PRC, holding a business license with unified social credit code of 91130600MA094UG35F, and with its legal representative being GAO Guohua and registered office at North Dong Ao Wei Road, Luosa Street, Rongcheng County, Baoding City, Hebei Province (“</w:t>
      </w:r>
      <w:r>
        <w:rPr>
          <w:rFonts w:ascii="Times New Roman" w:cs="Times New Roman" w:eastAsia="Times New Roman" w:hAnsi="Times New Roman"/>
          <w:sz w:val="16"/>
          <w:szCs w:val="16"/>
          <w:b w:val="1"/>
          <w:bCs w:val="1"/>
          <w:color w:val="auto"/>
        </w:rPr>
        <w:t>CS Capital</w:t>
      </w:r>
      <w:r>
        <w:rPr>
          <w:rFonts w:ascii="Times New Roman" w:cs="Times New Roman" w:eastAsia="Times New Roman" w:hAnsi="Times New Roman"/>
          <w:sz w:val="16"/>
          <w:szCs w:val="16"/>
          <w:color w:val="auto"/>
        </w:rPr>
        <w:t>”);</w:t>
      </w:r>
    </w:p>
    <w:p>
      <w:pPr>
        <w:spacing w:after="0" w:line="152" w:lineRule="exact"/>
        <w:rPr>
          <w:rFonts w:ascii="Times New Roman" w:cs="Times New Roman" w:eastAsia="Times New Roman" w:hAnsi="Times New Roman"/>
          <w:sz w:val="16"/>
          <w:szCs w:val="16"/>
          <w:color w:val="auto"/>
        </w:rPr>
      </w:pPr>
    </w:p>
    <w:p>
      <w:pPr>
        <w:jc w:val="both"/>
        <w:ind w:left="300" w:hanging="300"/>
        <w:spacing w:after="0" w:line="266" w:lineRule="auto"/>
        <w:tabs>
          <w:tab w:leader="none" w:pos="30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Anhui Emerging Industry Yuwen Weiyuan Technology Partnership Enterprise (Limited Partnership), a limited partnership duly established and existing under the laws of the PRC, holding a business license with unified social credit code of 91340100MAE0UF7A30, and with its executive partner being Anhui Zhong’an Xingyuan Investment Management Co., Ltd., and registered office at Room 3921, 39th Floor, NO.A1 Building, Zhong’an Chuanggu Science and Technology Park, No. 920 Wangjiang West Road, Chengxiqiao Community Service Center, High-tech Zone, Hefei City, Anhui Province (“</w:t>
      </w:r>
      <w:r>
        <w:rPr>
          <w:rFonts w:ascii="Times New Roman" w:cs="Times New Roman" w:eastAsia="Times New Roman" w:hAnsi="Times New Roman"/>
          <w:sz w:val="16"/>
          <w:szCs w:val="16"/>
          <w:b w:val="1"/>
          <w:bCs w:val="1"/>
          <w:color w:val="auto"/>
        </w:rPr>
        <w:t>Anhui Emerging Industry Yuwen Weiyuan Technology</w:t>
      </w:r>
      <w:r>
        <w:rPr>
          <w:rFonts w:ascii="Times New Roman" w:cs="Times New Roman" w:eastAsia="Times New Roman" w:hAnsi="Times New Roman"/>
          <w:sz w:val="16"/>
          <w:szCs w:val="16"/>
          <w:color w:val="auto"/>
        </w:rPr>
        <w:t>”, together with the CS Capital and/or its designated investment entity and Hefei Jianxiang, the “</w:t>
      </w:r>
      <w:r>
        <w:rPr>
          <w:rFonts w:ascii="Times New Roman" w:cs="Times New Roman" w:eastAsia="Times New Roman" w:hAnsi="Times New Roman"/>
          <w:sz w:val="16"/>
          <w:szCs w:val="16"/>
          <w:b w:val="1"/>
          <w:bCs w:val="1"/>
          <w:color w:val="auto"/>
        </w:rPr>
        <w:t>Investors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317" w:right="999" w:bottom="1440" w:gutter="0" w:footer="0" w:header="0"/>
        </w:sectPr>
      </w:pPr>
    </w:p>
    <w:bookmarkStart w:id="259" w:name="page260"/>
    <w:bookmarkEnd w:id="259"/>
    <w:p>
      <w:pPr>
        <w:ind w:left="9000"/>
        <w:spacing w:after="0"/>
        <w:rPr>
          <w:sz w:val="20"/>
          <w:szCs w:val="20"/>
          <w:color w:val="auto"/>
        </w:rPr>
      </w:pPr>
      <w:r>
        <w:rPr>
          <w:rFonts w:ascii="Times New Roman" w:cs="Times New Roman" w:eastAsia="Times New Roman" w:hAnsi="Times New Roman"/>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475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5">
                      <a:extLst>
                        <a:ext uri="{28A0092B-C50C-407E-A947-70E740481C1C}"/>
                      </a:extLst>
                    </a:blip>
                    <a:srcRect/>
                    <a:stretch>
                      <a:fillRect/>
                    </a:stretch>
                  </pic:blipFill>
                  <pic:spPr bwMode="auto">
                    <a:xfrm>
                      <a:off x="0" y="0"/>
                      <a:ext cx="6294755" cy="7620"/>
                    </a:xfrm>
                    <a:prstGeom prst="rect">
                      <a:avLst/>
                    </a:prstGeom>
                    <a:noFill/>
                  </pic:spPr>
                </pic:pic>
              </a:graphicData>
            </a:graphic>
          </wp:anchor>
        </w:drawing>
      </w:r>
    </w:p>
    <w:p>
      <w:pPr>
        <w:spacing w:after="0" w:line="204" w:lineRule="exact"/>
        <w:rPr>
          <w:sz w:val="20"/>
          <w:szCs w:val="20"/>
          <w:color w:val="auto"/>
        </w:rPr>
      </w:pPr>
    </w:p>
    <w:p>
      <w:pPr>
        <w:ind w:left="300" w:hanging="300"/>
        <w:spacing w:after="0" w:line="298" w:lineRule="auto"/>
        <w:tabs>
          <w:tab w:leader="none" w:pos="30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Inc., a company duly organized and validly existing under the laws of the Cayman Islands and having its registered address at PO Box 309, Ugland House, Grand Cayman, KY1-1104, Cayman Islands (“</w:t>
      </w:r>
      <w:r>
        <w:rPr>
          <w:rFonts w:ascii="Times New Roman" w:cs="Times New Roman" w:eastAsia="Times New Roman" w:hAnsi="Times New Roman"/>
          <w:sz w:val="16"/>
          <w:szCs w:val="16"/>
          <w:b w:val="1"/>
          <w:bCs w:val="1"/>
          <w:color w:val="auto"/>
        </w:rPr>
        <w:t>NIO Inc.</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300" w:hanging="300"/>
        <w:spacing w:after="0" w:line="298" w:lineRule="auto"/>
        <w:tabs>
          <w:tab w:leader="none" w:pos="30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Nextev Limited, a limited company duly organized and validly existing under the laws of Hong Kong, with company number of 2199750 and its registered address at Room 2609, China Resources Building, 26 Harbour Road, Wanchai, Hong Kong (“</w:t>
      </w:r>
      <w:r>
        <w:rPr>
          <w:rFonts w:ascii="Times New Roman" w:cs="Times New Roman" w:eastAsia="Times New Roman" w:hAnsi="Times New Roman"/>
          <w:sz w:val="16"/>
          <w:szCs w:val="16"/>
          <w:b w:val="1"/>
          <w:bCs w:val="1"/>
          <w:color w:val="auto"/>
        </w:rPr>
        <w:t>NIO HK</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300" w:hanging="300"/>
        <w:spacing w:after="0" w:line="298" w:lineRule="auto"/>
        <w:tabs>
          <w:tab w:leader="none" w:pos="30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User Enterprise Limited, a limited company duly organized and validly existing under the laws of Hong Kong, with company number of 2487823 and its registered address at Room 2609, China Resources Building, 26 Harbour Road, Wanchai, Hong Kong (“</w:t>
      </w:r>
      <w:r>
        <w:rPr>
          <w:rFonts w:ascii="Times New Roman" w:cs="Times New Roman" w:eastAsia="Times New Roman" w:hAnsi="Times New Roman"/>
          <w:sz w:val="16"/>
          <w:szCs w:val="16"/>
          <w:b w:val="1"/>
          <w:bCs w:val="1"/>
          <w:color w:val="auto"/>
        </w:rPr>
        <w:t>UE HK</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jc w:val="both"/>
        <w:ind w:left="300" w:hanging="300"/>
        <w:spacing w:after="0" w:line="278" w:lineRule="auto"/>
        <w:tabs>
          <w:tab w:leader="none" w:pos="30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Power Express Limited, a limited company duly organized and validly existing under the laws of Hong Kong, with company number of 2472480 and its registered address at Room 2609, China Resources Building, 26 Harbour Road, Wanchai, Hong Kong (“</w:t>
      </w:r>
      <w:r>
        <w:rPr>
          <w:rFonts w:ascii="Times New Roman" w:cs="Times New Roman" w:eastAsia="Times New Roman" w:hAnsi="Times New Roman"/>
          <w:sz w:val="16"/>
          <w:szCs w:val="16"/>
          <w:b w:val="1"/>
          <w:bCs w:val="1"/>
          <w:color w:val="auto"/>
        </w:rPr>
        <w:t>PE HK</w:t>
      </w:r>
      <w:r>
        <w:rPr>
          <w:rFonts w:ascii="Times New Roman" w:cs="Times New Roman" w:eastAsia="Times New Roman" w:hAnsi="Times New Roman"/>
          <w:sz w:val="16"/>
          <w:szCs w:val="16"/>
          <w:color w:val="auto"/>
        </w:rPr>
        <w:t>”, together with NIO HK and UE HK, the “</w:t>
      </w:r>
      <w:r>
        <w:rPr>
          <w:rFonts w:ascii="Times New Roman" w:cs="Times New Roman" w:eastAsia="Times New Roman" w:hAnsi="Times New Roman"/>
          <w:sz w:val="16"/>
          <w:szCs w:val="16"/>
          <w:b w:val="1"/>
          <w:bCs w:val="1"/>
          <w:color w:val="auto"/>
        </w:rPr>
        <w:t>NIO HK Holding Platforms</w:t>
      </w:r>
      <w:r>
        <w:rPr>
          <w:rFonts w:ascii="Times New Roman" w:cs="Times New Roman" w:eastAsia="Times New Roman" w:hAnsi="Times New Roman"/>
          <w:sz w:val="16"/>
          <w:szCs w:val="16"/>
          <w:color w:val="auto"/>
        </w:rPr>
        <w:t>”; together with NIO Inc., the “</w:t>
      </w:r>
      <w:r>
        <w:rPr>
          <w:rFonts w:ascii="Times New Roman" w:cs="Times New Roman" w:eastAsia="Times New Roman" w:hAnsi="Times New Roman"/>
          <w:sz w:val="16"/>
          <w:szCs w:val="16"/>
          <w:b w:val="1"/>
          <w:bCs w:val="1"/>
          <w:color w:val="auto"/>
        </w:rPr>
        <w:t>NIO Parties</w:t>
      </w:r>
      <w:r>
        <w:rPr>
          <w:rFonts w:ascii="Times New Roman" w:cs="Times New Roman" w:eastAsia="Times New Roman" w:hAnsi="Times New Roman"/>
          <w:sz w:val="16"/>
          <w:szCs w:val="16"/>
          <w:color w:val="auto"/>
        </w:rPr>
        <w:t>”); and</w:t>
      </w:r>
    </w:p>
    <w:p>
      <w:pPr>
        <w:spacing w:after="0" w:line="152" w:lineRule="exact"/>
        <w:rPr>
          <w:rFonts w:ascii="Times New Roman" w:cs="Times New Roman" w:eastAsia="Times New Roman" w:hAnsi="Times New Roman"/>
          <w:sz w:val="16"/>
          <w:szCs w:val="16"/>
          <w:color w:val="auto"/>
        </w:rPr>
      </w:pPr>
    </w:p>
    <w:p>
      <w:pPr>
        <w:jc w:val="both"/>
        <w:ind w:left="300" w:hanging="300"/>
        <w:spacing w:after="0" w:line="271" w:lineRule="auto"/>
        <w:tabs>
          <w:tab w:leader="none" w:pos="30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Holding Co., Ltd., a limited liability company duly organized and validly existing under the laws of the PRC with its unified social credit code of 91340111MA2RAD3M4R, with its legal representative being LI Bin and its registered address at Building F, Hengchuang Intelligent Science and Technology Park, No. 3963, Susong Road, Economic and Technological Development Zone, Hefei City, Anhui Province (the “</w:t>
      </w:r>
      <w:r>
        <w:rPr>
          <w:rFonts w:ascii="Times New Roman" w:cs="Times New Roman" w:eastAsia="Times New Roman" w:hAnsi="Times New Roman"/>
          <w:sz w:val="16"/>
          <w:szCs w:val="16"/>
          <w:b w:val="1"/>
          <w:bCs w:val="1"/>
          <w:color w:val="auto"/>
        </w:rPr>
        <w:t>NIO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China”, “Target Company</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this Amendment and Supplementary Agreement II, the above parties are referred to individually as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Except as otherwise provided in this Amendment and Supplementary Agreement II, the terms in this Amendment and Supplementary Agreement II shall bear the same meaning and be subject to the same rule of interpretation as given in the Series B Investment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30" w:right="999" w:bottom="1440" w:gutter="0" w:footer="0" w:header="0"/>
        </w:sectPr>
      </w:pPr>
    </w:p>
    <w:bookmarkStart w:id="260" w:name="page261"/>
    <w:bookmarkEnd w:id="260"/>
    <w:p>
      <w:pPr>
        <w:ind w:left="9000"/>
        <w:spacing w:after="0"/>
        <w:rPr>
          <w:sz w:val="20"/>
          <w:szCs w:val="20"/>
          <w:color w:val="auto"/>
        </w:rPr>
      </w:pPr>
      <w:r>
        <w:rPr>
          <w:rFonts w:ascii="Times New Roman" w:cs="Times New Roman" w:eastAsia="Times New Roman" w:hAnsi="Times New Roman"/>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475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7">
                      <a:extLst>
                        <a:ext uri="{28A0092B-C50C-407E-A947-70E740481C1C}"/>
                      </a:extLst>
                    </a:blip>
                    <a:srcRect/>
                    <a:stretch>
                      <a:fillRect/>
                    </a:stretch>
                  </pic:blipFill>
                  <pic:spPr bwMode="auto">
                    <a:xfrm>
                      <a:off x="0" y="0"/>
                      <a:ext cx="629475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(as defined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WHEREAS:</w:t>
      </w:r>
    </w:p>
    <w:p>
      <w:pPr>
        <w:spacing w:after="0" w:line="212" w:lineRule="exact"/>
        <w:rPr>
          <w:sz w:val="20"/>
          <w:szCs w:val="20"/>
          <w:color w:val="auto"/>
        </w:rPr>
      </w:pPr>
    </w:p>
    <w:p>
      <w:pPr>
        <w:jc w:val="both"/>
        <w:ind w:left="300" w:hanging="300"/>
        <w:spacing w:after="0" w:line="281" w:lineRule="auto"/>
        <w:tabs>
          <w:tab w:leader="none" w:pos="30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Hefei Jianheng New Energy Automobile Investment Fund Partnership (Limited Partnership) (“</w:t>
      </w:r>
      <w:r>
        <w:rPr>
          <w:rFonts w:ascii="Times New Roman" w:cs="Times New Roman" w:eastAsia="Times New Roman" w:hAnsi="Times New Roman"/>
          <w:sz w:val="16"/>
          <w:szCs w:val="16"/>
          <w:b w:val="1"/>
          <w:bCs w:val="1"/>
          <w:color w:val="auto"/>
        </w:rPr>
        <w:t>Jianheng New Energy Fund</w:t>
      </w:r>
      <w:r>
        <w:rPr>
          <w:rFonts w:ascii="Times New Roman" w:cs="Times New Roman" w:eastAsia="Times New Roman" w:hAnsi="Times New Roman"/>
          <w:sz w:val="16"/>
          <w:szCs w:val="16"/>
          <w:color w:val="auto"/>
        </w:rPr>
        <w:t>”), CS Capital, Anhui Provincial Emerging Industry Investment Co., Ltd. (“</w:t>
      </w:r>
      <w:r>
        <w:rPr>
          <w:rFonts w:ascii="Times New Roman" w:cs="Times New Roman" w:eastAsia="Times New Roman" w:hAnsi="Times New Roman"/>
          <w:sz w:val="16"/>
          <w:szCs w:val="16"/>
          <w:b w:val="1"/>
          <w:bCs w:val="1"/>
          <w:color w:val="auto"/>
        </w:rPr>
        <w:t>Anhui High-tech Co.</w:t>
      </w:r>
      <w:r>
        <w:rPr>
          <w:rFonts w:ascii="Times New Roman" w:cs="Times New Roman" w:eastAsia="Times New Roman" w:hAnsi="Times New Roman"/>
          <w:sz w:val="16"/>
          <w:szCs w:val="16"/>
          <w:color w:val="auto"/>
        </w:rPr>
        <w:t>”), the NIO Parties and the Company entered into a NIO China Series B Investment Agreement (the “</w:t>
      </w:r>
      <w:r>
        <w:rPr>
          <w:rFonts w:ascii="Times New Roman" w:cs="Times New Roman" w:eastAsia="Times New Roman" w:hAnsi="Times New Roman"/>
          <w:sz w:val="16"/>
          <w:szCs w:val="16"/>
          <w:b w:val="1"/>
          <w:bCs w:val="1"/>
          <w:color w:val="auto"/>
        </w:rPr>
        <w:t>Series B Investment Agreement</w:t>
      </w:r>
      <w:r>
        <w:rPr>
          <w:rFonts w:ascii="Times New Roman" w:cs="Times New Roman" w:eastAsia="Times New Roman" w:hAnsi="Times New Roman"/>
          <w:sz w:val="16"/>
          <w:szCs w:val="16"/>
          <w:color w:val="auto"/>
        </w:rPr>
        <w:t>”) on September 30, 2024;</w:t>
      </w:r>
    </w:p>
    <w:p>
      <w:pPr>
        <w:spacing w:after="0" w:line="149" w:lineRule="exact"/>
        <w:rPr>
          <w:rFonts w:ascii="Times New Roman" w:cs="Times New Roman" w:eastAsia="Times New Roman" w:hAnsi="Times New Roman"/>
          <w:sz w:val="16"/>
          <w:szCs w:val="16"/>
          <w:color w:val="auto"/>
        </w:rPr>
      </w:pPr>
    </w:p>
    <w:p>
      <w:pPr>
        <w:jc w:val="both"/>
        <w:ind w:left="300" w:hanging="300"/>
        <w:spacing w:after="0" w:line="266" w:lineRule="auto"/>
        <w:tabs>
          <w:tab w:leader="none" w:pos="30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Jianheng New Energy Fund, CS Capital, Anhui High-tech Co., Hefei Jianxiang, Anhui Emerging Industry Yuwen Weiyuan Technology, the NIO Parties and the Company entered into an Amendment and Supplementary Agreement to NIO China Series B Investment Agreement (the “</w:t>
      </w:r>
      <w:r>
        <w:rPr>
          <w:rFonts w:ascii="Times New Roman" w:cs="Times New Roman" w:eastAsia="Times New Roman" w:hAnsi="Times New Roman"/>
          <w:sz w:val="16"/>
          <w:szCs w:val="16"/>
          <w:b w:val="1"/>
          <w:bCs w:val="1"/>
          <w:color w:val="auto"/>
        </w:rPr>
        <w:t>Amendment and Supplementary Agreement I</w:t>
      </w:r>
      <w:r>
        <w:rPr>
          <w:rFonts w:ascii="Times New Roman" w:cs="Times New Roman" w:eastAsia="Times New Roman" w:hAnsi="Times New Roman"/>
          <w:sz w:val="16"/>
          <w:szCs w:val="16"/>
          <w:color w:val="auto"/>
        </w:rPr>
        <w:t>”) dated December 28, 2024. Pursuant to the Amendment and Supplementary Agreement I, Jianheng New Energy Fund hereby designates Hefei Jianxiang to succeed to all of its rights and obligations under the Series B Investment Agreement; Anhui High-tech Co. hereby designates Anhui Emerging Industry Yuwen Weiyuan Technology to succeed to all of its rights and obligations under the Series B Investment Agreement.</w:t>
      </w:r>
    </w:p>
    <w:p>
      <w:pPr>
        <w:spacing w:after="0" w:line="162" w:lineRule="exact"/>
        <w:rPr>
          <w:rFonts w:ascii="Times New Roman" w:cs="Times New Roman" w:eastAsia="Times New Roman" w:hAnsi="Times New Roman"/>
          <w:sz w:val="16"/>
          <w:szCs w:val="16"/>
          <w:color w:val="auto"/>
        </w:rPr>
      </w:pPr>
    </w:p>
    <w:p>
      <w:pPr>
        <w:jc w:val="both"/>
        <w:ind w:left="300" w:hanging="300"/>
        <w:spacing w:after="0" w:line="269" w:lineRule="auto"/>
        <w:tabs>
          <w:tab w:leader="none" w:pos="30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the NIO Parties, Jianheng New Energy Fund, Advanced Manufacturing Industry Investment Fund, Anhui Sanzhong Yichuang, New Energy Automobile Fund, and Hefei Jianxiang, Anhui Emerging Industry Yuwen Weiyuan Technology entered into a NIO China Capital</w:t>
      </w:r>
    </w:p>
    <w:tbl>
      <w:tblPr>
        <w:tblLayout w:type="fixed"/>
        <w:tblInd w:w="300" w:type="dxa"/>
        <w:tblCellMar>
          <w:top w:w="0" w:type="dxa"/>
          <w:left w:w="0" w:type="dxa"/>
          <w:bottom w:w="0" w:type="dxa"/>
          <w:right w:w="0" w:type="dxa"/>
        </w:tblCellMar>
      </w:tblPr>
      <w:tr>
        <w:trPr>
          <w:trHeight w:val="161"/>
        </w:trPr>
        <w:tc>
          <w:tcPr>
            <w:tcW w:w="41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Increase Agreement (the “</w:t>
            </w:r>
            <w:r>
              <w:rPr>
                <w:rFonts w:ascii="Times New Roman" w:cs="Times New Roman" w:eastAsia="Times New Roman" w:hAnsi="Times New Roman"/>
                <w:sz w:val="16"/>
                <w:szCs w:val="16"/>
                <w:b w:val="1"/>
                <w:bCs w:val="1"/>
                <w:color w:val="auto"/>
              </w:rPr>
              <w:t>Capital Increase Agreement</w:t>
            </w:r>
            <w:r>
              <w:rPr>
                <w:rFonts w:ascii="Times New Roman" w:cs="Times New Roman" w:eastAsia="Times New Roman" w:hAnsi="Times New Roman"/>
                <w:sz w:val="16"/>
                <w:szCs w:val="16"/>
                <w:color w:val="auto"/>
              </w:rPr>
              <w:t>”) on</w:t>
            </w:r>
          </w:p>
        </w:tc>
        <w:tc>
          <w:tcPr>
            <w:tcW w:w="5500" w:type="dxa"/>
            <w:vAlign w:val="bottom"/>
            <w:gridSpan w:val="2"/>
          </w:tcPr>
          <w:p>
            <w:pPr>
              <w:ind w:left="740"/>
              <w:spacing w:after="0" w:line="161" w:lineRule="exact"/>
              <w:rPr>
                <w:sz w:val="20"/>
                <w:szCs w:val="20"/>
                <w:color w:val="auto"/>
              </w:rPr>
            </w:pPr>
            <w:r>
              <w:rPr>
                <w:rFonts w:ascii="Times New Roman" w:cs="Times New Roman" w:eastAsia="Times New Roman" w:hAnsi="Times New Roman"/>
                <w:sz w:val="16"/>
                <w:szCs w:val="16"/>
                <w:color w:val="auto"/>
              </w:rPr>
              <w:t>, 2025, pursuant to which the NIO HK Holding Platforms shall make a</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capital contribution to NIO China; and</w:t>
            </w:r>
          </w:p>
        </w:tc>
        <w:tc>
          <w:tcPr>
            <w:tcW w:w="740" w:type="dxa"/>
            <w:vAlign w:val="bottom"/>
            <w:tcBorders>
              <w:top w:val="single" w:sz="8" w:color="auto"/>
            </w:tcBorders>
          </w:tcPr>
          <w:p>
            <w:pPr>
              <w:spacing w:after="0"/>
              <w:rPr>
                <w:sz w:val="18"/>
                <w:szCs w:val="18"/>
                <w:color w:val="auto"/>
              </w:rPr>
            </w:pPr>
          </w:p>
        </w:tc>
        <w:tc>
          <w:tcPr>
            <w:tcW w:w="4760" w:type="dxa"/>
            <w:vAlign w:val="bottom"/>
          </w:tcPr>
          <w:p>
            <w:pPr>
              <w:spacing w:after="0"/>
              <w:rPr>
                <w:sz w:val="18"/>
                <w:szCs w:val="18"/>
                <w:color w:val="auto"/>
              </w:rPr>
            </w:pPr>
          </w:p>
        </w:tc>
      </w:tr>
    </w:tbl>
    <w:p>
      <w:pPr>
        <w:spacing w:after="0" w:line="181" w:lineRule="exact"/>
        <w:rPr>
          <w:sz w:val="20"/>
          <w:szCs w:val="20"/>
          <w:color w:val="auto"/>
        </w:rPr>
      </w:pPr>
    </w:p>
    <w:p>
      <w:pPr>
        <w:ind w:left="300" w:hanging="300"/>
        <w:spacing w:after="0" w:line="298" w:lineRule="auto"/>
        <w:tabs>
          <w:tab w:leader="none" w:pos="30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Parties hereby unanimously agree to make certain amendments and supplements to certain provisions of the Series B Investment Agreement and the Amendment and Supplementary Agreement I in accordance with this Amendment and Supplementary Agreement II.</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NOW, THEREFORE, </w:t>
      </w:r>
      <w:r>
        <w:rPr>
          <w:rFonts w:ascii="Times New Roman" w:cs="Times New Roman" w:eastAsia="Times New Roman" w:hAnsi="Times New Roman"/>
          <w:sz w:val="16"/>
          <w:szCs w:val="16"/>
          <w:color w:val="auto"/>
        </w:rPr>
        <w:t>the Parties hereby unanimously agree to the following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630" w:right="999" w:bottom="1440" w:gutter="0" w:footer="0" w:header="0"/>
        </w:sectPr>
      </w:pPr>
    </w:p>
    <w:bookmarkStart w:id="261" w:name="page262"/>
    <w:bookmarkEnd w:id="261"/>
    <w:p>
      <w:pPr>
        <w:ind w:left="9000"/>
        <w:spacing w:after="0"/>
        <w:rPr>
          <w:sz w:val="20"/>
          <w:szCs w:val="20"/>
          <w:color w:val="auto"/>
        </w:rPr>
      </w:pPr>
      <w:r>
        <w:rPr>
          <w:rFonts w:ascii="Times New Roman" w:cs="Times New Roman" w:eastAsia="Times New Roman" w:hAnsi="Times New Roman"/>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475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9">
                      <a:extLst>
                        <a:ext uri="{28A0092B-C50C-407E-A947-70E740481C1C}"/>
                      </a:extLst>
                    </a:blip>
                    <a:srcRect/>
                    <a:stretch>
                      <a:fillRect/>
                    </a:stretch>
                  </pic:blipFill>
                  <pic:spPr bwMode="auto">
                    <a:xfrm>
                      <a:off x="0" y="0"/>
                      <a:ext cx="629475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provisions:</w:t>
      </w:r>
    </w:p>
    <w:p>
      <w:pPr>
        <w:spacing w:after="0" w:line="212" w:lineRule="exact"/>
        <w:rPr>
          <w:sz w:val="20"/>
          <w:szCs w:val="20"/>
          <w:color w:val="auto"/>
        </w:rPr>
      </w:pPr>
    </w:p>
    <w:p>
      <w:pPr>
        <w:ind w:left="300" w:right="20" w:hanging="300"/>
        <w:spacing w:after="0" w:line="298" w:lineRule="auto"/>
        <w:tabs>
          <w:tab w:leader="none" w:pos="30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the completion of the capital increase by the NIO Parties into NIO China pursuant to the Capital Increase Agreement will result in changes to the equity structure of NIO China, Article 2.2 of the Series B Investment Agreement shall be amended as follows:</w:t>
      </w:r>
    </w:p>
    <w:p>
      <w:pPr>
        <w:spacing w:after="0" w:line="137" w:lineRule="exact"/>
        <w:rPr>
          <w:rFonts w:ascii="Times New Roman" w:cs="Times New Roman" w:eastAsia="Times New Roman" w:hAnsi="Times New Roman"/>
          <w:sz w:val="16"/>
          <w:szCs w:val="16"/>
          <w:color w:val="auto"/>
        </w:rPr>
      </w:pPr>
    </w:p>
    <w:p>
      <w:pPr>
        <w:jc w:val="both"/>
        <w:ind w:left="300" w:right="20"/>
        <w:spacing w:after="0" w:line="29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from the Closing Date, the registered capital of the Target Company shall be RMB 11,186,139,316.78. The amount of subscribed registered capital of each shareholder of the Target Company and the shareholding percentage of the shareholders in the Target Company shall be as follows:</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340" w:type="dxa"/>
            <w:vAlign w:val="bottom"/>
            <w:tcBorders>
              <w:top w:val="single" w:sz="8" w:color="auto"/>
              <w:left w:val="single" w:sz="8" w:color="auto"/>
              <w:right w:val="single" w:sz="8" w:color="auto"/>
            </w:tcBorders>
            <w:shd w:val="clear" w:color="auto" w:fill="F2F2F2"/>
          </w:tcPr>
          <w:p>
            <w:pPr>
              <w:spacing w:after="0"/>
              <w:rPr>
                <w:sz w:val="10"/>
                <w:szCs w:val="10"/>
                <w:color w:val="auto"/>
              </w:rPr>
            </w:pPr>
          </w:p>
        </w:tc>
        <w:tc>
          <w:tcPr>
            <w:tcW w:w="33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Subscribed Capital</w:t>
            </w:r>
          </w:p>
        </w:tc>
        <w:tc>
          <w:tcPr>
            <w:tcW w:w="3320" w:type="dxa"/>
            <w:vAlign w:val="bottom"/>
            <w:tcBorders>
              <w:top w:val="single" w:sz="8" w:color="auto"/>
              <w:right w:val="single" w:sz="8" w:color="auto"/>
            </w:tcBorders>
            <w:shd w:val="clear" w:color="auto" w:fill="F2F2F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36"/>
        </w:trPr>
        <w:tc>
          <w:tcPr>
            <w:tcW w:w="3340" w:type="dxa"/>
            <w:vAlign w:val="bottom"/>
            <w:tcBorders>
              <w:left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Shareholder</w:t>
            </w:r>
          </w:p>
        </w:tc>
        <w:tc>
          <w:tcPr>
            <w:tcW w:w="3300" w:type="dxa"/>
            <w:vAlign w:val="bottom"/>
            <w:tcBorders>
              <w:right w:val="single" w:sz="8" w:color="auto"/>
            </w:tcBorders>
            <w:vMerge w:val="continue"/>
            <w:shd w:val="clear" w:color="auto" w:fill="F2F2F2"/>
          </w:tcPr>
          <w:p>
            <w:pPr>
              <w:spacing w:after="0"/>
              <w:rPr>
                <w:sz w:val="11"/>
                <w:szCs w:val="11"/>
                <w:color w:val="auto"/>
              </w:rPr>
            </w:pPr>
          </w:p>
        </w:tc>
        <w:tc>
          <w:tcPr>
            <w:tcW w:w="3320" w:type="dxa"/>
            <w:vAlign w:val="bottom"/>
            <w:tcBorders>
              <w:right w:val="single" w:sz="8" w:color="auto"/>
            </w:tcBorders>
            <w:shd w:val="clear" w:color="auto" w:fill="F2F2F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Subscribed</w:t>
            </w:r>
          </w:p>
        </w:tc>
        <w:tc>
          <w:tcPr>
            <w:tcW w:w="0" w:type="dxa"/>
            <w:vAlign w:val="bottom"/>
          </w:tcPr>
          <w:p>
            <w:pPr>
              <w:spacing w:after="0"/>
              <w:rPr>
                <w:sz w:val="1"/>
                <w:szCs w:val="1"/>
                <w:color w:val="auto"/>
              </w:rPr>
            </w:pPr>
          </w:p>
        </w:tc>
      </w:tr>
      <w:tr>
        <w:trPr>
          <w:trHeight w:val="99"/>
        </w:trPr>
        <w:tc>
          <w:tcPr>
            <w:tcW w:w="3340" w:type="dxa"/>
            <w:vAlign w:val="bottom"/>
            <w:tcBorders>
              <w:left w:val="single" w:sz="8" w:color="auto"/>
              <w:right w:val="single" w:sz="8" w:color="auto"/>
            </w:tcBorders>
            <w:vMerge w:val="continue"/>
            <w:shd w:val="clear" w:color="auto" w:fill="F2F2F2"/>
          </w:tcPr>
          <w:p>
            <w:pPr>
              <w:spacing w:after="0"/>
              <w:rPr>
                <w:sz w:val="8"/>
                <w:szCs w:val="8"/>
                <w:color w:val="auto"/>
              </w:rPr>
            </w:pPr>
          </w:p>
        </w:tc>
        <w:tc>
          <w:tcPr>
            <w:tcW w:w="3300" w:type="dxa"/>
            <w:vAlign w:val="bottom"/>
            <w:tcBorders>
              <w:right w:val="single" w:sz="8" w:color="auto"/>
            </w:tcBorders>
            <w:vMerge w:val="restart"/>
            <w:shd w:val="clear" w:color="auto" w:fill="F2F2F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Contribution (RMB)</w:t>
            </w:r>
          </w:p>
        </w:tc>
        <w:tc>
          <w:tcPr>
            <w:tcW w:w="3320" w:type="dxa"/>
            <w:vAlign w:val="bottom"/>
            <w:tcBorders>
              <w:right w:val="single" w:sz="8" w:color="auto"/>
            </w:tcBorders>
            <w:vMerge w:val="restart"/>
            <w:shd w:val="clear" w:color="auto" w:fill="F2F2F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37"/>
        </w:trPr>
        <w:tc>
          <w:tcPr>
            <w:tcW w:w="3340" w:type="dxa"/>
            <w:vAlign w:val="bottom"/>
            <w:tcBorders>
              <w:left w:val="single" w:sz="8" w:color="auto"/>
              <w:right w:val="single" w:sz="8" w:color="auto"/>
            </w:tcBorders>
            <w:shd w:val="clear" w:color="auto" w:fill="F2F2F2"/>
          </w:tcPr>
          <w:p>
            <w:pPr>
              <w:spacing w:after="0"/>
              <w:rPr>
                <w:sz w:val="3"/>
                <w:szCs w:val="3"/>
                <w:color w:val="auto"/>
              </w:rPr>
            </w:pPr>
          </w:p>
        </w:tc>
        <w:tc>
          <w:tcPr>
            <w:tcW w:w="3300" w:type="dxa"/>
            <w:vAlign w:val="bottom"/>
            <w:tcBorders>
              <w:right w:val="single" w:sz="8" w:color="auto"/>
            </w:tcBorders>
            <w:vMerge w:val="continue"/>
            <w:shd w:val="clear" w:color="auto" w:fill="F2F2F2"/>
          </w:tcPr>
          <w:p>
            <w:pPr>
              <w:spacing w:after="0"/>
              <w:rPr>
                <w:sz w:val="3"/>
                <w:szCs w:val="3"/>
                <w:color w:val="auto"/>
              </w:rPr>
            </w:pPr>
          </w:p>
        </w:tc>
        <w:tc>
          <w:tcPr>
            <w:tcW w:w="3320" w:type="dxa"/>
            <w:vAlign w:val="bottom"/>
            <w:tcBorders>
              <w:right w:val="single" w:sz="8" w:color="auto"/>
            </w:tcBorders>
            <w:vMerge w:val="continue"/>
            <w:shd w:val="clear" w:color="auto" w:fill="F2F2F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3340" w:type="dxa"/>
            <w:vAlign w:val="bottom"/>
            <w:tcBorders>
              <w:left w:val="single" w:sz="8" w:color="auto"/>
              <w:bottom w:val="single" w:sz="8" w:color="auto"/>
              <w:right w:val="single" w:sz="8" w:color="auto"/>
            </w:tcBorders>
            <w:shd w:val="clear" w:color="auto" w:fill="F2F2F2"/>
          </w:tcPr>
          <w:p>
            <w:pPr>
              <w:spacing w:after="0"/>
              <w:rPr>
                <w:sz w:val="13"/>
                <w:szCs w:val="13"/>
                <w:color w:val="auto"/>
              </w:rPr>
            </w:pPr>
          </w:p>
        </w:tc>
        <w:tc>
          <w:tcPr>
            <w:tcW w:w="3300" w:type="dxa"/>
            <w:vAlign w:val="bottom"/>
            <w:tcBorders>
              <w:bottom w:val="single" w:sz="8" w:color="auto"/>
              <w:right w:val="single" w:sz="8" w:color="auto"/>
            </w:tcBorders>
            <w:shd w:val="clear" w:color="auto" w:fill="F2F2F2"/>
          </w:tcPr>
          <w:p>
            <w:pPr>
              <w:spacing w:after="0"/>
              <w:rPr>
                <w:sz w:val="13"/>
                <w:szCs w:val="13"/>
                <w:color w:val="auto"/>
              </w:rPr>
            </w:pPr>
          </w:p>
        </w:tc>
        <w:tc>
          <w:tcPr>
            <w:tcW w:w="33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Contribution</w:t>
            </w:r>
          </w:p>
        </w:tc>
        <w:tc>
          <w:tcPr>
            <w:tcW w:w="0" w:type="dxa"/>
            <w:vAlign w:val="bottom"/>
          </w:tcPr>
          <w:p>
            <w:pPr>
              <w:spacing w:after="0"/>
              <w:rPr>
                <w:sz w:val="1"/>
                <w:szCs w:val="1"/>
                <w:color w:val="auto"/>
              </w:rPr>
            </w:pPr>
          </w:p>
        </w:tc>
      </w:tr>
      <w:tr>
        <w:trPr>
          <w:trHeight w:val="228"/>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NIO HK</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7,946,205,066.76</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71.0362%</w:t>
            </w: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UE HK</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2,158,360,762.23</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19.2950%</w:t>
            </w: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 HK</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103,133,996.17</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0.9220%</w:t>
            </w: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Jianheng New Energy Fund</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262,237,762.24</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2.3443%</w:t>
            </w: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Hefei Jianxiang</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285,725,142.19</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2.5543%</w:t>
            </w: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Advanced Manufacturing Industry</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157,342,657.35</w:t>
            </w:r>
          </w:p>
        </w:tc>
        <w:tc>
          <w:tcPr>
            <w:tcW w:w="3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1.4066%</w:t>
            </w:r>
          </w:p>
        </w:tc>
        <w:tc>
          <w:tcPr>
            <w:tcW w:w="0" w:type="dxa"/>
            <w:vAlign w:val="bottom"/>
          </w:tcPr>
          <w:p>
            <w:pPr>
              <w:spacing w:after="0"/>
              <w:rPr>
                <w:sz w:val="1"/>
                <w:szCs w:val="1"/>
                <w:color w:val="auto"/>
              </w:rPr>
            </w:pPr>
          </w:p>
        </w:tc>
      </w:tr>
      <w:tr>
        <w:trPr>
          <w:trHeight w:val="116"/>
        </w:trPr>
        <w:tc>
          <w:tcPr>
            <w:tcW w:w="3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Investment Fund</w:t>
            </w:r>
          </w:p>
        </w:tc>
        <w:tc>
          <w:tcPr>
            <w:tcW w:w="3300" w:type="dxa"/>
            <w:vAlign w:val="bottom"/>
            <w:tcBorders>
              <w:right w:val="single" w:sz="8" w:color="auto"/>
            </w:tcBorders>
            <w:vMerge w:val="continue"/>
          </w:tcPr>
          <w:p>
            <w:pPr>
              <w:spacing w:after="0"/>
              <w:rPr>
                <w:sz w:val="10"/>
                <w:szCs w:val="10"/>
                <w:color w:val="auto"/>
              </w:rPr>
            </w:pPr>
          </w:p>
        </w:tc>
        <w:tc>
          <w:tcPr>
            <w:tcW w:w="3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40" w:type="dxa"/>
            <w:vAlign w:val="bottom"/>
            <w:tcBorders>
              <w:left w:val="single" w:sz="8" w:color="auto"/>
              <w:right w:val="single" w:sz="8" w:color="auto"/>
            </w:tcBorders>
            <w:vMerge w:val="continue"/>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CS Capital and/or its designated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71,431,285.54</w:t>
            </w:r>
          </w:p>
        </w:tc>
        <w:tc>
          <w:tcPr>
            <w:tcW w:w="3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0.6386%</w:t>
            </w:r>
          </w:p>
        </w:tc>
        <w:tc>
          <w:tcPr>
            <w:tcW w:w="0" w:type="dxa"/>
            <w:vAlign w:val="bottom"/>
          </w:tcPr>
          <w:p>
            <w:pPr>
              <w:spacing w:after="0"/>
              <w:rPr>
                <w:sz w:val="1"/>
                <w:szCs w:val="1"/>
                <w:color w:val="auto"/>
              </w:rPr>
            </w:pPr>
          </w:p>
        </w:tc>
      </w:tr>
      <w:tr>
        <w:trPr>
          <w:trHeight w:val="116"/>
        </w:trPr>
        <w:tc>
          <w:tcPr>
            <w:tcW w:w="3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investment entity</w:t>
            </w:r>
          </w:p>
        </w:tc>
        <w:tc>
          <w:tcPr>
            <w:tcW w:w="3300" w:type="dxa"/>
            <w:vAlign w:val="bottom"/>
            <w:tcBorders>
              <w:right w:val="single" w:sz="8" w:color="auto"/>
            </w:tcBorders>
            <w:vMerge w:val="continue"/>
          </w:tcPr>
          <w:p>
            <w:pPr>
              <w:spacing w:after="0"/>
              <w:rPr>
                <w:sz w:val="10"/>
                <w:szCs w:val="10"/>
                <w:color w:val="auto"/>
              </w:rPr>
            </w:pPr>
          </w:p>
        </w:tc>
        <w:tc>
          <w:tcPr>
            <w:tcW w:w="3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40" w:type="dxa"/>
            <w:vAlign w:val="bottom"/>
            <w:tcBorders>
              <w:left w:val="single" w:sz="8" w:color="auto"/>
              <w:right w:val="single" w:sz="8" w:color="auto"/>
            </w:tcBorders>
            <w:vMerge w:val="continue"/>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Anhui Sanzhong Yichuang</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52,447,552.45</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0.4689%</w:t>
            </w: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Energy Automobile Fund</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34,965,034.97</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0.3126%</w:t>
            </w: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Anhui Emerging Industry Yuwen</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114,290,056.88</w:t>
            </w:r>
          </w:p>
        </w:tc>
        <w:tc>
          <w:tcPr>
            <w:tcW w:w="3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1.0217%</w:t>
            </w:r>
          </w:p>
        </w:tc>
        <w:tc>
          <w:tcPr>
            <w:tcW w:w="0" w:type="dxa"/>
            <w:vAlign w:val="bottom"/>
          </w:tcPr>
          <w:p>
            <w:pPr>
              <w:spacing w:after="0"/>
              <w:rPr>
                <w:sz w:val="1"/>
                <w:szCs w:val="1"/>
                <w:color w:val="auto"/>
              </w:rPr>
            </w:pPr>
          </w:p>
        </w:tc>
      </w:tr>
      <w:tr>
        <w:trPr>
          <w:trHeight w:val="116"/>
        </w:trPr>
        <w:tc>
          <w:tcPr>
            <w:tcW w:w="3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Weiyuan Technology</w:t>
            </w:r>
          </w:p>
        </w:tc>
        <w:tc>
          <w:tcPr>
            <w:tcW w:w="3300" w:type="dxa"/>
            <w:vAlign w:val="bottom"/>
            <w:tcBorders>
              <w:right w:val="single" w:sz="8" w:color="auto"/>
            </w:tcBorders>
            <w:vMerge w:val="continue"/>
          </w:tcPr>
          <w:p>
            <w:pPr>
              <w:spacing w:after="0"/>
              <w:rPr>
                <w:sz w:val="10"/>
                <w:szCs w:val="10"/>
                <w:color w:val="auto"/>
              </w:rPr>
            </w:pPr>
          </w:p>
        </w:tc>
        <w:tc>
          <w:tcPr>
            <w:tcW w:w="3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40" w:type="dxa"/>
            <w:vAlign w:val="bottom"/>
            <w:tcBorders>
              <w:left w:val="single" w:sz="8" w:color="auto"/>
              <w:right w:val="single" w:sz="8" w:color="auto"/>
            </w:tcBorders>
            <w:vMerge w:val="continue"/>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TOTAL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11,186,139,316.78</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4"/>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00" w:right="20" w:hanging="300"/>
        <w:spacing w:after="0" w:line="298" w:lineRule="auto"/>
        <w:tabs>
          <w:tab w:leader="none" w:pos="30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in Exhibit 2 to the Series B Investment Agreement (Shareholding Structure of the Target Company after the Completion of this Transaction) shall be amended as follows: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630" w:right="979" w:bottom="1440" w:gutter="0" w:footer="0" w:header="0"/>
        </w:sectPr>
      </w:pPr>
    </w:p>
    <w:bookmarkStart w:id="262" w:name="page263"/>
    <w:bookmarkEnd w:id="262"/>
    <w:tbl>
      <w:tblPr>
        <w:tblLayout w:type="fixed"/>
        <w:tblInd w:w="10" w:type="dxa"/>
        <w:tblCellMar>
          <w:top w:w="0" w:type="dxa"/>
          <w:left w:w="0" w:type="dxa"/>
          <w:bottom w:w="0" w:type="dxa"/>
          <w:right w:w="0" w:type="dxa"/>
        </w:tblCellMar>
      </w:tblPr>
      <w:tr>
        <w:trPr>
          <w:trHeight w:val="214"/>
        </w:trPr>
        <w:tc>
          <w:tcPr>
            <w:tcW w:w="7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Confidential</w:t>
            </w:r>
          </w:p>
        </w:tc>
        <w:tc>
          <w:tcPr>
            <w:tcW w:w="0" w:type="dxa"/>
            <w:vAlign w:val="bottom"/>
          </w:tcPr>
          <w:p>
            <w:pPr>
              <w:spacing w:after="0"/>
              <w:rPr>
                <w:sz w:val="1"/>
                <w:szCs w:val="1"/>
                <w:color w:val="auto"/>
              </w:rPr>
            </w:pPr>
          </w:p>
        </w:tc>
      </w:tr>
      <w:tr>
        <w:trPr>
          <w:trHeight w:val="203"/>
        </w:trPr>
        <w:tc>
          <w:tcPr>
            <w:tcW w:w="7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780" w:type="dxa"/>
            <w:vAlign w:val="bottom"/>
            <w:tcBorders>
              <w:left w:val="single" w:sz="8" w:color="auto"/>
              <w:right w:val="single" w:sz="8" w:color="auto"/>
            </w:tcBorders>
            <w:vMerge w:val="restart"/>
            <w:shd w:val="clear" w:color="auto" w:fill="F2F2F2"/>
          </w:tcPr>
          <w:p>
            <w:pPr>
              <w:ind w:left="260"/>
              <w:spacing w:after="0"/>
              <w:rPr>
                <w:sz w:val="20"/>
                <w:szCs w:val="20"/>
                <w:color w:val="auto"/>
              </w:rPr>
            </w:pPr>
            <w:r>
              <w:rPr>
                <w:rFonts w:ascii="Times New Roman" w:cs="Times New Roman" w:eastAsia="Times New Roman" w:hAnsi="Times New Roman"/>
                <w:sz w:val="13"/>
                <w:szCs w:val="13"/>
                <w:b w:val="1"/>
                <w:bCs w:val="1"/>
                <w:color w:val="auto"/>
              </w:rPr>
              <w:t>NO.</w:t>
            </w:r>
          </w:p>
        </w:tc>
        <w:tc>
          <w:tcPr>
            <w:tcW w:w="34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Shareholder</w:t>
            </w:r>
          </w:p>
        </w:tc>
        <w:tc>
          <w:tcPr>
            <w:tcW w:w="3940" w:type="dxa"/>
            <w:vAlign w:val="bottom"/>
            <w:tcBorders>
              <w:right w:val="single" w:sz="8" w:color="auto"/>
            </w:tcBorders>
            <w:shd w:val="clear" w:color="auto" w:fill="F2F2F2"/>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Capital Contribution</w:t>
            </w:r>
          </w:p>
        </w:tc>
        <w:tc>
          <w:tcPr>
            <w:tcW w:w="1780" w:type="dxa"/>
            <w:vAlign w:val="bottom"/>
            <w:tcBorders>
              <w:right w:val="single" w:sz="8" w:color="auto"/>
            </w:tcBorders>
            <w:shd w:val="clear" w:color="auto" w:fill="F2F2F2"/>
          </w:tcPr>
          <w:p>
            <w:pPr>
              <w:ind w:left="480"/>
              <w:spacing w:after="0" w:line="106" w:lineRule="exact"/>
              <w:rPr>
                <w:sz w:val="20"/>
                <w:szCs w:val="20"/>
                <w:color w:val="auto"/>
              </w:rPr>
            </w:pPr>
            <w:r>
              <w:rPr>
                <w:rFonts w:ascii="Times New Roman" w:cs="Times New Roman" w:eastAsia="Times New Roman" w:hAnsi="Times New Roman"/>
                <w:sz w:val="12"/>
                <w:szCs w:val="12"/>
                <w:b w:val="1"/>
                <w:bCs w:val="1"/>
                <w:color w:val="auto"/>
              </w:rPr>
              <w:t>Percentage of</w:t>
            </w:r>
          </w:p>
        </w:tc>
        <w:tc>
          <w:tcPr>
            <w:tcW w:w="0" w:type="dxa"/>
            <w:vAlign w:val="bottom"/>
          </w:tcPr>
          <w:p>
            <w:pPr>
              <w:spacing w:after="0"/>
              <w:rPr>
                <w:sz w:val="1"/>
                <w:szCs w:val="1"/>
                <w:color w:val="auto"/>
              </w:rPr>
            </w:pPr>
          </w:p>
        </w:tc>
      </w:tr>
      <w:tr>
        <w:trPr>
          <w:trHeight w:val="158"/>
        </w:trPr>
        <w:tc>
          <w:tcPr>
            <w:tcW w:w="780" w:type="dxa"/>
            <w:vAlign w:val="bottom"/>
            <w:tcBorders>
              <w:left w:val="single" w:sz="8" w:color="auto"/>
              <w:bottom w:val="single" w:sz="8" w:color="F2F2F2"/>
              <w:right w:val="single" w:sz="8" w:color="auto"/>
            </w:tcBorders>
            <w:vMerge w:val="continue"/>
            <w:shd w:val="clear" w:color="auto" w:fill="F2F2F2"/>
          </w:tcPr>
          <w:p>
            <w:pPr>
              <w:spacing w:after="0"/>
              <w:rPr>
                <w:sz w:val="13"/>
                <w:szCs w:val="13"/>
                <w:color w:val="auto"/>
              </w:rPr>
            </w:pPr>
          </w:p>
        </w:tc>
        <w:tc>
          <w:tcPr>
            <w:tcW w:w="3460" w:type="dxa"/>
            <w:vAlign w:val="bottom"/>
            <w:tcBorders>
              <w:bottom w:val="single" w:sz="8" w:color="F2F2F2"/>
              <w:right w:val="single" w:sz="8" w:color="auto"/>
            </w:tcBorders>
            <w:vMerge w:val="continue"/>
            <w:shd w:val="clear" w:color="auto" w:fill="F2F2F2"/>
          </w:tcPr>
          <w:p>
            <w:pPr>
              <w:spacing w:after="0"/>
              <w:rPr>
                <w:sz w:val="13"/>
                <w:szCs w:val="13"/>
                <w:color w:val="auto"/>
              </w:rPr>
            </w:pPr>
          </w:p>
        </w:tc>
        <w:tc>
          <w:tcPr>
            <w:tcW w:w="394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1780" w:type="dxa"/>
            <w:vAlign w:val="bottom"/>
            <w:tcBorders>
              <w:bottom w:val="single" w:sz="8" w:color="F2F2F2"/>
              <w:right w:val="single" w:sz="8" w:color="auto"/>
            </w:tcBorders>
            <w:shd w:val="clear" w:color="auto" w:fill="F2F2F2"/>
          </w:tcPr>
          <w:p>
            <w:pPr>
              <w:ind w:left="500"/>
              <w:spacing w:after="0"/>
              <w:rPr>
                <w:sz w:val="20"/>
                <w:szCs w:val="20"/>
                <w:color w:val="auto"/>
              </w:rPr>
            </w:pPr>
            <w:r>
              <w:rPr>
                <w:rFonts w:ascii="Times New Roman" w:cs="Times New Roman" w:eastAsia="Times New Roman" w:hAnsi="Times New Roman"/>
                <w:sz w:val="13"/>
                <w:szCs w:val="13"/>
                <w:b w:val="1"/>
                <w:bCs w:val="1"/>
                <w:color w:val="auto"/>
              </w:rPr>
              <w:t>Shareholding</w:t>
            </w:r>
          </w:p>
        </w:tc>
        <w:tc>
          <w:tcPr>
            <w:tcW w:w="0" w:type="dxa"/>
            <w:vAlign w:val="bottom"/>
          </w:tcPr>
          <w:p>
            <w:pPr>
              <w:spacing w:after="0"/>
              <w:rPr>
                <w:sz w:val="1"/>
                <w:szCs w:val="1"/>
                <w:color w:val="auto"/>
              </w:rPr>
            </w:pPr>
          </w:p>
        </w:tc>
      </w:tr>
      <w:tr>
        <w:trPr>
          <w:trHeight w:val="228"/>
        </w:trPr>
        <w:tc>
          <w:tcPr>
            <w:tcW w:w="7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w:t>
            </w:r>
          </w:p>
        </w:tc>
        <w:tc>
          <w:tcPr>
            <w:tcW w:w="3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NIO HK</w:t>
            </w:r>
          </w:p>
        </w:tc>
        <w:tc>
          <w:tcPr>
            <w:tcW w:w="3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7,946,205,066.76</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71.0362%</w:t>
            </w: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UE HK</w:t>
            </w:r>
          </w:p>
        </w:tc>
        <w:tc>
          <w:tcPr>
            <w:tcW w:w="3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2,158,360,762.23</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19.2950%</w:t>
            </w: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3</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Jianheng New Energy Fund</w:t>
            </w:r>
          </w:p>
        </w:tc>
        <w:tc>
          <w:tcPr>
            <w:tcW w:w="3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262,237,762.24</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2.3443%</w:t>
            </w: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4</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Hefei Jianxiang</w:t>
            </w:r>
          </w:p>
        </w:tc>
        <w:tc>
          <w:tcPr>
            <w:tcW w:w="3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285,725,142.19</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2.5543%</w:t>
            </w: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5</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Advanced Manufacturing Industry</w:t>
            </w:r>
          </w:p>
        </w:tc>
        <w:tc>
          <w:tcPr>
            <w:tcW w:w="3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157,342,657.35</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1.4066%</w:t>
            </w:r>
          </w:p>
        </w:tc>
        <w:tc>
          <w:tcPr>
            <w:tcW w:w="0" w:type="dxa"/>
            <w:vAlign w:val="bottom"/>
          </w:tcPr>
          <w:p>
            <w:pPr>
              <w:spacing w:after="0"/>
              <w:rPr>
                <w:sz w:val="1"/>
                <w:szCs w:val="1"/>
                <w:color w:val="auto"/>
              </w:rPr>
            </w:pPr>
          </w:p>
        </w:tc>
      </w:tr>
      <w:tr>
        <w:trPr>
          <w:trHeight w:val="116"/>
        </w:trPr>
        <w:tc>
          <w:tcPr>
            <w:tcW w:w="780" w:type="dxa"/>
            <w:vAlign w:val="bottom"/>
            <w:tcBorders>
              <w:left w:val="single" w:sz="8" w:color="auto"/>
              <w:right w:val="single" w:sz="8" w:color="auto"/>
            </w:tcBorders>
            <w:vMerge w:val="continue"/>
          </w:tcPr>
          <w:p>
            <w:pPr>
              <w:spacing w:after="0"/>
              <w:rPr>
                <w:sz w:val="10"/>
                <w:szCs w:val="10"/>
                <w:color w:val="auto"/>
              </w:rPr>
            </w:pPr>
          </w:p>
        </w:tc>
        <w:tc>
          <w:tcPr>
            <w:tcW w:w="3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Investment Fund</w:t>
            </w:r>
          </w:p>
        </w:tc>
        <w:tc>
          <w:tcPr>
            <w:tcW w:w="39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80" w:type="dxa"/>
            <w:vAlign w:val="bottom"/>
            <w:tcBorders>
              <w:left w:val="single" w:sz="8" w:color="auto"/>
              <w:right w:val="single" w:sz="8" w:color="auto"/>
            </w:tcBorders>
          </w:tcPr>
          <w:p>
            <w:pPr>
              <w:spacing w:after="0"/>
              <w:rPr>
                <w:sz w:val="8"/>
                <w:szCs w:val="8"/>
                <w:color w:val="auto"/>
              </w:rPr>
            </w:pPr>
          </w:p>
        </w:tc>
        <w:tc>
          <w:tcPr>
            <w:tcW w:w="3460" w:type="dxa"/>
            <w:vAlign w:val="bottom"/>
            <w:tcBorders>
              <w:right w:val="single" w:sz="8" w:color="auto"/>
            </w:tcBorders>
            <w:vMerge w:val="continue"/>
          </w:tcPr>
          <w:p>
            <w:pPr>
              <w:spacing w:after="0"/>
              <w:rPr>
                <w:sz w:val="8"/>
                <w:szCs w:val="8"/>
                <w:color w:val="auto"/>
              </w:rPr>
            </w:pPr>
          </w:p>
        </w:tc>
        <w:tc>
          <w:tcPr>
            <w:tcW w:w="39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6</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Anhui Emerging Industry Yuwen</w:t>
            </w:r>
          </w:p>
        </w:tc>
        <w:tc>
          <w:tcPr>
            <w:tcW w:w="3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114,290,056.88</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1.0217%</w:t>
            </w:r>
          </w:p>
        </w:tc>
        <w:tc>
          <w:tcPr>
            <w:tcW w:w="0" w:type="dxa"/>
            <w:vAlign w:val="bottom"/>
          </w:tcPr>
          <w:p>
            <w:pPr>
              <w:spacing w:after="0"/>
              <w:rPr>
                <w:sz w:val="1"/>
                <w:szCs w:val="1"/>
                <w:color w:val="auto"/>
              </w:rPr>
            </w:pPr>
          </w:p>
        </w:tc>
      </w:tr>
      <w:tr>
        <w:trPr>
          <w:trHeight w:val="116"/>
        </w:trPr>
        <w:tc>
          <w:tcPr>
            <w:tcW w:w="780" w:type="dxa"/>
            <w:vAlign w:val="bottom"/>
            <w:tcBorders>
              <w:left w:val="single" w:sz="8" w:color="auto"/>
              <w:right w:val="single" w:sz="8" w:color="auto"/>
            </w:tcBorders>
            <w:vMerge w:val="continue"/>
          </w:tcPr>
          <w:p>
            <w:pPr>
              <w:spacing w:after="0"/>
              <w:rPr>
                <w:sz w:val="10"/>
                <w:szCs w:val="10"/>
                <w:color w:val="auto"/>
              </w:rPr>
            </w:pPr>
          </w:p>
        </w:tc>
        <w:tc>
          <w:tcPr>
            <w:tcW w:w="3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Weiyuan Technology</w:t>
            </w:r>
          </w:p>
        </w:tc>
        <w:tc>
          <w:tcPr>
            <w:tcW w:w="39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80" w:type="dxa"/>
            <w:vAlign w:val="bottom"/>
            <w:tcBorders>
              <w:left w:val="single" w:sz="8" w:color="auto"/>
              <w:right w:val="single" w:sz="8" w:color="auto"/>
            </w:tcBorders>
          </w:tcPr>
          <w:p>
            <w:pPr>
              <w:spacing w:after="0"/>
              <w:rPr>
                <w:sz w:val="8"/>
                <w:szCs w:val="8"/>
                <w:color w:val="auto"/>
              </w:rPr>
            </w:pPr>
          </w:p>
        </w:tc>
        <w:tc>
          <w:tcPr>
            <w:tcW w:w="3460" w:type="dxa"/>
            <w:vAlign w:val="bottom"/>
            <w:tcBorders>
              <w:right w:val="single" w:sz="8" w:color="auto"/>
            </w:tcBorders>
            <w:vMerge w:val="continue"/>
          </w:tcPr>
          <w:p>
            <w:pPr>
              <w:spacing w:after="0"/>
              <w:rPr>
                <w:sz w:val="8"/>
                <w:szCs w:val="8"/>
                <w:color w:val="auto"/>
              </w:rPr>
            </w:pPr>
          </w:p>
        </w:tc>
        <w:tc>
          <w:tcPr>
            <w:tcW w:w="39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7</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CS Capital and/or its designated</w:t>
            </w:r>
          </w:p>
        </w:tc>
        <w:tc>
          <w:tcPr>
            <w:tcW w:w="3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71,431,285.54</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0.6386%</w:t>
            </w:r>
          </w:p>
        </w:tc>
        <w:tc>
          <w:tcPr>
            <w:tcW w:w="0" w:type="dxa"/>
            <w:vAlign w:val="bottom"/>
          </w:tcPr>
          <w:p>
            <w:pPr>
              <w:spacing w:after="0"/>
              <w:rPr>
                <w:sz w:val="1"/>
                <w:szCs w:val="1"/>
                <w:color w:val="auto"/>
              </w:rPr>
            </w:pPr>
          </w:p>
        </w:tc>
      </w:tr>
      <w:tr>
        <w:trPr>
          <w:trHeight w:val="116"/>
        </w:trPr>
        <w:tc>
          <w:tcPr>
            <w:tcW w:w="780" w:type="dxa"/>
            <w:vAlign w:val="bottom"/>
            <w:tcBorders>
              <w:left w:val="single" w:sz="8" w:color="auto"/>
              <w:right w:val="single" w:sz="8" w:color="auto"/>
            </w:tcBorders>
            <w:vMerge w:val="continue"/>
          </w:tcPr>
          <w:p>
            <w:pPr>
              <w:spacing w:after="0"/>
              <w:rPr>
                <w:sz w:val="10"/>
                <w:szCs w:val="10"/>
                <w:color w:val="auto"/>
              </w:rPr>
            </w:pPr>
          </w:p>
        </w:tc>
        <w:tc>
          <w:tcPr>
            <w:tcW w:w="3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investment entity</w:t>
            </w:r>
          </w:p>
        </w:tc>
        <w:tc>
          <w:tcPr>
            <w:tcW w:w="39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80" w:type="dxa"/>
            <w:vAlign w:val="bottom"/>
            <w:tcBorders>
              <w:left w:val="single" w:sz="8" w:color="auto"/>
              <w:right w:val="single" w:sz="8" w:color="auto"/>
            </w:tcBorders>
          </w:tcPr>
          <w:p>
            <w:pPr>
              <w:spacing w:after="0"/>
              <w:rPr>
                <w:sz w:val="8"/>
                <w:szCs w:val="8"/>
                <w:color w:val="auto"/>
              </w:rPr>
            </w:pPr>
          </w:p>
        </w:tc>
        <w:tc>
          <w:tcPr>
            <w:tcW w:w="3460" w:type="dxa"/>
            <w:vAlign w:val="bottom"/>
            <w:tcBorders>
              <w:right w:val="single" w:sz="8" w:color="auto"/>
            </w:tcBorders>
            <w:vMerge w:val="continue"/>
          </w:tcPr>
          <w:p>
            <w:pPr>
              <w:spacing w:after="0"/>
              <w:rPr>
                <w:sz w:val="8"/>
                <w:szCs w:val="8"/>
                <w:color w:val="auto"/>
              </w:rPr>
            </w:pPr>
          </w:p>
        </w:tc>
        <w:tc>
          <w:tcPr>
            <w:tcW w:w="39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8</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 HK</w:t>
            </w:r>
          </w:p>
        </w:tc>
        <w:tc>
          <w:tcPr>
            <w:tcW w:w="3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103,133,996.17</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0.9220%</w:t>
            </w: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9</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Anhui Sanzhong Yichuang</w:t>
            </w:r>
          </w:p>
        </w:tc>
        <w:tc>
          <w:tcPr>
            <w:tcW w:w="3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52,447,552.45</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0.4689%</w:t>
            </w: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10</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Energy Automobile Fund</w:t>
            </w:r>
          </w:p>
        </w:tc>
        <w:tc>
          <w:tcPr>
            <w:tcW w:w="3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34,965,034.97</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0.3126%</w:t>
            </w: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tcBorders>
          </w:tcPr>
          <w:p>
            <w:pPr>
              <w:spacing w:after="0"/>
              <w:rPr>
                <w:sz w:val="19"/>
                <w:szCs w:val="19"/>
                <w:color w:val="auto"/>
              </w:rPr>
            </w:pP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TOTAL</w:t>
            </w:r>
          </w:p>
        </w:tc>
        <w:tc>
          <w:tcPr>
            <w:tcW w:w="3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11,186,139,316.78</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100.0000%</w:t>
            </w:r>
          </w:p>
        </w:tc>
        <w:tc>
          <w:tcPr>
            <w:tcW w:w="0" w:type="dxa"/>
            <w:vAlign w:val="bottom"/>
          </w:tcPr>
          <w:p>
            <w:pPr>
              <w:spacing w:after="0"/>
              <w:rPr>
                <w:sz w:val="1"/>
                <w:szCs w:val="1"/>
                <w:color w:val="auto"/>
              </w:rPr>
            </w:pPr>
          </w:p>
        </w:tc>
      </w:tr>
      <w:tr>
        <w:trPr>
          <w:trHeight w:val="24"/>
        </w:trPr>
        <w:tc>
          <w:tcPr>
            <w:tcW w:w="780" w:type="dxa"/>
            <w:vAlign w:val="bottom"/>
            <w:tcBorders>
              <w:left w:val="single" w:sz="8" w:color="auto"/>
              <w:bottom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00" w:right="20" w:hanging="300"/>
        <w:spacing w:after="0" w:line="298" w:lineRule="auto"/>
        <w:tabs>
          <w:tab w:leader="none" w:pos="3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formation of this Amendment and Supplementary Agreement II, its validity, interpretation, implementation and resolution of any disputes arising hereunder shall be governed by and construed in accordance with the laws of the PRC.</w:t>
      </w:r>
    </w:p>
    <w:p>
      <w:pPr>
        <w:spacing w:after="0" w:line="137" w:lineRule="exact"/>
        <w:rPr>
          <w:rFonts w:ascii="Times New Roman" w:cs="Times New Roman" w:eastAsia="Times New Roman" w:hAnsi="Times New Roman"/>
          <w:sz w:val="16"/>
          <w:szCs w:val="16"/>
          <w:color w:val="auto"/>
        </w:rPr>
      </w:pPr>
    </w:p>
    <w:p>
      <w:pPr>
        <w:jc w:val="both"/>
        <w:ind w:left="300" w:right="20" w:hanging="300"/>
        <w:spacing w:after="0" w:line="266" w:lineRule="auto"/>
        <w:tabs>
          <w:tab w:leader="none" w:pos="3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disputes arising from the implementation of this Amendment and Supplementary Agreement II or in connection with this Amendment and Supplementary Agreement II shall be resolved by the Parties through friendly consultation. Any dispute that cannot be resolved through consultation within thirty (30) days after the occurrence of such dispute may be submitted by any Party to the China International Economic and Trade Arbitration Commission located in Beijing for arbitration in accordance with its arbitration rules then in effect. The arbitration tribunal shall consist of three (3) arbitrators to be appointed in accordance with the arbitration rules. The applicant shall appoint one (1) arbitrator, the respondent shall appoint one (1) arbitrator, and the third (3rd) arbitrator shall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630" w:right="979" w:bottom="1440" w:gutter="0" w:footer="0" w:header="0"/>
        </w:sectPr>
      </w:pPr>
    </w:p>
    <w:bookmarkStart w:id="263" w:name="page264"/>
    <w:bookmarkEnd w:id="263"/>
    <w:p>
      <w:pPr>
        <w:ind w:left="9000"/>
        <w:spacing w:after="0"/>
        <w:rPr>
          <w:sz w:val="20"/>
          <w:szCs w:val="20"/>
          <w:color w:val="auto"/>
        </w:rPr>
      </w:pPr>
      <w:r>
        <w:rPr>
          <w:rFonts w:ascii="Times New Roman" w:cs="Times New Roman" w:eastAsia="Times New Roman" w:hAnsi="Times New Roman"/>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475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2">
                      <a:extLst>
                        <a:ext uri="{28A0092B-C50C-407E-A947-70E740481C1C}"/>
                      </a:extLst>
                    </a:blip>
                    <a:srcRect/>
                    <a:stretch>
                      <a:fillRect/>
                    </a:stretch>
                  </pic:blipFill>
                  <pic:spPr bwMode="auto">
                    <a:xfrm>
                      <a:off x="0" y="0"/>
                      <a:ext cx="6294755" cy="7620"/>
                    </a:xfrm>
                    <a:prstGeom prst="rect">
                      <a:avLst/>
                    </a:prstGeom>
                    <a:noFill/>
                  </pic:spPr>
                </pic:pic>
              </a:graphicData>
            </a:graphic>
          </wp:anchor>
        </w:drawing>
      </w:r>
    </w:p>
    <w:p>
      <w:pPr>
        <w:spacing w:after="0" w:line="204" w:lineRule="exact"/>
        <w:rPr>
          <w:sz w:val="20"/>
          <w:szCs w:val="20"/>
          <w:color w:val="auto"/>
        </w:rPr>
      </w:pPr>
    </w:p>
    <w:p>
      <w:pPr>
        <w:jc w:val="both"/>
        <w:ind w:left="300"/>
        <w:spacing w:after="0" w:line="275" w:lineRule="auto"/>
        <w:rPr>
          <w:sz w:val="20"/>
          <w:szCs w:val="20"/>
          <w:color w:val="auto"/>
        </w:rPr>
      </w:pPr>
      <w:r>
        <w:rPr>
          <w:rFonts w:ascii="Times New Roman" w:cs="Times New Roman" w:eastAsia="Times New Roman" w:hAnsi="Times New Roman"/>
          <w:sz w:val="16"/>
          <w:szCs w:val="16"/>
          <w:color w:val="auto"/>
        </w:rPr>
        <w:t>be appointed by the first two arbitrators through consultation or appointed by the China International Economic and Trade Arbitration Commission. If any party among the joint applicants or joint respondents fails to jointly appoint an arbitrator, it does not prevent the other party from appointing an arbitrator. The arbitration proceedings shall be conducted in Chinese. The arbitration award shall be final and binding on all Parties.</w:t>
      </w:r>
    </w:p>
    <w:p>
      <w:pPr>
        <w:spacing w:after="0" w:line="358" w:lineRule="exact"/>
        <w:rPr>
          <w:sz w:val="20"/>
          <w:szCs w:val="20"/>
          <w:color w:val="auto"/>
        </w:rPr>
      </w:pPr>
    </w:p>
    <w:p>
      <w:pPr>
        <w:ind w:left="300" w:hanging="300"/>
        <w:spacing w:after="0" w:line="298" w:lineRule="auto"/>
        <w:tabs>
          <w:tab w:leader="none" w:pos="3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period when a Dispute is being resolved, the Parties shall continue to have their respective rights and perform their obligations under this Amendment and Supplementary Agreement II other than those involved in the Dispute.</w:t>
      </w:r>
    </w:p>
    <w:p>
      <w:pPr>
        <w:spacing w:after="0" w:line="137" w:lineRule="exact"/>
        <w:rPr>
          <w:rFonts w:ascii="Times New Roman" w:cs="Times New Roman" w:eastAsia="Times New Roman" w:hAnsi="Times New Roman"/>
          <w:sz w:val="16"/>
          <w:szCs w:val="16"/>
          <w:color w:val="auto"/>
        </w:rPr>
      </w:pPr>
    </w:p>
    <w:p>
      <w:pPr>
        <w:jc w:val="both"/>
        <w:ind w:left="300" w:hanging="300"/>
        <w:spacing w:after="0" w:line="271" w:lineRule="auto"/>
        <w:tabs>
          <w:tab w:leader="none" w:pos="3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and Supplementary Agreement II shall become effective upon the execution by the duly authorized representatives of the foreign entity Parties and by the legal representatives, authorized signatories or respective authorized representatives of the PRC entity Parties and the affixation of their respective company chops. The sequence of priority of the Series B Investment Agreement, the Amendment and Supplementary Agreement I and this Amendment and Supplementary Agreement II shall be:</w:t>
      </w:r>
    </w:p>
    <w:p>
      <w:pPr>
        <w:spacing w:after="0" w:line="159" w:lineRule="exact"/>
        <w:rPr>
          <w:rFonts w:ascii="Times New Roman" w:cs="Times New Roman" w:eastAsia="Times New Roman" w:hAnsi="Times New Roman"/>
          <w:sz w:val="16"/>
          <w:szCs w:val="16"/>
          <w:color w:val="auto"/>
        </w:rPr>
      </w:pPr>
    </w:p>
    <w:p>
      <w:pPr>
        <w:ind w:left="900" w:hanging="603"/>
        <w:spacing w:after="0" w:line="298" w:lineRule="auto"/>
        <w:tabs>
          <w:tab w:leader="none" w:pos="90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of conflict between any provisions of the Series B Investment Agreement, the Amendment and Supplementary Agreement I and this Amendment and Supplementary Agreement II, this Amendment and Supplementary Agreement II shall prevail;</w:t>
      </w:r>
    </w:p>
    <w:p>
      <w:pPr>
        <w:spacing w:after="0" w:line="137" w:lineRule="exact"/>
        <w:rPr>
          <w:rFonts w:ascii="Times New Roman" w:cs="Times New Roman" w:eastAsia="Times New Roman" w:hAnsi="Times New Roman"/>
          <w:sz w:val="16"/>
          <w:szCs w:val="16"/>
          <w:color w:val="auto"/>
        </w:rPr>
      </w:pPr>
    </w:p>
    <w:p>
      <w:pPr>
        <w:ind w:left="900" w:hanging="603"/>
        <w:spacing w:after="0" w:line="298" w:lineRule="auto"/>
        <w:tabs>
          <w:tab w:leader="none" w:pos="90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of conflict between any provisions of the Series B Investment Agreement and the Amendment and Supplementary Agreement I, the Amendment and Supplementary Agreement I shall prevail;</w:t>
      </w:r>
    </w:p>
    <w:p>
      <w:pPr>
        <w:spacing w:after="0" w:line="137" w:lineRule="exact"/>
        <w:rPr>
          <w:rFonts w:ascii="Times New Roman" w:cs="Times New Roman" w:eastAsia="Times New Roman" w:hAnsi="Times New Roman"/>
          <w:sz w:val="16"/>
          <w:szCs w:val="16"/>
          <w:color w:val="auto"/>
        </w:rPr>
      </w:pPr>
    </w:p>
    <w:p>
      <w:pPr>
        <w:ind w:left="900" w:hanging="603"/>
        <w:spacing w:after="0" w:line="298" w:lineRule="auto"/>
        <w:tabs>
          <w:tab w:leader="none" w:pos="90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matter not mentioned herein, the Amendment and Supplementary Agreement I shall prevail; if such matter is not mentioned in the Amendment and Supplementary Agreement I, the Series B Investment Agreement shall prevail.</w:t>
      </w:r>
    </w:p>
    <w:p>
      <w:pPr>
        <w:spacing w:after="0" w:line="137" w:lineRule="exact"/>
        <w:rPr>
          <w:sz w:val="20"/>
          <w:szCs w:val="20"/>
          <w:color w:val="auto"/>
        </w:rPr>
      </w:pPr>
    </w:p>
    <w:p>
      <w:pPr>
        <w:ind w:left="300"/>
        <w:spacing w:after="0" w:line="298" w:lineRule="auto"/>
        <w:rPr>
          <w:sz w:val="20"/>
          <w:szCs w:val="20"/>
          <w:color w:val="auto"/>
        </w:rPr>
      </w:pPr>
      <w:r>
        <w:rPr>
          <w:rFonts w:ascii="Times New Roman" w:cs="Times New Roman" w:eastAsia="Times New Roman" w:hAnsi="Times New Roman"/>
          <w:sz w:val="16"/>
          <w:szCs w:val="16"/>
          <w:color w:val="auto"/>
        </w:rPr>
        <w:t>Unless otherwise provided herein, the validity of other terms of the Series B Investment Agreement and the Amendment and Supplementary Agreement I shall not be affected by this Amendment and Supplementary Agreement II.</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31" w:right="999" w:bottom="1440" w:gutter="0" w:footer="0" w:header="0"/>
        </w:sectPr>
      </w:pPr>
    </w:p>
    <w:bookmarkStart w:id="264" w:name="page265"/>
    <w:bookmarkEnd w:id="264"/>
    <w:p>
      <w:pPr>
        <w:ind w:left="9000"/>
        <w:spacing w:after="0"/>
        <w:rPr>
          <w:sz w:val="20"/>
          <w:szCs w:val="20"/>
          <w:color w:val="auto"/>
        </w:rPr>
      </w:pPr>
      <w:r>
        <w:rPr>
          <w:rFonts w:ascii="Times New Roman" w:cs="Times New Roman" w:eastAsia="Times New Roman" w:hAnsi="Times New Roman"/>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475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4">
                      <a:extLst>
                        <a:ext uri="{28A0092B-C50C-407E-A947-70E740481C1C}"/>
                      </a:extLst>
                    </a:blip>
                    <a:srcRect/>
                    <a:stretch>
                      <a:fillRect/>
                    </a:stretch>
                  </pic:blipFill>
                  <pic:spPr bwMode="auto">
                    <a:xfrm>
                      <a:off x="0" y="0"/>
                      <a:ext cx="6294755" cy="7620"/>
                    </a:xfrm>
                    <a:prstGeom prst="rect">
                      <a:avLst/>
                    </a:prstGeom>
                    <a:noFill/>
                  </pic:spPr>
                </pic:pic>
              </a:graphicData>
            </a:graphic>
          </wp:anchor>
        </w:drawing>
      </w:r>
    </w:p>
    <w:p>
      <w:pPr>
        <w:spacing w:after="0" w:line="204" w:lineRule="exact"/>
        <w:rPr>
          <w:sz w:val="20"/>
          <w:szCs w:val="20"/>
          <w:color w:val="auto"/>
        </w:rPr>
      </w:pPr>
    </w:p>
    <w:p>
      <w:pPr>
        <w:ind w:left="300" w:hanging="300"/>
        <w:spacing w:after="0" w:line="298" w:lineRule="auto"/>
        <w:tabs>
          <w:tab w:leader="none" w:pos="30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and Supplementary Agreement II shall be written in Chinese in eight (8) originals with the same legal effect. Each Party shall hold one (1) original.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u w:val="single" w:color="auto"/>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5">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630" w:right="999" w:bottom="1440" w:gutter="0" w:footer="0" w:header="0"/>
        </w:sectPr>
      </w:pPr>
    </w:p>
    <w:bookmarkStart w:id="265" w:name="page266"/>
    <w:bookmarkEnd w:id="265"/>
    <w:p>
      <w:pPr>
        <w:ind w:left="9000"/>
        <w:spacing w:after="0"/>
        <w:rPr>
          <w:sz w:val="20"/>
          <w:szCs w:val="20"/>
          <w:color w:val="auto"/>
        </w:rPr>
      </w:pPr>
      <w:r>
        <w:rPr>
          <w:rFonts w:ascii="Times New Roman" w:cs="Times New Roman" w:eastAsia="Times New Roman" w:hAnsi="Times New Roman"/>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475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6">
                      <a:extLst>
                        <a:ext uri="{28A0092B-C50C-407E-A947-70E740481C1C}"/>
                      </a:extLst>
                    </a:blip>
                    <a:srcRect/>
                    <a:stretch>
                      <a:fillRect/>
                    </a:stretch>
                  </pic:blipFill>
                  <pic:spPr bwMode="auto">
                    <a:xfrm>
                      <a:off x="0" y="0"/>
                      <a:ext cx="6294755" cy="762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Series B Investment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Hefei Jianxiang Investment Co., Ltd.</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(Company Chop)</w:t>
      </w:r>
    </w:p>
    <w:p>
      <w:pPr>
        <w:spacing w:after="0" w:line="1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By:/s/ Authorized Signatory</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30" w:right="999" w:bottom="1440" w:gutter="0" w:footer="0" w:header="0"/>
        </w:sectPr>
      </w:pPr>
    </w:p>
    <w:bookmarkStart w:id="266" w:name="page267"/>
    <w:bookmarkEnd w:id="266"/>
    <w:p>
      <w:pPr>
        <w:ind w:left="9000"/>
        <w:spacing w:after="0"/>
        <w:rPr>
          <w:sz w:val="20"/>
          <w:szCs w:val="20"/>
          <w:color w:val="auto"/>
        </w:rPr>
      </w:pPr>
      <w:r>
        <w:rPr>
          <w:rFonts w:ascii="Times New Roman" w:cs="Times New Roman" w:eastAsia="Times New Roman" w:hAnsi="Times New Roman"/>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475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8">
                      <a:extLst>
                        <a:ext uri="{28A0092B-C50C-407E-A947-70E740481C1C}"/>
                      </a:extLst>
                    </a:blip>
                    <a:srcRect/>
                    <a:stretch>
                      <a:fillRect/>
                    </a:stretch>
                  </pic:blipFill>
                  <pic:spPr bwMode="auto">
                    <a:xfrm>
                      <a:off x="0" y="0"/>
                      <a:ext cx="6294755" cy="762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Series B Investment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CS Capital Co., Ltd.</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(Company Chop)</w:t>
      </w:r>
    </w:p>
    <w:p>
      <w:pPr>
        <w:spacing w:after="0" w:line="1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By:/s/ Authorized Signatory</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30" w:right="999" w:bottom="1440" w:gutter="0" w:footer="0" w:header="0"/>
        </w:sectPr>
      </w:pPr>
    </w:p>
    <w:bookmarkStart w:id="267" w:name="page268"/>
    <w:bookmarkEnd w:id="267"/>
    <w:p>
      <w:pPr>
        <w:ind w:left="9000"/>
        <w:spacing w:after="0"/>
        <w:rPr>
          <w:sz w:val="20"/>
          <w:szCs w:val="20"/>
          <w:color w:val="auto"/>
        </w:rPr>
      </w:pPr>
      <w:r>
        <w:rPr>
          <w:rFonts w:ascii="Times New Roman" w:cs="Times New Roman" w:eastAsia="Times New Roman" w:hAnsi="Times New Roman"/>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475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0">
                      <a:extLst>
                        <a:ext uri="{28A0092B-C50C-407E-A947-70E740481C1C}"/>
                      </a:extLst>
                    </a:blip>
                    <a:srcRect/>
                    <a:stretch>
                      <a:fillRect/>
                    </a:stretch>
                  </pic:blipFill>
                  <pic:spPr bwMode="auto">
                    <a:xfrm>
                      <a:off x="0" y="0"/>
                      <a:ext cx="6294755" cy="762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Series B Investment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Anhui Emerging Industry Yuwen</w:t>
      </w:r>
    </w:p>
    <w:p>
      <w:pPr>
        <w:spacing w:after="0" w:line="5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Weiyuan Technology Partnership</w:t>
      </w:r>
    </w:p>
    <w:p>
      <w:pPr>
        <w:spacing w:after="0" w:line="5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Enterprise (Limited Partnership)</w:t>
      </w:r>
    </w:p>
    <w:p>
      <w:pPr>
        <w:spacing w:after="0" w:line="5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(Company Chop)</w:t>
      </w:r>
    </w:p>
    <w:p>
      <w:pPr>
        <w:spacing w:after="0" w:line="28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By:/s/ Authorized Signatory</w:t>
      </w:r>
    </w:p>
    <w:p>
      <w:pPr>
        <w:spacing w:after="0" w:line="5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5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30" w:right="999" w:bottom="1440" w:gutter="0" w:footer="0" w:header="0"/>
        </w:sectPr>
      </w:pPr>
    </w:p>
    <w:bookmarkStart w:id="268" w:name="page269"/>
    <w:bookmarkEnd w:id="268"/>
    <w:p>
      <w:pPr>
        <w:ind w:left="9000"/>
        <w:spacing w:after="0"/>
        <w:rPr>
          <w:sz w:val="20"/>
          <w:szCs w:val="20"/>
          <w:color w:val="auto"/>
        </w:rPr>
      </w:pPr>
      <w:r>
        <w:rPr>
          <w:rFonts w:ascii="Times New Roman" w:cs="Times New Roman" w:eastAsia="Times New Roman" w:hAnsi="Times New Roman"/>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475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2">
                      <a:extLst>
                        <a:ext uri="{28A0092B-C50C-407E-A947-70E740481C1C}"/>
                      </a:extLst>
                    </a:blip>
                    <a:srcRect/>
                    <a:stretch>
                      <a:fillRect/>
                    </a:stretch>
                  </pic:blipFill>
                  <pic:spPr bwMode="auto">
                    <a:xfrm>
                      <a:off x="0" y="0"/>
                      <a:ext cx="6294755" cy="762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Series B Investment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NIO Inc.</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(Company Chop)</w:t>
      </w:r>
    </w:p>
    <w:p>
      <w:pPr>
        <w:spacing w:after="0" w:line="1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By:/s/ Authorized Signatory</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30" w:right="999" w:bottom="1440" w:gutter="0" w:footer="0" w:header="0"/>
        </w:sectPr>
      </w:pPr>
    </w:p>
    <w:bookmarkStart w:id="269" w:name="page270"/>
    <w:bookmarkEnd w:id="269"/>
    <w:p>
      <w:pPr>
        <w:ind w:left="9000"/>
        <w:spacing w:after="0"/>
        <w:rPr>
          <w:sz w:val="20"/>
          <w:szCs w:val="20"/>
          <w:color w:val="auto"/>
        </w:rPr>
      </w:pPr>
      <w:r>
        <w:rPr>
          <w:rFonts w:ascii="Times New Roman" w:cs="Times New Roman" w:eastAsia="Times New Roman" w:hAnsi="Times New Roman"/>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475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4">
                      <a:extLst>
                        <a:ext uri="{28A0092B-C50C-407E-A947-70E740481C1C}"/>
                      </a:extLst>
                    </a:blip>
                    <a:srcRect/>
                    <a:stretch>
                      <a:fillRect/>
                    </a:stretch>
                  </pic:blipFill>
                  <pic:spPr bwMode="auto">
                    <a:xfrm>
                      <a:off x="0" y="0"/>
                      <a:ext cx="6294755" cy="762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Series B Investment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Nio Nextev Limited</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(Company Chop)</w:t>
      </w:r>
    </w:p>
    <w:p>
      <w:pPr>
        <w:spacing w:after="0" w:line="1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By:/s/ Authorized Signatory</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31" w:right="9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Series B Investment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NIO User Enterprise Limited</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(Company Chop)</w:t>
      </w:r>
    </w:p>
    <w:p>
      <w:pPr>
        <w:spacing w:after="0" w:line="1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By:/s/ Authorized Signatory</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Series B Investment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NIO Power Express Limited</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(Company Chop)</w:t>
      </w:r>
    </w:p>
    <w:p>
      <w:pPr>
        <w:spacing w:after="0" w:line="1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By:/s/ Authorized Signatory</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Series B Investment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NIO Holding Co., Ltd.</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(Company Chop)</w:t>
      </w:r>
    </w:p>
    <w:p>
      <w:pPr>
        <w:spacing w:after="0" w:line="1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By:/s/ Authorized Signatory</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6"/>
          <w:szCs w:val="16"/>
          <w:b w:val="1"/>
          <w:bCs w:val="1"/>
          <w:color w:val="auto"/>
        </w:rPr>
        <w:t>Exhibit 4.52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AND SUPPLEMENTARY AGREEMENT II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NIO CHINA SHAREHOLDERS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Amendment and Supplementary Agreement II to NIO China Shareholders Agreement (this “</w:t>
      </w:r>
      <w:r>
        <w:rPr>
          <w:rFonts w:ascii="Times New Roman" w:cs="Times New Roman" w:eastAsia="Times New Roman" w:hAnsi="Times New Roman"/>
          <w:sz w:val="16"/>
          <w:szCs w:val="16"/>
          <w:b w:val="1"/>
          <w:bCs w:val="1"/>
          <w:color w:val="auto"/>
        </w:rPr>
        <w:t>Amendment and Supplementary Agreement II</w:t>
      </w:r>
      <w:r>
        <w:rPr>
          <w:rFonts w:ascii="Times New Roman" w:cs="Times New Roman" w:eastAsia="Times New Roman" w:hAnsi="Times New Roman"/>
          <w:sz w:val="16"/>
          <w:szCs w:val="16"/>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 made on July 11, 2025 (the “</w:t>
      </w:r>
      <w:r>
        <w:rPr>
          <w:rFonts w:ascii="Times New Roman" w:cs="Times New Roman" w:eastAsia="Times New Roman" w:hAnsi="Times New Roman"/>
          <w:sz w:val="16"/>
          <w:szCs w:val="16"/>
          <w:b w:val="1"/>
          <w:bCs w:val="1"/>
          <w:color w:val="auto"/>
        </w:rPr>
        <w:t>Execution Date</w:t>
      </w:r>
      <w:r>
        <w:rPr>
          <w:rFonts w:ascii="Times New Roman" w:cs="Times New Roman" w:eastAsia="Times New Roman" w:hAnsi="Times New Roman"/>
          <w:sz w:val="16"/>
          <w:szCs w:val="16"/>
          <w:color w:val="auto"/>
        </w:rPr>
        <w:t>”) by and among:</w:t>
      </w:r>
    </w:p>
    <w:p>
      <w:pPr>
        <w:spacing w:after="0" w:line="195" w:lineRule="exact"/>
        <w:rPr>
          <w:sz w:val="20"/>
          <w:szCs w:val="20"/>
          <w:color w:val="auto"/>
        </w:rPr>
      </w:pPr>
    </w:p>
    <w:p>
      <w:pPr>
        <w:jc w:val="both"/>
        <w:ind w:left="300" w:hanging="300"/>
        <w:spacing w:after="0" w:line="266" w:lineRule="auto"/>
        <w:tabs>
          <w:tab w:leader="none" w:pos="30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Hefei Jianheng New Energy Automobile Investment Fund Partnership (Limited Partnership), a limited partnership duly established and existing under the laws of the People’s Republic of China (the “</w:t>
      </w:r>
      <w:r>
        <w:rPr>
          <w:rFonts w:ascii="Times New Roman" w:cs="Times New Roman" w:eastAsia="Times New Roman" w:hAnsi="Times New Roman"/>
          <w:sz w:val="16"/>
          <w:szCs w:val="16"/>
          <w:b w:val="1"/>
          <w:bCs w:val="1"/>
          <w:color w:val="auto"/>
        </w:rPr>
        <w:t>PRC</w:t>
      </w:r>
      <w:r>
        <w:rPr>
          <w:rFonts w:ascii="Times New Roman" w:cs="Times New Roman" w:eastAsia="Times New Roman" w:hAnsi="Times New Roman"/>
          <w:sz w:val="16"/>
          <w:szCs w:val="16"/>
          <w:color w:val="auto"/>
        </w:rPr>
        <w:t>”, for the purpose of this Amendment and Supplementary Agreement II, excluding the Hong Kong Special Administrative Region, the Macao Special Administrative Region and Taiwan), holding a business license with unified social credit code of 91340111MA2UU69EX8, and with its executive partner being Hefei Construction Investment Capital Management Co., Ltd., and registered office at Room 101, Area G, Intelligent Equipment Technology Park, No. 3963 Susong Road, Economic and Technological Development Area, Hefei City, Anhui Province (“</w:t>
      </w:r>
      <w:r>
        <w:rPr>
          <w:rFonts w:ascii="Times New Roman" w:cs="Times New Roman" w:eastAsia="Times New Roman" w:hAnsi="Times New Roman"/>
          <w:sz w:val="16"/>
          <w:szCs w:val="16"/>
          <w:b w:val="1"/>
          <w:bCs w:val="1"/>
          <w:color w:val="auto"/>
        </w:rPr>
        <w:t>Jianheng New Energy Fund</w:t>
      </w:r>
      <w:r>
        <w:rPr>
          <w:rFonts w:ascii="Times New Roman" w:cs="Times New Roman" w:eastAsia="Times New Roman" w:hAnsi="Times New Roman"/>
          <w:sz w:val="16"/>
          <w:szCs w:val="16"/>
          <w:color w:val="auto"/>
        </w:rPr>
        <w:t>”);</w:t>
      </w:r>
    </w:p>
    <w:p>
      <w:pPr>
        <w:spacing w:after="0" w:line="162" w:lineRule="exact"/>
        <w:rPr>
          <w:rFonts w:ascii="Times New Roman" w:cs="Times New Roman" w:eastAsia="Times New Roman" w:hAnsi="Times New Roman"/>
          <w:sz w:val="16"/>
          <w:szCs w:val="16"/>
          <w:color w:val="auto"/>
        </w:rPr>
      </w:pPr>
    </w:p>
    <w:p>
      <w:pPr>
        <w:jc w:val="both"/>
        <w:ind w:left="300" w:hanging="300"/>
        <w:spacing w:after="0" w:line="278" w:lineRule="auto"/>
        <w:tabs>
          <w:tab w:leader="none" w:pos="30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Hefei Jianxiang Investment Co., Ltd., a limited liability company duly established and existing under the laws of the PRC, holding a business license with unified social credit code of 91340100060811593C, and with its legal representative being ZHAO Zhanghua and registered office at NO. 229, Wuhan Road, Binhu New District, Hefei City (“</w:t>
      </w:r>
      <w:r>
        <w:rPr>
          <w:rFonts w:ascii="Times New Roman" w:cs="Times New Roman" w:eastAsia="Times New Roman" w:hAnsi="Times New Roman"/>
          <w:sz w:val="16"/>
          <w:szCs w:val="16"/>
          <w:b w:val="1"/>
          <w:bCs w:val="1"/>
          <w:color w:val="auto"/>
        </w:rPr>
        <w:t>Hefei Jianxiang</w:t>
      </w:r>
      <w:r>
        <w:rPr>
          <w:rFonts w:ascii="Times New Roman" w:cs="Times New Roman" w:eastAsia="Times New Roman" w:hAnsi="Times New Roman"/>
          <w:sz w:val="16"/>
          <w:szCs w:val="16"/>
          <w:color w:val="auto"/>
        </w:rPr>
        <w:t>”);</w:t>
      </w:r>
    </w:p>
    <w:p>
      <w:pPr>
        <w:spacing w:after="0" w:line="152" w:lineRule="exact"/>
        <w:rPr>
          <w:rFonts w:ascii="Times New Roman" w:cs="Times New Roman" w:eastAsia="Times New Roman" w:hAnsi="Times New Roman"/>
          <w:sz w:val="16"/>
          <w:szCs w:val="16"/>
          <w:color w:val="auto"/>
        </w:rPr>
      </w:pPr>
    </w:p>
    <w:p>
      <w:pPr>
        <w:jc w:val="both"/>
        <w:ind w:left="300" w:hanging="300"/>
        <w:spacing w:after="0" w:line="278" w:lineRule="auto"/>
        <w:tabs>
          <w:tab w:leader="none" w:pos="30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CS Capital Co., Ltd., a limited liability company duly established and existing under the laws of the PRC, holding a business license with unified social credit code of 91130600MA094UG35F, and with its legal representative being GAO Guohua and registered office at North Dong Ao Wei Road, Luosa Street, Rongcheng County, Baoding City, Hebei Province (“</w:t>
      </w:r>
      <w:r>
        <w:rPr>
          <w:rFonts w:ascii="Times New Roman" w:cs="Times New Roman" w:eastAsia="Times New Roman" w:hAnsi="Times New Roman"/>
          <w:sz w:val="16"/>
          <w:szCs w:val="16"/>
          <w:b w:val="1"/>
          <w:bCs w:val="1"/>
          <w:color w:val="auto"/>
        </w:rPr>
        <w:t>CS Capital</w:t>
      </w:r>
      <w:r>
        <w:rPr>
          <w:rFonts w:ascii="Times New Roman" w:cs="Times New Roman" w:eastAsia="Times New Roman" w:hAnsi="Times New Roman"/>
          <w:sz w:val="16"/>
          <w:szCs w:val="16"/>
          <w:color w:val="auto"/>
        </w:rPr>
        <w:t>”);</w:t>
      </w:r>
    </w:p>
    <w:p>
      <w:pPr>
        <w:spacing w:after="0" w:line="152" w:lineRule="exact"/>
        <w:rPr>
          <w:rFonts w:ascii="Times New Roman" w:cs="Times New Roman" w:eastAsia="Times New Roman" w:hAnsi="Times New Roman"/>
          <w:sz w:val="16"/>
          <w:szCs w:val="16"/>
          <w:color w:val="auto"/>
        </w:rPr>
      </w:pPr>
    </w:p>
    <w:p>
      <w:pPr>
        <w:ind w:left="300" w:hanging="300"/>
        <w:spacing w:after="0" w:line="298" w:lineRule="auto"/>
        <w:tabs>
          <w:tab w:leader="none" w:pos="30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Advanced Manufacturing Industry Investment Fund II (Limited Partnership), a limited partnership duly established and existing under the laws of the PRC,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74" w:name="page275"/>
    <w:bookmarkEnd w:id="274"/>
    <w:p>
      <w:pPr>
        <w:jc w:val="both"/>
        <w:ind w:left="300"/>
        <w:spacing w:after="0" w:line="278" w:lineRule="auto"/>
        <w:rPr>
          <w:sz w:val="20"/>
          <w:szCs w:val="20"/>
          <w:color w:val="auto"/>
        </w:rPr>
      </w:pPr>
      <w:r>
        <w:rPr>
          <w:rFonts w:ascii="Times New Roman" w:cs="Times New Roman" w:eastAsia="Times New Roman" w:hAnsi="Times New Roman"/>
          <w:sz w:val="16"/>
          <w:szCs w:val="16"/>
          <w:color w:val="auto"/>
        </w:rPr>
        <w:t>holding a business license with unified social credit code of 91320191MA1YK7YA6J, and with its executive partner being CS Capital Co., Ltd., and registered office at Room 1380, Fuying Building, No. 99 Tuanjie Road, Research and Innovation Park, Jiangbei New Area, Nanjing City (“</w:t>
      </w:r>
      <w:r>
        <w:rPr>
          <w:rFonts w:ascii="Times New Roman" w:cs="Times New Roman" w:eastAsia="Times New Roman" w:hAnsi="Times New Roman"/>
          <w:sz w:val="16"/>
          <w:szCs w:val="16"/>
          <w:b w:val="1"/>
          <w:bCs w:val="1"/>
          <w:color w:val="auto"/>
        </w:rPr>
        <w:t>Advanced Manufacturing Industry Investment Fund</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left="300" w:hanging="300"/>
        <w:spacing w:after="0" w:line="238" w:lineRule="auto"/>
        <w:tabs>
          <w:tab w:leader="none" w:pos="30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Anhui Emerging Industry Yuwen Weiyuan Technology Partnership Enterprise (Limited Partnership), a limited partnership duly established and existing under the laws of the PRC, holding a business license with unified social credit code of 91340100MAE0UF7A30, and with its executive partner being Anhui Zhong’an Xingyuan Investment Management Co., Ltd, and registered office at Room 3921, 39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 NO.A1 Building, Zhong’an Chuanggu Science and Technology Park, No. 920 Wangjiang West Road, Chengxiqiao Community Service Center, High-tech Zone, Hefei City, Anhui Province (“</w:t>
      </w:r>
      <w:r>
        <w:rPr>
          <w:rFonts w:ascii="Times New Roman" w:cs="Times New Roman" w:eastAsia="Times New Roman" w:hAnsi="Times New Roman"/>
          <w:sz w:val="16"/>
          <w:szCs w:val="16"/>
          <w:b w:val="1"/>
          <w:bCs w:val="1"/>
          <w:color w:val="auto"/>
        </w:rPr>
        <w:t>Anhui Emerging Industry Yuwen Weiyuan Technology</w:t>
      </w:r>
      <w:r>
        <w:rPr>
          <w:rFonts w:ascii="Times New Roman" w:cs="Times New Roman" w:eastAsia="Times New Roman" w:hAnsi="Times New Roman"/>
          <w:sz w:val="16"/>
          <w:szCs w:val="16"/>
          <w:color w:val="auto"/>
        </w:rPr>
        <w:t>”);</w:t>
      </w:r>
    </w:p>
    <w:p>
      <w:pPr>
        <w:spacing w:after="0" w:line="184" w:lineRule="exact"/>
        <w:rPr>
          <w:rFonts w:ascii="Times New Roman" w:cs="Times New Roman" w:eastAsia="Times New Roman" w:hAnsi="Times New Roman"/>
          <w:sz w:val="16"/>
          <w:szCs w:val="16"/>
          <w:color w:val="auto"/>
        </w:rPr>
      </w:pPr>
    </w:p>
    <w:p>
      <w:pPr>
        <w:jc w:val="both"/>
        <w:ind w:left="300" w:hanging="300"/>
        <w:spacing w:after="0" w:line="271" w:lineRule="auto"/>
        <w:tabs>
          <w:tab w:leader="none" w:pos="30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Anhui Provincial Sanzhong Yichuang Industry Development Fund Co., Ltd., a limited liability company duly established and existing under the laws of the PRC, holding a business license with unified social credit code of 91340100MA2NUJ2A1H, and with its legal representative being XU Xianlu, and registered address at Room 424, Technology and Innovation Center, No. 860 West Wangjiang Road, High-tech District, Hefei City (“</w:t>
      </w:r>
      <w:r>
        <w:rPr>
          <w:rFonts w:ascii="Times New Roman" w:cs="Times New Roman" w:eastAsia="Times New Roman" w:hAnsi="Times New Roman"/>
          <w:sz w:val="16"/>
          <w:szCs w:val="16"/>
          <w:b w:val="1"/>
          <w:bCs w:val="1"/>
          <w:color w:val="auto"/>
        </w:rPr>
        <w:t>Anhui Sanzhong Yichuang</w:t>
      </w:r>
      <w:r>
        <w:rPr>
          <w:rFonts w:ascii="Times New Roman" w:cs="Times New Roman" w:eastAsia="Times New Roman" w:hAnsi="Times New Roman"/>
          <w:sz w:val="16"/>
          <w:szCs w:val="16"/>
          <w:color w:val="auto"/>
        </w:rPr>
        <w:t>”);</w:t>
      </w:r>
    </w:p>
    <w:p>
      <w:pPr>
        <w:spacing w:after="0" w:line="159" w:lineRule="exact"/>
        <w:rPr>
          <w:rFonts w:ascii="Times New Roman" w:cs="Times New Roman" w:eastAsia="Times New Roman" w:hAnsi="Times New Roman"/>
          <w:sz w:val="16"/>
          <w:szCs w:val="16"/>
          <w:color w:val="auto"/>
        </w:rPr>
      </w:pPr>
    </w:p>
    <w:p>
      <w:pPr>
        <w:jc w:val="both"/>
        <w:ind w:left="300" w:hanging="300"/>
        <w:spacing w:after="0" w:line="268" w:lineRule="auto"/>
        <w:tabs>
          <w:tab w:leader="none" w:pos="30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Anhui Jintong New Energy Automobile II Fund Partnership (Limited Partnership), a limited partnership duly established and existing under the laws of the PRC, holding a business license with unified social credit code of 91340800MA2UE54B3J, and with its executive partner being Anhui JinTong New Energy II Investment Management Partnership (Limited Partnership), and registered office at Room 616-1, NO.1 Building, Zhumeng New Area, No. 188 Wenyuan Road, Yixiu District, Anqing City, Anhui Province (“</w:t>
      </w:r>
      <w:r>
        <w:rPr>
          <w:rFonts w:ascii="Times New Roman" w:cs="Times New Roman" w:eastAsia="Times New Roman" w:hAnsi="Times New Roman"/>
          <w:sz w:val="16"/>
          <w:szCs w:val="16"/>
          <w:b w:val="1"/>
          <w:bCs w:val="1"/>
          <w:color w:val="auto"/>
        </w:rPr>
        <w:t>New Energy Automobile Fund</w:t>
      </w:r>
      <w:r>
        <w:rPr>
          <w:rFonts w:ascii="Times New Roman" w:cs="Times New Roman" w:eastAsia="Times New Roman" w:hAnsi="Times New Roman"/>
          <w:sz w:val="16"/>
          <w:szCs w:val="16"/>
          <w:color w:val="auto"/>
        </w:rPr>
        <w:t>”, together with Jianheng New Energy Fund, Hefei Jianxiang, CS Capital and/or its designated investment entity, Advanced Manufacturing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75" w:name="page276"/>
    <w:bookmarkEnd w:id="275"/>
    <w:p>
      <w:pPr>
        <w:ind w:left="300"/>
        <w:spacing w:after="0" w:line="298" w:lineRule="auto"/>
        <w:rPr>
          <w:sz w:val="20"/>
          <w:szCs w:val="20"/>
          <w:color w:val="auto"/>
        </w:rPr>
      </w:pPr>
      <w:r>
        <w:rPr>
          <w:rFonts w:ascii="Times New Roman" w:cs="Times New Roman" w:eastAsia="Times New Roman" w:hAnsi="Times New Roman"/>
          <w:sz w:val="16"/>
          <w:szCs w:val="16"/>
          <w:color w:val="auto"/>
        </w:rPr>
        <w:t>Industry Investment Fund, Anhui Emerging Industry Yuwen Weiyuan Technology and Anhui Sanzhong Yichuang, collectively referred to as the “</w:t>
      </w:r>
      <w:r>
        <w:rPr>
          <w:rFonts w:ascii="Times New Roman" w:cs="Times New Roman" w:eastAsia="Times New Roman" w:hAnsi="Times New Roman"/>
          <w:sz w:val="16"/>
          <w:szCs w:val="16"/>
          <w:b w:val="1"/>
          <w:bCs w:val="1"/>
          <w:color w:val="auto"/>
        </w:rPr>
        <w:t>Investors</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ind w:left="300" w:hanging="300"/>
        <w:spacing w:after="0" w:line="298" w:lineRule="auto"/>
        <w:tabs>
          <w:tab w:leader="none" w:pos="30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Inc., a company duly established and existing under the laws of the Cayman Islands, with its registered address at PO Box 309, Ugland House, Grand Cayman, KY1-1104, Cayman Islands (“</w:t>
      </w:r>
      <w:r>
        <w:rPr>
          <w:rFonts w:ascii="Times New Roman" w:cs="Times New Roman" w:eastAsia="Times New Roman" w:hAnsi="Times New Roman"/>
          <w:sz w:val="16"/>
          <w:szCs w:val="16"/>
          <w:b w:val="1"/>
          <w:bCs w:val="1"/>
          <w:color w:val="auto"/>
        </w:rPr>
        <w:t>NIO Inc.</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300" w:hanging="300"/>
        <w:spacing w:after="0" w:line="298" w:lineRule="auto"/>
        <w:tabs>
          <w:tab w:leader="none" w:pos="30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Nextev Limited, a limited company duly organized and validly existing under the laws of Hong Kong, with company number of 2199750 and its registered address at Room 2609, China Resources Building, 26 Harbour Road, Wanchai, Hong Kong (“</w:t>
      </w:r>
      <w:r>
        <w:rPr>
          <w:rFonts w:ascii="Times New Roman" w:cs="Times New Roman" w:eastAsia="Times New Roman" w:hAnsi="Times New Roman"/>
          <w:sz w:val="16"/>
          <w:szCs w:val="16"/>
          <w:b w:val="1"/>
          <w:bCs w:val="1"/>
          <w:color w:val="auto"/>
        </w:rPr>
        <w:t>NIO HK</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300" w:hanging="300"/>
        <w:spacing w:after="0" w:line="298" w:lineRule="auto"/>
        <w:tabs>
          <w:tab w:leader="none" w:pos="30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User Enterprise Limited, a limited company duly organized and validly existing under the laws of Hong Kong, with company number of 2487823 and its registered address at Room 2609, China Resources Building, 26 Harbour Road, Wanchai, Hong Kong (“</w:t>
      </w:r>
      <w:r>
        <w:rPr>
          <w:rFonts w:ascii="Times New Roman" w:cs="Times New Roman" w:eastAsia="Times New Roman" w:hAnsi="Times New Roman"/>
          <w:sz w:val="16"/>
          <w:szCs w:val="16"/>
          <w:b w:val="1"/>
          <w:bCs w:val="1"/>
          <w:color w:val="auto"/>
        </w:rPr>
        <w:t>UE HK</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jc w:val="both"/>
        <w:ind w:left="300" w:hanging="300"/>
        <w:spacing w:after="0" w:line="278" w:lineRule="auto"/>
        <w:tabs>
          <w:tab w:leader="none" w:pos="30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Power Express Limited, a limited company duly organized and validly existing under the laws of Hong Kong, with company number of 2472480 and its registered address at Room 2609, China Resources Building, 26 Harbour Road, Wanchai, Hong Kong (“</w:t>
      </w:r>
      <w:r>
        <w:rPr>
          <w:rFonts w:ascii="Times New Roman" w:cs="Times New Roman" w:eastAsia="Times New Roman" w:hAnsi="Times New Roman"/>
          <w:sz w:val="16"/>
          <w:szCs w:val="16"/>
          <w:b w:val="1"/>
          <w:bCs w:val="1"/>
          <w:color w:val="auto"/>
        </w:rPr>
        <w:t>PE HK</w:t>
      </w:r>
      <w:r>
        <w:rPr>
          <w:rFonts w:ascii="Times New Roman" w:cs="Times New Roman" w:eastAsia="Times New Roman" w:hAnsi="Times New Roman"/>
          <w:sz w:val="16"/>
          <w:szCs w:val="16"/>
          <w:color w:val="auto"/>
        </w:rPr>
        <w:t>”, together with NIO HK and UE HK, the “</w:t>
      </w:r>
      <w:r>
        <w:rPr>
          <w:rFonts w:ascii="Times New Roman" w:cs="Times New Roman" w:eastAsia="Times New Roman" w:hAnsi="Times New Roman"/>
          <w:sz w:val="16"/>
          <w:szCs w:val="16"/>
          <w:b w:val="1"/>
          <w:bCs w:val="1"/>
          <w:color w:val="auto"/>
        </w:rPr>
        <w:t>NIO HK Holding Platforms</w:t>
      </w:r>
      <w:r>
        <w:rPr>
          <w:rFonts w:ascii="Times New Roman" w:cs="Times New Roman" w:eastAsia="Times New Roman" w:hAnsi="Times New Roman"/>
          <w:sz w:val="16"/>
          <w:szCs w:val="16"/>
          <w:color w:val="auto"/>
        </w:rPr>
        <w:t>”; together with NIO Inc., the “</w:t>
      </w:r>
      <w:r>
        <w:rPr>
          <w:rFonts w:ascii="Times New Roman" w:cs="Times New Roman" w:eastAsia="Times New Roman" w:hAnsi="Times New Roman"/>
          <w:sz w:val="16"/>
          <w:szCs w:val="16"/>
          <w:b w:val="1"/>
          <w:bCs w:val="1"/>
          <w:color w:val="auto"/>
        </w:rPr>
        <w:t>NIO Parties</w:t>
      </w:r>
      <w:r>
        <w:rPr>
          <w:rFonts w:ascii="Times New Roman" w:cs="Times New Roman" w:eastAsia="Times New Roman" w:hAnsi="Times New Roman"/>
          <w:sz w:val="16"/>
          <w:szCs w:val="16"/>
          <w:color w:val="auto"/>
        </w:rPr>
        <w:t>”);</w:t>
      </w:r>
    </w:p>
    <w:p>
      <w:pPr>
        <w:spacing w:after="0" w:line="152" w:lineRule="exact"/>
        <w:rPr>
          <w:rFonts w:ascii="Times New Roman" w:cs="Times New Roman" w:eastAsia="Times New Roman" w:hAnsi="Times New Roman"/>
          <w:sz w:val="16"/>
          <w:szCs w:val="16"/>
          <w:color w:val="auto"/>
        </w:rPr>
      </w:pPr>
    </w:p>
    <w:p>
      <w:pPr>
        <w:jc w:val="both"/>
        <w:ind w:left="300" w:hanging="300"/>
        <w:spacing w:after="0" w:line="271" w:lineRule="auto"/>
        <w:tabs>
          <w:tab w:leader="none" w:pos="30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NIO Holding Co., Ltd., a limited liability company duly organized and validly existing under the laws of the PRC, holding a business license with unified social credit code of 91340111MA2RAD3M4R, and with its legal representative being LI Bin, and registered address at Building F, Hengchuang Intelligent Technology Park, No. 3963 Susong Road, Economic and Technological Development Area, Hefei City, Anhui Province (“</w:t>
      </w:r>
      <w:r>
        <w:rPr>
          <w:rFonts w:ascii="Times New Roman" w:cs="Times New Roman" w:eastAsia="Times New Roman" w:hAnsi="Times New Roman"/>
          <w:sz w:val="16"/>
          <w:szCs w:val="16"/>
          <w:b w:val="1"/>
          <w:bCs w:val="1"/>
          <w:color w:val="auto"/>
        </w:rPr>
        <w:t>NIO China</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Target Company</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this Amendment and Supplementary Agreement II, the above parties are referred to individually as a “Party” and collectively as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76" w:name="page277"/>
    <w:bookmarkEnd w:id="276"/>
    <w:p>
      <w:pPr>
        <w:spacing w:after="0" w:line="298" w:lineRule="auto"/>
        <w:rPr>
          <w:sz w:val="20"/>
          <w:szCs w:val="20"/>
          <w:color w:val="auto"/>
        </w:rPr>
      </w:pPr>
      <w:r>
        <w:rPr>
          <w:rFonts w:ascii="Times New Roman" w:cs="Times New Roman" w:eastAsia="Times New Roman" w:hAnsi="Times New Roman"/>
          <w:sz w:val="16"/>
          <w:szCs w:val="16"/>
          <w:color w:val="auto"/>
        </w:rPr>
        <w:t>Except as otherwise provided in this Amendment and Supplementary Agreement II, the terms in this Amendment and Supplementary Agreement II shall bear the same meaning and be subject to the same rule of interpretation as given in the Shareholders Agreement (as defined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WHEREAS:</w:t>
      </w:r>
    </w:p>
    <w:p>
      <w:pPr>
        <w:spacing w:after="0" w:line="212" w:lineRule="exact"/>
        <w:rPr>
          <w:sz w:val="20"/>
          <w:szCs w:val="20"/>
          <w:color w:val="auto"/>
        </w:rPr>
      </w:pPr>
    </w:p>
    <w:p>
      <w:pPr>
        <w:ind w:left="300" w:hanging="300"/>
        <w:spacing w:after="0" w:line="303" w:lineRule="auto"/>
        <w:tabs>
          <w:tab w:leader="none" w:pos="30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the NIO Parties, CS Capital, Anhui Provincial Emerging Industry Investment Co., Ltd. (“</w:t>
      </w:r>
      <w:r>
        <w:rPr>
          <w:rFonts w:ascii="Times New Roman" w:cs="Times New Roman" w:eastAsia="Times New Roman" w:hAnsi="Times New Roman"/>
          <w:sz w:val="16"/>
          <w:szCs w:val="16"/>
          <w:b w:val="1"/>
          <w:bCs w:val="1"/>
          <w:color w:val="auto"/>
        </w:rPr>
        <w:t>Anhui High-tech Co.</w:t>
      </w:r>
      <w:r>
        <w:rPr>
          <w:rFonts w:ascii="Times New Roman" w:cs="Times New Roman" w:eastAsia="Times New Roman" w:hAnsi="Times New Roman"/>
          <w:sz w:val="16"/>
          <w:szCs w:val="16"/>
          <w:color w:val="auto"/>
        </w:rPr>
        <w:t>”) and Jianheng New Energy Fund entered into a NIO China Series B Investment Agreement (the “</w:t>
      </w:r>
      <w:r>
        <w:rPr>
          <w:rFonts w:ascii="Times New Roman" w:cs="Times New Roman" w:eastAsia="Times New Roman" w:hAnsi="Times New Roman"/>
          <w:sz w:val="16"/>
          <w:szCs w:val="16"/>
          <w:b w:val="1"/>
          <w:bCs w:val="1"/>
          <w:color w:val="auto"/>
        </w:rPr>
        <w:t>Series B Investment Agreement</w:t>
      </w:r>
      <w:r>
        <w:rPr>
          <w:rFonts w:ascii="Times New Roman" w:cs="Times New Roman" w:eastAsia="Times New Roman" w:hAnsi="Times New Roman"/>
          <w:sz w:val="16"/>
          <w:szCs w:val="16"/>
          <w:color w:val="auto"/>
        </w:rPr>
        <w:t>”) on September 30, 2024;</w:t>
      </w:r>
    </w:p>
    <w:p>
      <w:pPr>
        <w:spacing w:after="0" w:line="133" w:lineRule="exact"/>
        <w:rPr>
          <w:rFonts w:ascii="Times New Roman" w:cs="Times New Roman" w:eastAsia="Times New Roman" w:hAnsi="Times New Roman"/>
          <w:sz w:val="16"/>
          <w:szCs w:val="16"/>
          <w:color w:val="auto"/>
        </w:rPr>
      </w:pPr>
    </w:p>
    <w:p>
      <w:pPr>
        <w:jc w:val="both"/>
        <w:ind w:left="300" w:hanging="300"/>
        <w:spacing w:after="0" w:line="278" w:lineRule="auto"/>
        <w:tabs>
          <w:tab w:leader="none" w:pos="30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the NIO Parties, CS Capital, Anhui High-tech Co., Jianheng New Energy Fund, Advanced Manufacturing Industry Investment Fund, Anhui Sanzhong Yichuang and New Energy Automobile Fund entered into a NIO China Shareholders Agreement (the “</w:t>
      </w:r>
      <w:r>
        <w:rPr>
          <w:rFonts w:ascii="Times New Roman" w:cs="Times New Roman" w:eastAsia="Times New Roman" w:hAnsi="Times New Roman"/>
          <w:sz w:val="16"/>
          <w:szCs w:val="16"/>
          <w:b w:val="1"/>
          <w:bCs w:val="1"/>
          <w:color w:val="auto"/>
        </w:rPr>
        <w:t>Shareholders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on September 30, 2024;</w:t>
      </w:r>
    </w:p>
    <w:p>
      <w:pPr>
        <w:spacing w:after="0" w:line="152" w:lineRule="exact"/>
        <w:rPr>
          <w:rFonts w:ascii="Times New Roman" w:cs="Times New Roman" w:eastAsia="Times New Roman" w:hAnsi="Times New Roman"/>
          <w:sz w:val="16"/>
          <w:szCs w:val="16"/>
          <w:color w:val="auto"/>
        </w:rPr>
      </w:pPr>
    </w:p>
    <w:p>
      <w:pPr>
        <w:jc w:val="both"/>
        <w:ind w:left="300" w:hanging="300"/>
        <w:spacing w:after="0" w:line="271" w:lineRule="auto"/>
        <w:tabs>
          <w:tab w:leader="none" w:pos="30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the NIO Parties, CS Capital, Anhui High-tech Co., Jianheng New Energy Fund, Advanced Manufacturing Industry Investment Fund, Anhui Sanzhong Yichuang, New Energy Automobile Fund, Hefei Jianxiang and Anhui Emerging Industry Yuwen Weiyuan Technology entered into an Amendment and Supplementary Agreement to NIO China Shareholders Agreement (the “</w:t>
      </w:r>
      <w:r>
        <w:rPr>
          <w:rFonts w:ascii="Times New Roman" w:cs="Times New Roman" w:eastAsia="Times New Roman" w:hAnsi="Times New Roman"/>
          <w:sz w:val="16"/>
          <w:szCs w:val="16"/>
          <w:b w:val="1"/>
          <w:bCs w:val="1"/>
          <w:color w:val="auto"/>
        </w:rPr>
        <w:t>Amendment and Supplementary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 I</w:t>
      </w:r>
      <w:r>
        <w:rPr>
          <w:rFonts w:ascii="Times New Roman" w:cs="Times New Roman" w:eastAsia="Times New Roman" w:hAnsi="Times New Roman"/>
          <w:sz w:val="16"/>
          <w:szCs w:val="16"/>
          <w:color w:val="auto"/>
        </w:rPr>
        <w:t>”) on December 28, 2024;</w:t>
      </w:r>
    </w:p>
    <w:p>
      <w:pPr>
        <w:spacing w:after="0" w:line="159" w:lineRule="exact"/>
        <w:rPr>
          <w:rFonts w:ascii="Times New Roman" w:cs="Times New Roman" w:eastAsia="Times New Roman" w:hAnsi="Times New Roman"/>
          <w:sz w:val="16"/>
          <w:szCs w:val="16"/>
          <w:color w:val="auto"/>
        </w:rPr>
      </w:pPr>
    </w:p>
    <w:p>
      <w:pPr>
        <w:jc w:val="both"/>
        <w:ind w:left="300" w:hanging="300"/>
        <w:spacing w:after="0" w:line="271" w:lineRule="auto"/>
        <w:tabs>
          <w:tab w:leader="none" w:pos="30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Jianheng New Energy Fund hereby designates Hefei Jianxiang to succeed to all of its rights and obligations as a Series B Investor under the Shareholders Agreement, as well as the nomination right of an Investor Director, in accordance with the Amendment and Supplementary Agreement I; Anhui High-tech Co. hereby designates Anhui Emerging Industry Yuwen Weiyuan Technology to succeed to all of its rights and obligations as a Series B Investor under the Shareholders Agreement in accordance with the Amendment and Supplementary Agreement I;</w:t>
      </w:r>
    </w:p>
    <w:p>
      <w:pPr>
        <w:spacing w:after="0" w:line="159" w:lineRule="exact"/>
        <w:rPr>
          <w:rFonts w:ascii="Times New Roman" w:cs="Times New Roman" w:eastAsia="Times New Roman" w:hAnsi="Times New Roman"/>
          <w:sz w:val="16"/>
          <w:szCs w:val="16"/>
          <w:color w:val="auto"/>
        </w:rPr>
      </w:pPr>
    </w:p>
    <w:p>
      <w:pPr>
        <w:jc w:val="both"/>
        <w:ind w:left="300" w:hanging="300"/>
        <w:spacing w:after="0" w:line="278" w:lineRule="auto"/>
        <w:tabs>
          <w:tab w:leader="none" w:pos="30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the NIO Parties, Jianheng New Energy Fund, Hefei Jianxiang, Advanced Manufacturing Industry Investment Fund, Anhui Emerging Industry Yuwen Weiyuan Technology, Anhui Sanzhong Yichuang and New Energy Automobile Fund entered into a NIO China Capital Increase Agreement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77" w:name="page278"/>
    <w:bookmarkEnd w:id="277"/>
    <w:tbl>
      <w:tblPr>
        <w:tblLayout w:type="fixed"/>
        <w:tblInd w:w="300" w:type="dxa"/>
        <w:tblCellMar>
          <w:top w:w="0" w:type="dxa"/>
          <w:left w:w="0" w:type="dxa"/>
          <w:bottom w:w="0" w:type="dxa"/>
          <w:right w:w="0" w:type="dxa"/>
        </w:tblCellMar>
      </w:tblPr>
      <w:tr>
        <w:trPr>
          <w:trHeight w:val="184"/>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Increase Agreement</w:t>
            </w:r>
            <w:r>
              <w:rPr>
                <w:rFonts w:ascii="Times New Roman" w:cs="Times New Roman" w:eastAsia="Times New Roman" w:hAnsi="Times New Roman"/>
                <w:sz w:val="16"/>
                <w:szCs w:val="16"/>
                <w:color w:val="auto"/>
              </w:rPr>
              <w:t>”) on</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2025, pursuant to which the NIO HK Holding Platforms shall make a capital contribution to NIO</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China; and</w:t>
            </w: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60" w:type="dxa"/>
            <w:vAlign w:val="bottom"/>
          </w:tcPr>
          <w:p>
            <w:pPr>
              <w:spacing w:after="0"/>
              <w:rPr>
                <w:sz w:val="18"/>
                <w:szCs w:val="18"/>
                <w:color w:val="auto"/>
              </w:rPr>
            </w:pPr>
          </w:p>
        </w:tc>
      </w:tr>
    </w:tbl>
    <w:p>
      <w:pPr>
        <w:spacing w:after="0" w:line="181" w:lineRule="exact"/>
        <w:rPr>
          <w:sz w:val="20"/>
          <w:szCs w:val="20"/>
          <w:color w:val="auto"/>
        </w:rPr>
      </w:pPr>
    </w:p>
    <w:p>
      <w:pPr>
        <w:ind w:left="300" w:hanging="300"/>
        <w:spacing w:after="0" w:line="298" w:lineRule="auto"/>
        <w:tabs>
          <w:tab w:leader="none" w:pos="30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Parties hereby unanimously agree to make certain amendments and supplements to certain provisions of the Shareholders Agreement and the Amendment and Supplementary Agreement I in accordance with this Amendment and Supplementary Agreement II.</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NOW, THEREFORE, </w:t>
      </w:r>
      <w:r>
        <w:rPr>
          <w:rFonts w:ascii="Times New Roman" w:cs="Times New Roman" w:eastAsia="Times New Roman" w:hAnsi="Times New Roman"/>
          <w:sz w:val="16"/>
          <w:szCs w:val="16"/>
          <w:color w:val="auto"/>
        </w:rPr>
        <w:t>the Parties hereby unanimously agree to the following provisions:</w:t>
      </w:r>
    </w:p>
    <w:p>
      <w:pPr>
        <w:spacing w:after="0" w:line="216" w:lineRule="exact"/>
        <w:rPr>
          <w:sz w:val="20"/>
          <w:szCs w:val="20"/>
          <w:color w:val="auto"/>
        </w:rPr>
      </w:pPr>
    </w:p>
    <w:p>
      <w:pPr>
        <w:jc w:val="both"/>
        <w:ind w:left="300" w:hanging="300"/>
        <w:spacing w:after="0" w:line="278" w:lineRule="auto"/>
        <w:tabs>
          <w:tab w:leader="none" w:pos="30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hereby confirm and agree that, pursuant to the Capital Increase Agreement, NIO HK, UE HK and PE HK shall make a total capital contribution of RMB 20 billion to the Target Company at the same price as under the Series B Investment Agreement (as detailed in the table below), and the other Parties hereby waive their pre-emptive rights with respect to such capital increase.</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66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274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 Contribution</w:t>
            </w:r>
          </w:p>
        </w:tc>
        <w:tc>
          <w:tcPr>
            <w:tcW w:w="27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Corresponding</w:t>
            </w:r>
          </w:p>
        </w:tc>
        <w:tc>
          <w:tcPr>
            <w:tcW w:w="27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Premium included as</w:t>
            </w:r>
          </w:p>
        </w:tc>
        <w:tc>
          <w:tcPr>
            <w:tcW w:w="0" w:type="dxa"/>
            <w:vAlign w:val="bottom"/>
          </w:tcPr>
          <w:p>
            <w:pPr>
              <w:spacing w:after="0"/>
              <w:rPr>
                <w:sz w:val="1"/>
                <w:szCs w:val="1"/>
                <w:color w:val="auto"/>
              </w:rPr>
            </w:pPr>
          </w:p>
        </w:tc>
      </w:tr>
      <w:tr>
        <w:trPr>
          <w:trHeight w:val="99"/>
        </w:trPr>
        <w:tc>
          <w:tcPr>
            <w:tcW w:w="1660" w:type="dxa"/>
            <w:vAlign w:val="bottom"/>
            <w:tcBorders>
              <w:left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740" w:type="dxa"/>
            <w:vAlign w:val="bottom"/>
            <w:tcBorders>
              <w:right w:val="single" w:sz="8" w:color="auto"/>
            </w:tcBorders>
            <w:vMerge w:val="continue"/>
            <w:shd w:val="clear" w:color="auto" w:fill="F2F2F2"/>
          </w:tcPr>
          <w:p>
            <w:pPr>
              <w:spacing w:after="0"/>
              <w:rPr>
                <w:sz w:val="8"/>
                <w:szCs w:val="8"/>
                <w:color w:val="auto"/>
              </w:rPr>
            </w:pPr>
          </w:p>
        </w:tc>
        <w:tc>
          <w:tcPr>
            <w:tcW w:w="27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27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Surplus in the Capital</w:t>
            </w:r>
          </w:p>
        </w:tc>
        <w:tc>
          <w:tcPr>
            <w:tcW w:w="0" w:type="dxa"/>
            <w:vAlign w:val="bottom"/>
          </w:tcPr>
          <w:p>
            <w:pPr>
              <w:spacing w:after="0"/>
              <w:rPr>
                <w:sz w:val="1"/>
                <w:szCs w:val="1"/>
                <w:color w:val="auto"/>
              </w:rPr>
            </w:pPr>
          </w:p>
        </w:tc>
      </w:tr>
      <w:tr>
        <w:trPr>
          <w:trHeight w:val="99"/>
        </w:trPr>
        <w:tc>
          <w:tcPr>
            <w:tcW w:w="1660" w:type="dxa"/>
            <w:vAlign w:val="bottom"/>
            <w:tcBorders>
              <w:left w:val="single" w:sz="8" w:color="auto"/>
              <w:right w:val="single" w:sz="8" w:color="auto"/>
            </w:tcBorders>
            <w:vMerge w:val="continue"/>
            <w:shd w:val="clear" w:color="auto" w:fill="F2F2F2"/>
          </w:tcPr>
          <w:p>
            <w:pPr>
              <w:spacing w:after="0"/>
              <w:rPr>
                <w:sz w:val="8"/>
                <w:szCs w:val="8"/>
                <w:color w:val="auto"/>
              </w:rPr>
            </w:pPr>
          </w:p>
        </w:tc>
        <w:tc>
          <w:tcPr>
            <w:tcW w:w="27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(RMB)</w:t>
            </w:r>
          </w:p>
        </w:tc>
        <w:tc>
          <w:tcPr>
            <w:tcW w:w="2760" w:type="dxa"/>
            <w:vAlign w:val="bottom"/>
            <w:tcBorders>
              <w:right w:val="single" w:sz="8" w:color="auto"/>
            </w:tcBorders>
            <w:vMerge w:val="continue"/>
            <w:shd w:val="clear" w:color="auto" w:fill="F2F2F2"/>
          </w:tcPr>
          <w:p>
            <w:pPr>
              <w:spacing w:after="0"/>
              <w:rPr>
                <w:sz w:val="8"/>
                <w:szCs w:val="8"/>
                <w:color w:val="auto"/>
              </w:rPr>
            </w:pPr>
          </w:p>
        </w:tc>
        <w:tc>
          <w:tcPr>
            <w:tcW w:w="2760" w:type="dxa"/>
            <w:vAlign w:val="bottom"/>
            <w:tcBorders>
              <w:right w:val="single" w:sz="8" w:color="auto"/>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660" w:type="dxa"/>
            <w:vAlign w:val="bottom"/>
            <w:tcBorders>
              <w:left w:val="single" w:sz="8" w:color="auto"/>
              <w:right w:val="single" w:sz="8" w:color="auto"/>
            </w:tcBorders>
            <w:shd w:val="clear" w:color="auto" w:fill="F2F2F2"/>
          </w:tcPr>
          <w:p>
            <w:pPr>
              <w:spacing w:after="0"/>
              <w:rPr>
                <w:sz w:val="10"/>
                <w:szCs w:val="10"/>
                <w:color w:val="auto"/>
              </w:rPr>
            </w:pPr>
          </w:p>
        </w:tc>
        <w:tc>
          <w:tcPr>
            <w:tcW w:w="2740" w:type="dxa"/>
            <w:vAlign w:val="bottom"/>
            <w:tcBorders>
              <w:right w:val="single" w:sz="8" w:color="auto"/>
            </w:tcBorders>
            <w:vMerge w:val="continue"/>
            <w:shd w:val="clear" w:color="auto" w:fill="F2F2F2"/>
          </w:tcPr>
          <w:p>
            <w:pPr>
              <w:spacing w:after="0"/>
              <w:rPr>
                <w:sz w:val="10"/>
                <w:szCs w:val="10"/>
                <w:color w:val="auto"/>
              </w:rPr>
            </w:pPr>
          </w:p>
        </w:tc>
        <w:tc>
          <w:tcPr>
            <w:tcW w:w="27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 (RMB)</w:t>
            </w:r>
          </w:p>
        </w:tc>
        <w:tc>
          <w:tcPr>
            <w:tcW w:w="27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Reserve (RMB)</w:t>
            </w: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bottom w:val="single" w:sz="8" w:color="F2F2F2"/>
              <w:right w:val="single" w:sz="8" w:color="auto"/>
            </w:tcBorders>
            <w:shd w:val="clear" w:color="auto" w:fill="F2F2F2"/>
          </w:tcPr>
          <w:p>
            <w:pPr>
              <w:spacing w:after="0"/>
              <w:rPr>
                <w:sz w:val="10"/>
                <w:szCs w:val="10"/>
                <w:color w:val="auto"/>
              </w:rPr>
            </w:pPr>
          </w:p>
        </w:tc>
        <w:tc>
          <w:tcPr>
            <w:tcW w:w="2740" w:type="dxa"/>
            <w:vAlign w:val="bottom"/>
            <w:tcBorders>
              <w:bottom w:val="single" w:sz="8" w:color="F2F2F2"/>
              <w:right w:val="single" w:sz="8" w:color="auto"/>
            </w:tcBorders>
            <w:shd w:val="clear" w:color="auto" w:fill="F2F2F2"/>
          </w:tcPr>
          <w:p>
            <w:pPr>
              <w:spacing w:after="0"/>
              <w:rPr>
                <w:sz w:val="10"/>
                <w:szCs w:val="10"/>
                <w:color w:val="auto"/>
              </w:rPr>
            </w:pPr>
          </w:p>
        </w:tc>
        <w:tc>
          <w:tcPr>
            <w:tcW w:w="2760" w:type="dxa"/>
            <w:vAlign w:val="bottom"/>
            <w:tcBorders>
              <w:bottom w:val="single" w:sz="8" w:color="F2F2F2"/>
              <w:right w:val="single" w:sz="8" w:color="auto"/>
            </w:tcBorders>
            <w:vMerge w:val="continue"/>
            <w:shd w:val="clear" w:color="auto" w:fill="F2F2F2"/>
          </w:tcPr>
          <w:p>
            <w:pPr>
              <w:spacing w:after="0"/>
              <w:rPr>
                <w:sz w:val="10"/>
                <w:szCs w:val="10"/>
                <w:color w:val="auto"/>
              </w:rPr>
            </w:pPr>
          </w:p>
        </w:tc>
        <w:tc>
          <w:tcPr>
            <w:tcW w:w="2760" w:type="dxa"/>
            <w:vAlign w:val="bottom"/>
            <w:tcBorders>
              <w:bottom w:val="single" w:sz="8" w:color="F2F2F2"/>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NIO HK</w:t>
            </w: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15,569,038,789.70</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2,224,232,910.98</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13,344,805,878.72</w:t>
            </w:r>
          </w:p>
        </w:tc>
        <w:tc>
          <w:tcPr>
            <w:tcW w:w="0" w:type="dxa"/>
            <w:vAlign w:val="bottom"/>
          </w:tcPr>
          <w:p>
            <w:pPr>
              <w:spacing w:after="0"/>
              <w:rPr>
                <w:sz w:val="1"/>
                <w:szCs w:val="1"/>
                <w:color w:val="auto"/>
              </w:rPr>
            </w:pPr>
          </w:p>
        </w:tc>
      </w:tr>
      <w:tr>
        <w:trPr>
          <w:trHeight w:val="24"/>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UE HK</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4,228,884,952.01</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604,149,377.11</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3,624,735,574.90</w:t>
            </w:r>
          </w:p>
        </w:tc>
        <w:tc>
          <w:tcPr>
            <w:tcW w:w="0" w:type="dxa"/>
            <w:vAlign w:val="bottom"/>
          </w:tcPr>
          <w:p>
            <w:pPr>
              <w:spacing w:after="0"/>
              <w:rPr>
                <w:sz w:val="1"/>
                <w:szCs w:val="1"/>
                <w:color w:val="auto"/>
              </w:rPr>
            </w:pPr>
          </w:p>
        </w:tc>
      </w:tr>
      <w:tr>
        <w:trPr>
          <w:trHeight w:val="24"/>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 HK</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202,076,258.29</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28,869,133.82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173,207,124.47</w:t>
            </w:r>
          </w:p>
        </w:tc>
        <w:tc>
          <w:tcPr>
            <w:tcW w:w="0" w:type="dxa"/>
            <w:vAlign w:val="bottom"/>
          </w:tcPr>
          <w:p>
            <w:pPr>
              <w:spacing w:after="0"/>
              <w:rPr>
                <w:sz w:val="1"/>
                <w:szCs w:val="1"/>
                <w:color w:val="auto"/>
              </w:rPr>
            </w:pPr>
          </w:p>
        </w:tc>
      </w:tr>
      <w:tr>
        <w:trPr>
          <w:trHeight w:val="24"/>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TOTAL</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20,000,000,000.00</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2,857,251,421.91</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17,142,748,578.09</w:t>
            </w:r>
          </w:p>
        </w:tc>
        <w:tc>
          <w:tcPr>
            <w:tcW w:w="0" w:type="dxa"/>
            <w:vAlign w:val="bottom"/>
          </w:tcPr>
          <w:p>
            <w:pPr>
              <w:spacing w:after="0"/>
              <w:rPr>
                <w:sz w:val="1"/>
                <w:szCs w:val="1"/>
                <w:color w:val="auto"/>
              </w:rPr>
            </w:pPr>
          </w:p>
        </w:tc>
      </w:tr>
      <w:tr>
        <w:trPr>
          <w:trHeight w:val="24"/>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00" w:hanging="300"/>
        <w:spacing w:after="0"/>
        <w:tabs>
          <w:tab w:leader="none" w:pos="30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Article 5.1 of the Shareholders Agreement “Registered Capital” shall be amended as follows:</w:t>
      </w:r>
    </w:p>
    <w:p>
      <w:pPr>
        <w:spacing w:after="0" w:line="2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After the completion of this Transaction, the registered capital of the Target Company shall be RMB 11,186,139,316.78, of which:</w:t>
      </w:r>
    </w:p>
    <w:p>
      <w:pPr>
        <w:spacing w:after="0" w:line="212" w:lineRule="exact"/>
        <w:rPr>
          <w:sz w:val="20"/>
          <w:szCs w:val="20"/>
          <w:color w:val="auto"/>
        </w:rPr>
      </w:pPr>
    </w:p>
    <w:p>
      <w:pPr>
        <w:jc w:val="right"/>
        <w:ind w:left="300"/>
        <w:spacing w:after="0" w:line="269" w:lineRule="auto"/>
        <w:rPr>
          <w:sz w:val="20"/>
          <w:szCs w:val="20"/>
          <w:color w:val="auto"/>
        </w:rPr>
      </w:pPr>
      <w:r>
        <w:rPr>
          <w:rFonts w:ascii="Times New Roman" w:cs="Times New Roman" w:eastAsia="Times New Roman" w:hAnsi="Times New Roman"/>
          <w:sz w:val="16"/>
          <w:szCs w:val="16"/>
          <w:color w:val="auto"/>
        </w:rPr>
        <w:t>5.1.1   NIO HK shall subscribe to RMB 7,946,205,066.76, representing 71.0362% of the registered capital of the Target Company, of which RMB 372,632,867.14 shall be contributed in cash in RMB, RMB 2,293,891,006.40 shall be contributed in the form of equity interests in</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NIO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278" w:name="page279"/>
    <w:bookmarkEnd w:id="278"/>
    <w:p>
      <w:pPr>
        <w:jc w:val="both"/>
        <w:ind w:left="600"/>
        <w:spacing w:after="0" w:line="278" w:lineRule="auto"/>
        <w:rPr>
          <w:sz w:val="20"/>
          <w:szCs w:val="20"/>
          <w:color w:val="auto"/>
        </w:rPr>
      </w:pPr>
      <w:r>
        <w:rPr>
          <w:rFonts w:ascii="Times New Roman" w:cs="Times New Roman" w:eastAsia="Times New Roman" w:hAnsi="Times New Roman"/>
          <w:sz w:val="16"/>
          <w:szCs w:val="16"/>
          <w:color w:val="auto"/>
        </w:rPr>
        <w:t>Co., Ltd., RMB 1,441,454,545.44 shall be contributed in cash in RMB or in cash in equivalent USD, RMB 239,639,258.59 shall be contributed in the form of intellectual property rights, RMB 262,237,762.24 shall be contributed in cash in RMB, RMB 1,112,116,715.97 shall be contributed in cash in RMB, and RMB 2,224,232,910.98 shall be contributed in cash in RMB.</w:t>
      </w:r>
    </w:p>
    <w:p>
      <w:pPr>
        <w:spacing w:after="0" w:line="153" w:lineRule="exact"/>
        <w:rPr>
          <w:sz w:val="20"/>
          <w:szCs w:val="20"/>
          <w:color w:val="auto"/>
        </w:rPr>
      </w:pPr>
    </w:p>
    <w:p>
      <w:pPr>
        <w:jc w:val="both"/>
        <w:ind w:left="600" w:hanging="593"/>
        <w:spacing w:after="0" w:line="271" w:lineRule="auto"/>
        <w:tabs>
          <w:tab w:leader="none" w:pos="580" w:val="left"/>
        </w:tabs>
        <w:rPr>
          <w:sz w:val="20"/>
          <w:szCs w:val="20"/>
          <w:color w:val="auto"/>
        </w:rPr>
      </w:pPr>
      <w:r>
        <w:rPr>
          <w:rFonts w:ascii="Times New Roman" w:cs="Times New Roman" w:eastAsia="Times New Roman" w:hAnsi="Times New Roman"/>
          <w:sz w:val="16"/>
          <w:szCs w:val="16"/>
          <w:color w:val="auto"/>
        </w:rPr>
        <w:t>5.1.2</w:t>
      </w:r>
      <w:r>
        <w:rPr>
          <w:sz w:val="20"/>
          <w:szCs w:val="20"/>
          <w:color w:val="auto"/>
        </w:rPr>
        <w:tab/>
      </w:r>
      <w:r>
        <w:rPr>
          <w:rFonts w:ascii="Times New Roman" w:cs="Times New Roman" w:eastAsia="Times New Roman" w:hAnsi="Times New Roman"/>
          <w:sz w:val="16"/>
          <w:szCs w:val="16"/>
          <w:color w:val="auto"/>
        </w:rPr>
        <w:t>UE HK shall subscribe to RMB 2,158,360,762.23, representing 19.2950% of the registered capital of the Target Company, of which RMB 5,500,000 shall be contributed in cash in RMB, RMB 744,755,244.76 shall be contributed in cash in USD equivalent, and RMB 501,881,188.84 shall be contributed in the form of equity interests in NIO Sales and Services Co., Ltd., RMB 302,074,951.52 shall be contributed in cash in RMB, and RMB 604,149,377.11 shall be contributed in cash in RMB;</w:t>
      </w:r>
    </w:p>
    <w:p>
      <w:pPr>
        <w:spacing w:after="0" w:line="159" w:lineRule="exact"/>
        <w:rPr>
          <w:sz w:val="20"/>
          <w:szCs w:val="20"/>
          <w:color w:val="auto"/>
        </w:rPr>
      </w:pPr>
    </w:p>
    <w:p>
      <w:pPr>
        <w:jc w:val="both"/>
        <w:ind w:left="600" w:hanging="593"/>
        <w:spacing w:after="0" w:line="278" w:lineRule="auto"/>
        <w:tabs>
          <w:tab w:leader="none" w:pos="580" w:val="left"/>
        </w:tabs>
        <w:rPr>
          <w:sz w:val="20"/>
          <w:szCs w:val="20"/>
          <w:color w:val="auto"/>
        </w:rPr>
      </w:pPr>
      <w:r>
        <w:rPr>
          <w:rFonts w:ascii="Times New Roman" w:cs="Times New Roman" w:eastAsia="Times New Roman" w:hAnsi="Times New Roman"/>
          <w:sz w:val="16"/>
          <w:szCs w:val="16"/>
          <w:color w:val="auto"/>
        </w:rPr>
        <w:t>5.1.3</w:t>
      </w:r>
      <w:r>
        <w:rPr>
          <w:sz w:val="20"/>
          <w:szCs w:val="20"/>
          <w:color w:val="auto"/>
        </w:rPr>
        <w:tab/>
      </w:r>
      <w:r>
        <w:rPr>
          <w:rFonts w:ascii="Times New Roman" w:cs="Times New Roman" w:eastAsia="Times New Roman" w:hAnsi="Times New Roman"/>
          <w:sz w:val="16"/>
          <w:szCs w:val="16"/>
          <w:color w:val="auto"/>
        </w:rPr>
        <w:t>PE HK shall subscribe to RMB 103,133,996.17, representing 0.9220% of the registered capital of the Target Company, of which RMB 59,830,818.88 shall be contributed in the form of equity interests in NIO Energy Investment (Hubei) Co., Ltd., RMB 14,434,043.47 shall be contributed in cash in RMB, and RMB 28,869,133.82 shall be contributed in cash in RMB.</w:t>
      </w:r>
    </w:p>
    <w:p>
      <w:pPr>
        <w:spacing w:after="0" w:line="153" w:lineRule="exact"/>
        <w:rPr>
          <w:sz w:val="20"/>
          <w:szCs w:val="20"/>
          <w:color w:val="auto"/>
        </w:rPr>
      </w:pPr>
    </w:p>
    <w:p>
      <w:pPr>
        <w:jc w:val="both"/>
        <w:ind w:left="600" w:hanging="593"/>
        <w:spacing w:after="0" w:line="298" w:lineRule="auto"/>
        <w:tabs>
          <w:tab w:leader="none" w:pos="580" w:val="left"/>
        </w:tabs>
        <w:rPr>
          <w:sz w:val="20"/>
          <w:szCs w:val="20"/>
          <w:color w:val="auto"/>
        </w:rPr>
      </w:pPr>
      <w:r>
        <w:rPr>
          <w:rFonts w:ascii="Times New Roman" w:cs="Times New Roman" w:eastAsia="Times New Roman" w:hAnsi="Times New Roman"/>
          <w:sz w:val="16"/>
          <w:szCs w:val="16"/>
          <w:color w:val="auto"/>
        </w:rPr>
        <w:t>5.1.4</w:t>
      </w:r>
      <w:r>
        <w:rPr>
          <w:sz w:val="20"/>
          <w:szCs w:val="20"/>
          <w:color w:val="auto"/>
        </w:rPr>
        <w:tab/>
      </w:r>
      <w:r>
        <w:rPr>
          <w:rFonts w:ascii="Times New Roman" w:cs="Times New Roman" w:eastAsia="Times New Roman" w:hAnsi="Times New Roman"/>
          <w:sz w:val="16"/>
          <w:szCs w:val="16"/>
          <w:color w:val="auto"/>
        </w:rPr>
        <w:t>Advanced Manufacturing Industry Investment Fund shall subscribe to RMB 157,342,657.35, representing 1.4066% of the registered capital of the Target Company, all of which shall be contributed in cash in RMB;</w:t>
      </w:r>
    </w:p>
    <w:p>
      <w:pPr>
        <w:spacing w:after="0" w:line="137" w:lineRule="exact"/>
        <w:rPr>
          <w:sz w:val="20"/>
          <w:szCs w:val="20"/>
          <w:color w:val="auto"/>
        </w:rPr>
      </w:pPr>
    </w:p>
    <w:p>
      <w:pPr>
        <w:jc w:val="both"/>
        <w:ind w:left="600" w:hanging="593"/>
        <w:spacing w:after="0" w:line="298" w:lineRule="auto"/>
        <w:tabs>
          <w:tab w:leader="none" w:pos="580" w:val="left"/>
        </w:tabs>
        <w:rPr>
          <w:sz w:val="20"/>
          <w:szCs w:val="20"/>
          <w:color w:val="auto"/>
        </w:rPr>
      </w:pPr>
      <w:r>
        <w:rPr>
          <w:rFonts w:ascii="Times New Roman" w:cs="Times New Roman" w:eastAsia="Times New Roman" w:hAnsi="Times New Roman"/>
          <w:sz w:val="16"/>
          <w:szCs w:val="16"/>
          <w:color w:val="auto"/>
        </w:rPr>
        <w:t>5.1.5</w:t>
      </w:r>
      <w:r>
        <w:rPr>
          <w:sz w:val="20"/>
          <w:szCs w:val="20"/>
          <w:color w:val="auto"/>
        </w:rPr>
        <w:tab/>
      </w:r>
      <w:r>
        <w:rPr>
          <w:rFonts w:ascii="Times New Roman" w:cs="Times New Roman" w:eastAsia="Times New Roman" w:hAnsi="Times New Roman"/>
          <w:sz w:val="16"/>
          <w:szCs w:val="16"/>
          <w:color w:val="auto"/>
        </w:rPr>
        <w:t>CS Capital and/or its designated investment entity shall subscribe to RMB 71,431,285.54, representing 0.6386% of the registered capital of the Target Company, all of which shall be contributed in cash in RMB;</w:t>
      </w:r>
    </w:p>
    <w:p>
      <w:pPr>
        <w:spacing w:after="0" w:line="137" w:lineRule="exact"/>
        <w:rPr>
          <w:sz w:val="20"/>
          <w:szCs w:val="20"/>
          <w:color w:val="auto"/>
        </w:rPr>
      </w:pPr>
    </w:p>
    <w:p>
      <w:pPr>
        <w:jc w:val="both"/>
        <w:ind w:left="600" w:hanging="593"/>
        <w:spacing w:after="0" w:line="298" w:lineRule="auto"/>
        <w:tabs>
          <w:tab w:leader="none" w:pos="580" w:val="left"/>
        </w:tabs>
        <w:rPr>
          <w:sz w:val="20"/>
          <w:szCs w:val="20"/>
          <w:color w:val="auto"/>
        </w:rPr>
      </w:pPr>
      <w:r>
        <w:rPr>
          <w:rFonts w:ascii="Times New Roman" w:cs="Times New Roman" w:eastAsia="Times New Roman" w:hAnsi="Times New Roman"/>
          <w:sz w:val="16"/>
          <w:szCs w:val="16"/>
          <w:color w:val="auto"/>
        </w:rPr>
        <w:t>5.1.6</w:t>
      </w:r>
      <w:r>
        <w:rPr>
          <w:sz w:val="20"/>
          <w:szCs w:val="20"/>
          <w:color w:val="auto"/>
        </w:rPr>
        <w:tab/>
      </w:r>
      <w:r>
        <w:rPr>
          <w:rFonts w:ascii="Times New Roman" w:cs="Times New Roman" w:eastAsia="Times New Roman" w:hAnsi="Times New Roman"/>
          <w:sz w:val="16"/>
          <w:szCs w:val="16"/>
          <w:color w:val="auto"/>
        </w:rPr>
        <w:t>Anhui Sanzhong Yichuang shall subscribe to RMB 52,447,552.45, representing 0.4689% of the registered capital of the Target Company, all of which shall be contributed in cash in RMB;</w:t>
      </w:r>
    </w:p>
    <w:p>
      <w:pPr>
        <w:spacing w:after="0" w:line="137" w:lineRule="exact"/>
        <w:rPr>
          <w:sz w:val="20"/>
          <w:szCs w:val="20"/>
          <w:color w:val="auto"/>
        </w:rPr>
      </w:pPr>
    </w:p>
    <w:p>
      <w:pPr>
        <w:jc w:val="both"/>
        <w:ind w:left="600" w:hanging="593"/>
        <w:spacing w:after="0" w:line="298" w:lineRule="auto"/>
        <w:tabs>
          <w:tab w:leader="none" w:pos="580" w:val="left"/>
        </w:tabs>
        <w:rPr>
          <w:sz w:val="20"/>
          <w:szCs w:val="20"/>
          <w:color w:val="auto"/>
        </w:rPr>
      </w:pPr>
      <w:r>
        <w:rPr>
          <w:rFonts w:ascii="Times New Roman" w:cs="Times New Roman" w:eastAsia="Times New Roman" w:hAnsi="Times New Roman"/>
          <w:sz w:val="16"/>
          <w:szCs w:val="16"/>
          <w:color w:val="auto"/>
        </w:rPr>
        <w:t>5.1.7</w:t>
      </w:r>
      <w:r>
        <w:rPr>
          <w:sz w:val="20"/>
          <w:szCs w:val="20"/>
          <w:color w:val="auto"/>
        </w:rPr>
        <w:tab/>
      </w:r>
      <w:r>
        <w:rPr>
          <w:rFonts w:ascii="Times New Roman" w:cs="Times New Roman" w:eastAsia="Times New Roman" w:hAnsi="Times New Roman"/>
          <w:sz w:val="16"/>
          <w:szCs w:val="16"/>
          <w:color w:val="auto"/>
        </w:rPr>
        <w:t>New Energy Automobile Fund shall subscribe to RMB 34,965,034.97, representing 0.3126% of the registered capital of the Target Company, all of which shall be contributed in cash in RMB;</w:t>
      </w:r>
    </w:p>
    <w:p>
      <w:pPr>
        <w:spacing w:after="0" w:line="137" w:lineRule="exact"/>
        <w:rPr>
          <w:sz w:val="20"/>
          <w:szCs w:val="20"/>
          <w:color w:val="auto"/>
        </w:rPr>
      </w:pPr>
    </w:p>
    <w:p>
      <w:pPr>
        <w:jc w:val="both"/>
        <w:ind w:left="600" w:hanging="593"/>
        <w:spacing w:after="0" w:line="298" w:lineRule="auto"/>
        <w:tabs>
          <w:tab w:leader="none" w:pos="580" w:val="left"/>
        </w:tabs>
        <w:rPr>
          <w:sz w:val="20"/>
          <w:szCs w:val="20"/>
          <w:color w:val="auto"/>
        </w:rPr>
      </w:pPr>
      <w:r>
        <w:rPr>
          <w:rFonts w:ascii="Times New Roman" w:cs="Times New Roman" w:eastAsia="Times New Roman" w:hAnsi="Times New Roman"/>
          <w:sz w:val="16"/>
          <w:szCs w:val="16"/>
          <w:color w:val="auto"/>
        </w:rPr>
        <w:t>5.1.8</w:t>
      </w:r>
      <w:r>
        <w:rPr>
          <w:sz w:val="20"/>
          <w:szCs w:val="20"/>
          <w:color w:val="auto"/>
        </w:rPr>
        <w:tab/>
      </w:r>
      <w:r>
        <w:rPr>
          <w:rFonts w:ascii="Times New Roman" w:cs="Times New Roman" w:eastAsia="Times New Roman" w:hAnsi="Times New Roman"/>
          <w:sz w:val="16"/>
          <w:szCs w:val="16"/>
          <w:color w:val="auto"/>
        </w:rPr>
        <w:t>Jianheng New Energy Fund shall subscribe to RMB 262,237,762.24, representing 2.3443% of the registered capital of the Target Company, all</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334010</wp:posOffset>
            </wp:positionV>
            <wp:extent cx="6310630" cy="234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620"/>
          </w:cols>
          <w:pgMar w:left="1280" w:top="123" w:right="999" w:bottom="1440" w:gutter="0" w:footer="0" w:header="0"/>
        </w:sectPr>
      </w:pPr>
    </w:p>
    <w:bookmarkStart w:id="279" w:name="page280"/>
    <w:bookmarkEnd w:id="279"/>
    <w:p>
      <w:pPr>
        <w:ind w:left="900"/>
        <w:spacing w:after="0"/>
        <w:rPr>
          <w:sz w:val="20"/>
          <w:szCs w:val="20"/>
          <w:color w:val="auto"/>
        </w:rPr>
      </w:pPr>
      <w:r>
        <w:rPr>
          <w:rFonts w:ascii="Times New Roman" w:cs="Times New Roman" w:eastAsia="Times New Roman" w:hAnsi="Times New Roman"/>
          <w:sz w:val="16"/>
          <w:szCs w:val="16"/>
          <w:color w:val="auto"/>
        </w:rPr>
        <w:t>of which shall be contributed in cash in RMB;</w:t>
      </w:r>
    </w:p>
    <w:p>
      <w:pPr>
        <w:spacing w:after="0" w:line="212" w:lineRule="exact"/>
        <w:rPr>
          <w:sz w:val="20"/>
          <w:szCs w:val="20"/>
          <w:color w:val="auto"/>
        </w:rPr>
      </w:pPr>
    </w:p>
    <w:p>
      <w:pPr>
        <w:ind w:left="900" w:hanging="593"/>
        <w:spacing w:after="0" w:line="298" w:lineRule="auto"/>
        <w:tabs>
          <w:tab w:leader="none" w:pos="880" w:val="left"/>
        </w:tabs>
        <w:rPr>
          <w:sz w:val="20"/>
          <w:szCs w:val="20"/>
          <w:color w:val="auto"/>
        </w:rPr>
      </w:pPr>
      <w:r>
        <w:rPr>
          <w:rFonts w:ascii="Times New Roman" w:cs="Times New Roman" w:eastAsia="Times New Roman" w:hAnsi="Times New Roman"/>
          <w:sz w:val="16"/>
          <w:szCs w:val="16"/>
          <w:color w:val="auto"/>
        </w:rPr>
        <w:t>5.1.9</w:t>
      </w:r>
      <w:r>
        <w:rPr>
          <w:sz w:val="20"/>
          <w:szCs w:val="20"/>
          <w:color w:val="auto"/>
        </w:rPr>
        <w:tab/>
      </w:r>
      <w:r>
        <w:rPr>
          <w:rFonts w:ascii="Times New Roman" w:cs="Times New Roman" w:eastAsia="Times New Roman" w:hAnsi="Times New Roman"/>
          <w:sz w:val="16"/>
          <w:szCs w:val="16"/>
          <w:color w:val="auto"/>
        </w:rPr>
        <w:t>Hefei Jianxiang shall subscribe to RMB 285,725,142.19, representing 2.5543% of the registered capital of the Target Company, all of which shall be contributed in cash in RMB;</w:t>
      </w:r>
    </w:p>
    <w:p>
      <w:pPr>
        <w:spacing w:after="0" w:line="137" w:lineRule="exact"/>
        <w:rPr>
          <w:sz w:val="20"/>
          <w:szCs w:val="20"/>
          <w:color w:val="auto"/>
        </w:rPr>
      </w:pPr>
    </w:p>
    <w:p>
      <w:pPr>
        <w:ind w:left="900" w:hanging="593"/>
        <w:spacing w:after="0" w:line="298" w:lineRule="auto"/>
        <w:tabs>
          <w:tab w:leader="none" w:pos="880" w:val="left"/>
        </w:tabs>
        <w:rPr>
          <w:sz w:val="20"/>
          <w:szCs w:val="20"/>
          <w:color w:val="auto"/>
        </w:rPr>
      </w:pPr>
      <w:r>
        <w:rPr>
          <w:rFonts w:ascii="Times New Roman" w:cs="Times New Roman" w:eastAsia="Times New Roman" w:hAnsi="Times New Roman"/>
          <w:sz w:val="16"/>
          <w:szCs w:val="16"/>
          <w:color w:val="auto"/>
        </w:rPr>
        <w:t>5.1.10</w:t>
        <w:tab/>
        <w:t>Anhui Emerging Industry Yuwen Weiyuan Technology shall subscribe to RMB 114,290,056.88, representing 1.0217% of the registered capital of the Target Company, all of which shall be contributed in cash in RMB.</w:t>
      </w:r>
    </w:p>
    <w:p>
      <w:pPr>
        <w:spacing w:after="0" w:line="137" w:lineRule="exact"/>
        <w:rPr>
          <w:sz w:val="20"/>
          <w:szCs w:val="20"/>
          <w:color w:val="auto"/>
        </w:rPr>
      </w:pPr>
    </w:p>
    <w:p>
      <w:pPr>
        <w:ind w:left="300" w:hanging="300"/>
        <w:spacing w:after="0" w:line="298" w:lineRule="auto"/>
        <w:tabs>
          <w:tab w:leader="none" w:pos="30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formation of this Amendment and Supplementary Agreement II, its validity, interpretation, implementation and resolution of any disputes arising hereunder shall be governed by and construed in accordance with the laws of the PRC.</w:t>
      </w:r>
    </w:p>
    <w:p>
      <w:pPr>
        <w:spacing w:after="0" w:line="137" w:lineRule="exact"/>
        <w:rPr>
          <w:rFonts w:ascii="Times New Roman" w:cs="Times New Roman" w:eastAsia="Times New Roman" w:hAnsi="Times New Roman"/>
          <w:sz w:val="16"/>
          <w:szCs w:val="16"/>
          <w:color w:val="auto"/>
        </w:rPr>
      </w:pPr>
    </w:p>
    <w:p>
      <w:pPr>
        <w:jc w:val="both"/>
        <w:ind w:left="300" w:hanging="300"/>
        <w:spacing w:after="0" w:line="262" w:lineRule="auto"/>
        <w:tabs>
          <w:tab w:leader="none" w:pos="30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disputes, controversies, differences, or claims arising out of or in connection with this Amendment and Supplementary Agreement II shall first be resolved through friendly consultation. Any dispute that cannot be resolved through consultation within thirty (30) days following the date on which a Party has delivered to the other Parties a written notice stating the existence of the dispute or requesting negotiations, any Party shall have the right to submit the dispute to the China International Economic and Trade Arbitration Commission located in Beijing for arbitration in accordance with its arbitration rules then in effect. The arbitration proceedings shall be conducted in Chinese. The arbitration tribunal shall consist of three (3) arbitrators to be appointed in accordance with the arbitration rules. The applicant shall appoint one (1) arbitrator, the respondent shall appoint one (1) arbitrator, and the third (3rd) arbitrator shall be appointed by the first two arbitrators through consultation or appointed by the China International Economic and Trade Arbitration Commission. If any party among the joint applicants or joint respondents fails to jointly appoint an arbitrator, it does not prevent the other party from appointing an arbitrator. The arbitration award shall be final and binding on all Parties. The losing Party shall be liable for the costs of the arbitration, all costs and expenses of the arbitration proceedings and all costs and expenses in relation to the enforcement of any arbitral award. The arbitral tribunal shall rule upon the costs of the parties not expressly provided for in this section.</w:t>
      </w:r>
    </w:p>
    <w:p>
      <w:pPr>
        <w:spacing w:after="0" w:line="364" w:lineRule="exact"/>
        <w:rPr>
          <w:rFonts w:ascii="Times New Roman" w:cs="Times New Roman" w:eastAsia="Times New Roman" w:hAnsi="Times New Roman"/>
          <w:sz w:val="16"/>
          <w:szCs w:val="16"/>
          <w:color w:val="auto"/>
        </w:rPr>
      </w:pPr>
    </w:p>
    <w:p>
      <w:pPr>
        <w:jc w:val="both"/>
        <w:ind w:left="300" w:hanging="300"/>
        <w:spacing w:after="0" w:line="278" w:lineRule="auto"/>
        <w:tabs>
          <w:tab w:leader="none" w:pos="30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and Supplementary Agreement II shall become effective upon the execution by the individuals and the authorized representatives of foreign entities, and the execution by the legal representatives or authorized representatives or signatories of the PRC entities, and affixation of company seal of the relevant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80" w:name="page281"/>
    <w:bookmarkEnd w:id="280"/>
    <w:p>
      <w:pPr>
        <w:ind w:left="300"/>
        <w:spacing w:after="0" w:line="298" w:lineRule="auto"/>
        <w:rPr>
          <w:sz w:val="20"/>
          <w:szCs w:val="20"/>
          <w:color w:val="auto"/>
        </w:rPr>
      </w:pPr>
      <w:r>
        <w:rPr>
          <w:rFonts w:ascii="Times New Roman" w:cs="Times New Roman" w:eastAsia="Times New Roman" w:hAnsi="Times New Roman"/>
          <w:sz w:val="16"/>
          <w:szCs w:val="16"/>
          <w:color w:val="auto"/>
        </w:rPr>
        <w:t>PRC entities. The sequence of priority of the Shareholders Agreement, the Amendment and Supplementary Agreement I and this Amendment and Supplementary Agreement II shall be:</w:t>
      </w:r>
    </w:p>
    <w:p>
      <w:pPr>
        <w:spacing w:after="0" w:line="137" w:lineRule="exact"/>
        <w:rPr>
          <w:sz w:val="20"/>
          <w:szCs w:val="20"/>
          <w:color w:val="auto"/>
        </w:rPr>
      </w:pPr>
    </w:p>
    <w:p>
      <w:pPr>
        <w:ind w:left="940" w:hanging="643"/>
        <w:spacing w:after="0" w:line="298" w:lineRule="auto"/>
        <w:tabs>
          <w:tab w:leader="none" w:pos="94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of conflict between any provisions of the Shareholders Agreement, the Amendment and Supplementary Agreement I and this Amendment and Supplementary Agreement II, this Amendment and Supplementary Agreement II shall prevail;</w:t>
      </w:r>
    </w:p>
    <w:p>
      <w:pPr>
        <w:spacing w:after="0" w:line="137" w:lineRule="exact"/>
        <w:rPr>
          <w:rFonts w:ascii="Times New Roman" w:cs="Times New Roman" w:eastAsia="Times New Roman" w:hAnsi="Times New Roman"/>
          <w:sz w:val="16"/>
          <w:szCs w:val="16"/>
          <w:color w:val="auto"/>
        </w:rPr>
      </w:pPr>
    </w:p>
    <w:p>
      <w:pPr>
        <w:ind w:left="940" w:hanging="643"/>
        <w:spacing w:after="0" w:line="298" w:lineRule="auto"/>
        <w:tabs>
          <w:tab w:leader="none" w:pos="94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of conflict between any provisions of the Shareholders Agreement and the Amendment and Supplementary Agreement I, the Amendment and Supplementary Agreement I shall prevail;</w:t>
      </w:r>
    </w:p>
    <w:p>
      <w:pPr>
        <w:spacing w:after="0" w:line="137" w:lineRule="exact"/>
        <w:rPr>
          <w:rFonts w:ascii="Times New Roman" w:cs="Times New Roman" w:eastAsia="Times New Roman" w:hAnsi="Times New Roman"/>
          <w:sz w:val="16"/>
          <w:szCs w:val="16"/>
          <w:color w:val="auto"/>
        </w:rPr>
      </w:pPr>
    </w:p>
    <w:p>
      <w:pPr>
        <w:ind w:left="940" w:hanging="643"/>
        <w:spacing w:after="0" w:line="298" w:lineRule="auto"/>
        <w:tabs>
          <w:tab w:leader="none" w:pos="94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matter not mentioned herein, the Amendment and Supplementary Agreement I shall prevail; if such matter is not mentioned in the Amendment and Supplementary Agreement I, the Shareholders Agreement shall prevail.</w:t>
      </w:r>
    </w:p>
    <w:p>
      <w:pPr>
        <w:spacing w:after="0" w:line="137" w:lineRule="exact"/>
        <w:rPr>
          <w:sz w:val="20"/>
          <w:szCs w:val="20"/>
          <w:color w:val="auto"/>
        </w:rPr>
      </w:pPr>
    </w:p>
    <w:p>
      <w:pPr>
        <w:ind w:left="300"/>
        <w:spacing w:after="0" w:line="298" w:lineRule="auto"/>
        <w:rPr>
          <w:sz w:val="20"/>
          <w:szCs w:val="20"/>
          <w:color w:val="auto"/>
        </w:rPr>
      </w:pPr>
      <w:r>
        <w:rPr>
          <w:rFonts w:ascii="Times New Roman" w:cs="Times New Roman" w:eastAsia="Times New Roman" w:hAnsi="Times New Roman"/>
          <w:sz w:val="16"/>
          <w:szCs w:val="16"/>
          <w:color w:val="auto"/>
        </w:rPr>
        <w:t>Unless otherwise provided herein, the validity of other terms of the Shareholders Agreement and the Amendment and Supplementary Agreement I shall not be affected by this Amendment and Supplementary Agreement II.</w:t>
      </w:r>
    </w:p>
    <w:p>
      <w:pPr>
        <w:spacing w:after="0" w:line="137" w:lineRule="exact"/>
        <w:rPr>
          <w:sz w:val="20"/>
          <w:szCs w:val="20"/>
          <w:color w:val="auto"/>
        </w:rPr>
      </w:pPr>
    </w:p>
    <w:p>
      <w:pPr>
        <w:ind w:left="300" w:hanging="300"/>
        <w:spacing w:after="0" w:line="298" w:lineRule="auto"/>
        <w:tabs>
          <w:tab w:leader="none" w:pos="30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and Supplementary Agreement II shall be written in Chinese in twelve (12) originals with the same legal effect. Each Party shall hold one (1) original.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Hefei Jianheng New Energy Automobile</w:t>
      </w:r>
    </w:p>
    <w:p>
      <w:pPr>
        <w:spacing w:after="0" w:line="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Investment Fund Partnership (Limited</w:t>
      </w:r>
    </w:p>
    <w:p>
      <w:pPr>
        <w:spacing w:after="0" w:line="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Partnership)</w:t>
      </w:r>
    </w:p>
    <w:p>
      <w:pPr>
        <w:spacing w:after="0" w:line="2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7">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Hefei Jianxiang Investment Co., Ltd.</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9">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CS Capital Co., Ltd.</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1">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Advanced Manufacturing Industry</w:t>
      </w:r>
    </w:p>
    <w:p>
      <w:pPr>
        <w:spacing w:after="0" w:line="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Investment Fund II (Limited Partnership)</w:t>
      </w:r>
    </w:p>
    <w:p>
      <w:pPr>
        <w:spacing w:after="0" w:line="2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3">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Anhui Emerging Industry Yuwen</w:t>
      </w:r>
    </w:p>
    <w:p>
      <w:pPr>
        <w:spacing w:after="0" w:line="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Weiyuan Technology Partnership</w:t>
      </w:r>
    </w:p>
    <w:p>
      <w:pPr>
        <w:spacing w:after="0" w:line="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Enterprise (Limited Partnership)</w:t>
      </w:r>
    </w:p>
    <w:p>
      <w:pPr>
        <w:spacing w:after="0" w:line="2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5">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Anhui Provincial Sanzhong Yichuang</w:t>
      </w:r>
    </w:p>
    <w:p>
      <w:pPr>
        <w:spacing w:after="0" w:line="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Industry Development Fund Co., Ltd.</w:t>
      </w:r>
    </w:p>
    <w:p>
      <w:pPr>
        <w:spacing w:after="0" w:line="2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7">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Anhui Jintong New Energy Automobile</w:t>
      </w:r>
    </w:p>
    <w:p>
      <w:pPr>
        <w:spacing w:after="0" w:line="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II Fund Partnership (Limited</w:t>
      </w:r>
    </w:p>
    <w:p>
      <w:pPr>
        <w:spacing w:after="0" w:line="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Partnership)</w:t>
      </w:r>
    </w:p>
    <w:p>
      <w:pPr>
        <w:spacing w:after="0" w:line="2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9">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Nio Nextev Limited</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1">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NIO User Enterprise Limited</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3">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NIO Power Express Limited</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5">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NIO Inc.</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7">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Authorized Signatory</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6"/>
          <w:szCs w:val="16"/>
          <w:i w:val="1"/>
          <w:iCs w:val="1"/>
          <w:color w:val="auto"/>
        </w:rPr>
        <w:t>(This is the Signature Page to the Amendment and Supplementary Agreement II to NIO China Shareholders Agreement)</w:t>
      </w:r>
    </w:p>
    <w:p>
      <w:pPr>
        <w:spacing w:after="0" w:line="214" w:lineRule="exact"/>
        <w:rPr>
          <w:sz w:val="20"/>
          <w:szCs w:val="20"/>
          <w:color w:val="auto"/>
        </w:rPr>
      </w:pPr>
    </w:p>
    <w:p>
      <w:pPr>
        <w:ind w:firstLine="297"/>
        <w:spacing w:after="0" w:line="298" w:lineRule="auto"/>
        <w:rPr>
          <w:sz w:val="20"/>
          <w:szCs w:val="20"/>
          <w:color w:val="auto"/>
        </w:rPr>
      </w:pPr>
      <w:r>
        <w:rPr>
          <w:rFonts w:ascii="Times New Roman" w:cs="Times New Roman" w:eastAsia="Times New Roman" w:hAnsi="Times New Roman"/>
          <w:sz w:val="16"/>
          <w:szCs w:val="16"/>
          <w:color w:val="auto"/>
        </w:rPr>
        <w:t>IN WITNESS WHEREOF, the Parties have caused this Amendment and Supplementary Agreement II to be duly executed as of the date first written above.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NIO Holding Co., Ltd.</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(Company Chop)</w:t>
      </w:r>
    </w:p>
    <w:p>
      <w:pPr>
        <w:spacing w:after="0" w:line="200" w:lineRule="exact"/>
        <w:rPr>
          <w:sz w:val="20"/>
          <w:szCs w:val="20"/>
          <w:color w:val="auto"/>
        </w:rPr>
      </w:pPr>
    </w:p>
    <w:p>
      <w:pPr>
        <w:spacing w:after="0" w:line="210"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LI 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19685</wp:posOffset>
            </wp:positionV>
            <wp:extent cx="282892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9">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LI Bin</w:t>
      </w:r>
    </w:p>
    <w:p>
      <w:pPr>
        <w:spacing w:after="0" w:line="212"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6"/>
          <w:szCs w:val="16"/>
          <w:color w:val="auto"/>
        </w:rPr>
        <w:t>Title:</w:t>
        <w:tab/>
        <w:t>Legal Representative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NIO Confidential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310630" cy="234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20"/>
          <w:szCs w:val="20"/>
          <w:b w:val="1"/>
          <w:bCs w:val="1"/>
          <w:color w:val="auto"/>
        </w:rPr>
        <w:t>Exhibit 4.53</w:t>
      </w:r>
    </w:p>
    <w:p>
      <w:pPr>
        <w:spacing w:after="0" w:line="19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GeniTech Co., Ltd.</w:t>
      </w:r>
    </w:p>
    <w:p>
      <w:pPr>
        <w:spacing w:after="0" w:line="21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1583055</wp:posOffset>
            </wp:positionV>
            <wp:extent cx="6310630" cy="15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460"/>
          </w:cols>
          <w:pgMar w:left="1440" w:top="110" w:right="99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144780</wp:posOffset>
            </wp:positionV>
            <wp:extent cx="631063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tcPr>
          <w:p>
            <w:pPr>
              <w:spacing w:after="0"/>
              <w:rPr>
                <w:sz w:val="22"/>
                <w:szCs w:val="22"/>
                <w:color w:val="auto"/>
              </w:rPr>
            </w:pPr>
          </w:p>
        </w:tc>
        <w:tc>
          <w:tcPr>
            <w:tcW w:w="7400" w:type="dxa"/>
            <w:vAlign w:val="bottom"/>
          </w:tcPr>
          <w:p>
            <w:pPr>
              <w:ind w:left="34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000" w:type="dxa"/>
            <w:vAlign w:val="bottom"/>
          </w:tcPr>
          <w:p>
            <w:pPr>
              <w:spacing w:after="0"/>
              <w:rPr>
                <w:sz w:val="22"/>
                <w:szCs w:val="22"/>
                <w:color w:val="auto"/>
              </w:rPr>
            </w:pPr>
          </w:p>
        </w:tc>
      </w:tr>
      <w:tr>
        <w:trPr>
          <w:trHeight w:val="43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DEFINITIONS AND INTERPRETATION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TRANSACTION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CONDITIONS PRECEDENT TO CLOSING</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CLOSING AND PAYMENT OF THE TRANSACTION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6</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COVENANTS</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CONFIDENTIALITY</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INDEMNIFICATION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EFFECTIVENESS AND TERMINATION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NOTICES</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GOVERNING LAW AND DISPUTE RESOLUTION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FORCE MAJEURE</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34"/>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13</w:t>
            </w:r>
          </w:p>
        </w:tc>
        <w:tc>
          <w:tcPr>
            <w:tcW w:w="7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MISCELLANEOUS</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1: Shareholding Structure of the Target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2: Asset Transfer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3: Proposed Business Spin-off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4: List of the Management Team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5: Lease of the Properties for the Proposed Spin-off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6: Confirmation Letter on the Satisfaction of Conditions Precedent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7: Shareholders’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8: New Articles of Association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9: Capital Contribution Certificate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10: Register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11: Restructuring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577215</wp:posOffset>
            </wp:positionV>
            <wp:extent cx="6310630"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760"/>
          </w:cols>
          <w:pgMar w:left="1060" w:top="610" w:right="107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GeniTech Co., Ltd. Subscription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GeniTech Co., Ltd. Subscription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on February 26, 2026 (the “</w:t>
      </w:r>
      <w:r>
        <w:rPr>
          <w:rFonts w:ascii="Times New Roman" w:cs="Times New Roman" w:eastAsia="Times New Roman" w:hAnsi="Times New Roman"/>
          <w:sz w:val="19"/>
          <w:szCs w:val="19"/>
          <w:b w:val="1"/>
          <w:bCs w:val="1"/>
          <w:color w:val="auto"/>
        </w:rPr>
        <w:t>Execution Date</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and among:</w:t>
      </w:r>
    </w:p>
    <w:p>
      <w:pPr>
        <w:spacing w:after="0" w:line="140" w:lineRule="exact"/>
        <w:rPr>
          <w:sz w:val="20"/>
          <w:szCs w:val="20"/>
          <w:color w:val="auto"/>
        </w:rPr>
      </w:pPr>
    </w:p>
    <w:p>
      <w:pPr>
        <w:jc w:val="both"/>
        <w:ind w:left="600" w:hanging="600"/>
        <w:spacing w:after="0" w:line="242" w:lineRule="exact"/>
        <w:tabs>
          <w:tab w:leader="none" w:pos="6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GeniTech Co., Ltd.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 limited liability company duly established and existing under the Laws of the People’s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Republic of China, holding a business license with unified social credit code of 91340111MAELWJFX30,and with its registered address at Building F, Hengchuang Intelligent Science and Technology Park, No. 3963, Susong Road, Economic and Technological Development Zone, Hefei City, Anhui Province (the “</w:t>
      </w:r>
      <w:r>
        <w:rPr>
          <w:rFonts w:ascii="Times New Roman" w:cs="Times New Roman" w:eastAsia="Times New Roman" w:hAnsi="Times New Roman"/>
          <w:sz w:val="20"/>
          <w:szCs w:val="20"/>
          <w:b w:val="1"/>
          <w:bCs w:val="1"/>
          <w:color w:val="auto"/>
        </w:rPr>
        <w:t>Target Company</w:t>
      </w:r>
      <w:r>
        <w:rPr>
          <w:rFonts w:ascii="Times New Roman" w:cs="Times New Roman" w:eastAsia="Times New Roman" w:hAnsi="Times New Roman"/>
          <w:sz w:val="20"/>
          <w:szCs w:val="20"/>
          <w:color w:val="auto"/>
        </w:rPr>
        <w:t>”)</w:t>
      </w:r>
      <w:r>
        <w:rPr>
          <w:rFonts w:ascii="MS PGothic" w:cs="MS PGothic" w:eastAsia="MS PGothic" w:hAnsi="MS PGothic"/>
          <w:sz w:val="20"/>
          <w:szCs w:val="20"/>
          <w:color w:val="auto"/>
        </w:rPr>
        <w:t>；</w:t>
      </w:r>
    </w:p>
    <w:p>
      <w:pPr>
        <w:spacing w:after="0" w:line="147" w:lineRule="exact"/>
        <w:rPr>
          <w:rFonts w:ascii="Times New Roman" w:cs="Times New Roman" w:eastAsia="Times New Roman" w:hAnsi="Times New Roman"/>
          <w:sz w:val="20"/>
          <w:szCs w:val="20"/>
          <w:color w:val="auto"/>
        </w:rPr>
      </w:pPr>
    </w:p>
    <w:p>
      <w:pPr>
        <w:ind w:left="600" w:hanging="600"/>
        <w:spacing w:after="0" w:line="249" w:lineRule="exact"/>
        <w:tabs>
          <w:tab w:leader="none" w:pos="6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NIO Inc.</w:t>
      </w:r>
      <w:r>
        <w:rPr>
          <w:rFonts w:ascii="Times New Roman" w:cs="Times New Roman" w:eastAsia="Times New Roman" w:hAnsi="Times New Roman"/>
          <w:sz w:val="20"/>
          <w:szCs w:val="20"/>
          <w:color w:val="auto"/>
        </w:rPr>
        <w:t>, a company duly organized and validly existing under the Laws of the Cayman Islands, and with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address at PO Box 309, Ugland House, Grand Cayman, KY1-1104, Cayman Islands (“</w:t>
      </w:r>
      <w:r>
        <w:rPr>
          <w:rFonts w:ascii="Times New Roman" w:cs="Times New Roman" w:eastAsia="Times New Roman" w:hAnsi="Times New Roman"/>
          <w:sz w:val="20"/>
          <w:szCs w:val="20"/>
          <w:b w:val="1"/>
          <w:bCs w:val="1"/>
          <w:color w:val="auto"/>
        </w:rPr>
        <w:t>NIO</w:t>
      </w:r>
      <w:r>
        <w:rPr>
          <w:rFonts w:ascii="Times New Roman" w:cs="Times New Roman" w:eastAsia="Times New Roman" w:hAnsi="Times New Roman"/>
          <w:sz w:val="20"/>
          <w:szCs w:val="20"/>
          <w:color w:val="auto"/>
        </w:rPr>
        <w:t>”)</w:t>
      </w:r>
      <w:r>
        <w:rPr>
          <w:rFonts w:ascii="MS PGothic" w:cs="MS PGothic" w:eastAsia="MS PGothic" w:hAnsi="MS PGothic"/>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600" w:hanging="600"/>
        <w:spacing w:after="0" w:line="243" w:lineRule="exact"/>
        <w:tabs>
          <w:tab w:leader="none" w:pos="6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NIO Technology (Anhui) Co., Ltd.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 limited liability company duly established and existing under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People’s Republic of China, holding a business license with unified social credit code of 91340111MA2W48B2X6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and with its registered address at Building F, Hengchuang Intelligent Science and Technology Park, No. 3963, Susong Road, Economic and Technological Development Zone, Hefei City, Anhui Province (the “</w:t>
      </w:r>
      <w:r>
        <w:rPr>
          <w:rFonts w:ascii="Times New Roman" w:cs="Times New Roman" w:eastAsia="Times New Roman" w:hAnsi="Times New Roman"/>
          <w:sz w:val="20"/>
          <w:szCs w:val="20"/>
          <w:b w:val="1"/>
          <w:bCs w:val="1"/>
          <w:color w:val="auto"/>
        </w:rPr>
        <w:t>Controlling Shareholder</w:t>
      </w:r>
      <w:r>
        <w:rPr>
          <w:rFonts w:ascii="Times New Roman" w:cs="Times New Roman" w:eastAsia="Times New Roman" w:hAnsi="Times New Roman"/>
          <w:sz w:val="20"/>
          <w:szCs w:val="20"/>
          <w:color w:val="auto"/>
        </w:rPr>
        <w:t>”);</w:t>
      </w:r>
    </w:p>
    <w:p>
      <w:pPr>
        <w:spacing w:after="0" w:line="136" w:lineRule="exact"/>
        <w:rPr>
          <w:rFonts w:ascii="Times New Roman" w:cs="Times New Roman" w:eastAsia="Times New Roman" w:hAnsi="Times New Roman"/>
          <w:sz w:val="20"/>
          <w:szCs w:val="20"/>
          <w:color w:val="auto"/>
        </w:rPr>
      </w:pPr>
    </w:p>
    <w:p>
      <w:pPr>
        <w:jc w:val="both"/>
        <w:ind w:left="600" w:hanging="600"/>
        <w:spacing w:after="0" w:line="243" w:lineRule="exact"/>
        <w:tabs>
          <w:tab w:leader="none" w:pos="6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Hefei Shenrui No.1 Enterprise Management Consulting Partnership (Limited Partnership) </w:t>
      </w:r>
      <w:r>
        <w:rPr>
          <w:rFonts w:ascii="MS PGothic" w:cs="MS PGothic" w:eastAsia="MS PGothic" w:hAnsi="MS PGothic"/>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duly established and existing under the Laws of the People’s Republic of China, holding a business license with unified social credit code of 91340111MAK4BXLL2H</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and with its registered address at Room 2001, 2/F, Building F, Hengchuang Intelligent Science and Technology Park, No. 3963, Susong Road, Economic and Technological Development Zone, Hefei City, Anhui Province (“</w:t>
      </w:r>
      <w:r>
        <w:rPr>
          <w:rFonts w:ascii="Times New Roman" w:cs="Times New Roman" w:eastAsia="Times New Roman" w:hAnsi="Times New Roman"/>
          <w:sz w:val="20"/>
          <w:szCs w:val="20"/>
          <w:b w:val="1"/>
          <w:bCs w:val="1"/>
          <w:color w:val="auto"/>
        </w:rPr>
        <w:t>Shenrui No.1</w:t>
      </w:r>
      <w:r>
        <w:rPr>
          <w:rFonts w:ascii="Times New Roman" w:cs="Times New Roman" w:eastAsia="Times New Roman" w:hAnsi="Times New Roman"/>
          <w:sz w:val="20"/>
          <w:szCs w:val="20"/>
          <w:color w:val="auto"/>
        </w:rPr>
        <w:t>”);</w:t>
      </w:r>
    </w:p>
    <w:p>
      <w:pPr>
        <w:spacing w:after="0" w:line="136" w:lineRule="exact"/>
        <w:rPr>
          <w:rFonts w:ascii="Times New Roman" w:cs="Times New Roman" w:eastAsia="Times New Roman" w:hAnsi="Times New Roman"/>
          <w:sz w:val="20"/>
          <w:szCs w:val="20"/>
          <w:color w:val="auto"/>
        </w:rPr>
      </w:pPr>
    </w:p>
    <w:p>
      <w:pPr>
        <w:jc w:val="both"/>
        <w:ind w:left="600" w:hanging="600"/>
        <w:spacing w:after="0" w:line="243" w:lineRule="exact"/>
        <w:tabs>
          <w:tab w:leader="none" w:pos="6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Hefei Shenrui No.2 Enterprise Management Consulting Partnership (Limited Partnership) </w:t>
      </w:r>
      <w:r>
        <w:rPr>
          <w:rFonts w:ascii="MS PGothic" w:cs="MS PGothic" w:eastAsia="MS PGothic" w:hAnsi="MS PGothic"/>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duly established and existing under the Laws of the People’s Republic of China, holding a business license with unified social credit code of 91340111MAK4C1DU3H</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and with its registered address at Room 2002, 2/F, Building F, Hengchuang Intelligent Science and Technology Park, No. 3963, Susong Road, Economic and Technological Development Zone, Hefei City, Anhui Province (“</w:t>
      </w:r>
      <w:r>
        <w:rPr>
          <w:rFonts w:ascii="Times New Roman" w:cs="Times New Roman" w:eastAsia="Times New Roman" w:hAnsi="Times New Roman"/>
          <w:sz w:val="20"/>
          <w:szCs w:val="20"/>
          <w:b w:val="1"/>
          <w:bCs w:val="1"/>
          <w:color w:val="auto"/>
        </w:rPr>
        <w:t>Shenrui No.2</w:t>
      </w:r>
      <w:r>
        <w:rPr>
          <w:rFonts w:ascii="Times New Roman" w:cs="Times New Roman" w:eastAsia="Times New Roman" w:hAnsi="Times New Roman"/>
          <w:sz w:val="20"/>
          <w:szCs w:val="20"/>
          <w:color w:val="auto"/>
        </w:rPr>
        <w:t>”);</w:t>
      </w:r>
    </w:p>
    <w:p>
      <w:pPr>
        <w:spacing w:after="0" w:line="136" w:lineRule="exact"/>
        <w:rPr>
          <w:rFonts w:ascii="Times New Roman" w:cs="Times New Roman" w:eastAsia="Times New Roman" w:hAnsi="Times New Roman"/>
          <w:sz w:val="20"/>
          <w:szCs w:val="20"/>
          <w:color w:val="auto"/>
        </w:rPr>
      </w:pPr>
    </w:p>
    <w:p>
      <w:pPr>
        <w:jc w:val="both"/>
        <w:ind w:left="600" w:hanging="600"/>
        <w:spacing w:after="0" w:line="249" w:lineRule="exact"/>
        <w:tabs>
          <w:tab w:leader="none" w:pos="6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Hefei Shenrui No.3 Enterprise Management Consulting Partnership (Limited Partnership) </w:t>
      </w:r>
      <w:r>
        <w:rPr>
          <w:rFonts w:ascii="MS PGothic" w:cs="MS PGothic" w:eastAsia="MS PGothic" w:hAnsi="MS PGothic"/>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duly established and existing under the Laws of the People’s Republic of China, holding a business license with unified social credit code of 91340111MAK3BJ489X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and with its registered address at Room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10" w:right="99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left="600"/>
        <w:spacing w:after="0" w:line="262" w:lineRule="auto"/>
        <w:rPr>
          <w:sz w:val="20"/>
          <w:szCs w:val="20"/>
          <w:color w:val="auto"/>
        </w:rPr>
      </w:pPr>
      <w:r>
        <w:rPr>
          <w:rFonts w:ascii="Times New Roman" w:cs="Times New Roman" w:eastAsia="Times New Roman" w:hAnsi="Times New Roman"/>
          <w:sz w:val="20"/>
          <w:szCs w:val="20"/>
          <w:color w:val="auto"/>
        </w:rPr>
        <w:t>2003, 2/F, Building F, Hengchuang Intelligent Science and Technology Park, No. 3963, Susong Road, Economic and Technological Development Zone, Hefei City, Anhui Province (“</w:t>
      </w:r>
      <w:r>
        <w:rPr>
          <w:rFonts w:ascii="Times New Roman" w:cs="Times New Roman" w:eastAsia="Times New Roman" w:hAnsi="Times New Roman"/>
          <w:sz w:val="20"/>
          <w:szCs w:val="20"/>
          <w:b w:val="1"/>
          <w:bCs w:val="1"/>
          <w:color w:val="auto"/>
        </w:rPr>
        <w:t>Shenrui No.3</w:t>
      </w:r>
      <w:r>
        <w:rPr>
          <w:rFonts w:ascii="Times New Roman" w:cs="Times New Roman" w:eastAsia="Times New Roman" w:hAnsi="Times New Roman"/>
          <w:sz w:val="20"/>
          <w:szCs w:val="20"/>
          <w:color w:val="auto"/>
        </w:rPr>
        <w:t>”);</w:t>
      </w:r>
    </w:p>
    <w:p>
      <w:pPr>
        <w:spacing w:after="0" w:line="100" w:lineRule="exact"/>
        <w:rPr>
          <w:sz w:val="20"/>
          <w:szCs w:val="20"/>
          <w:color w:val="auto"/>
        </w:rPr>
      </w:pPr>
    </w:p>
    <w:p>
      <w:pPr>
        <w:jc w:val="both"/>
        <w:ind w:left="600" w:hanging="600"/>
        <w:spacing w:after="0"/>
        <w:tabs>
          <w:tab w:leader="none" w:pos="6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Hefei Jiantou Emerging Industry Equity Investment Fund Partnership Enterprise (Limited Partnership)</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partnership duly established and existing under the Laws of the People’s Republic of China, holding a business license with unified social credit code of 91340111MAERNQ6CXM, and with its registered address at 4th Floor, Podium Building, Jiantou Building, No. 229 Wuhan Road, Yandun Subdistrict, Baohe District, Hefei, Anhui Province (“</w:t>
      </w:r>
      <w:r>
        <w:rPr>
          <w:rFonts w:ascii="Times New Roman" w:cs="Times New Roman" w:eastAsia="Times New Roman" w:hAnsi="Times New Roman"/>
          <w:sz w:val="20"/>
          <w:szCs w:val="20"/>
          <w:b w:val="1"/>
          <w:bCs w:val="1"/>
          <w:color w:val="auto"/>
        </w:rPr>
        <w:t>Emerging Industry Fund</w:t>
      </w:r>
      <w:r>
        <w:rPr>
          <w:rFonts w:ascii="Times New Roman" w:cs="Times New Roman" w:eastAsia="Times New Roman" w:hAnsi="Times New Roman"/>
          <w:sz w:val="20"/>
          <w:szCs w:val="20"/>
          <w:color w:val="auto"/>
        </w:rPr>
        <w:t>”);</w:t>
      </w:r>
    </w:p>
    <w:p>
      <w:pPr>
        <w:spacing w:after="0" w:line="137" w:lineRule="exact"/>
        <w:rPr>
          <w:rFonts w:ascii="Times New Roman" w:cs="Times New Roman" w:eastAsia="Times New Roman" w:hAnsi="Times New Roman"/>
          <w:sz w:val="20"/>
          <w:szCs w:val="20"/>
          <w:color w:val="auto"/>
        </w:rPr>
      </w:pPr>
    </w:p>
    <w:p>
      <w:pPr>
        <w:jc w:val="both"/>
        <w:ind w:left="600" w:hanging="600"/>
        <w:spacing w:after="0" w:line="235" w:lineRule="exact"/>
        <w:tabs>
          <w:tab w:leader="none" w:pos="6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Hefei Haiheng Emerging Industry Equity Investment Fund Partnership Enterprise (Limited Partnership)</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partnership duly established and existing under the Laws of the People’s Republic of China, holding a business license with unified social credit code of 91340111MADY33TD70, and with its registered address at Room 8025, 8th Floor, Building 9, Sino-German Innovation Park, No. 6155 Jinxiu Avenue, Linhu Community, Hefei Economic and Technological Development Zone, Hefei, Anhui Province (“</w:t>
      </w:r>
      <w:r>
        <w:rPr>
          <w:rFonts w:ascii="Times New Roman" w:cs="Times New Roman" w:eastAsia="Times New Roman" w:hAnsi="Times New Roman"/>
          <w:sz w:val="20"/>
          <w:szCs w:val="20"/>
          <w:b w:val="1"/>
          <w:bCs w:val="1"/>
          <w:color w:val="auto"/>
        </w:rPr>
        <w:t>Hefei Haiheng</w:t>
      </w:r>
      <w:r>
        <w:rPr>
          <w:rFonts w:ascii="Times New Roman" w:cs="Times New Roman" w:eastAsia="Times New Roman" w:hAnsi="Times New Roman"/>
          <w:sz w:val="20"/>
          <w:szCs w:val="20"/>
          <w:color w:val="auto"/>
        </w:rPr>
        <w:t>”)</w:t>
      </w:r>
    </w:p>
    <w:p>
      <w:pPr>
        <w:spacing w:after="0" w:line="125"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Shenzhen Harmonious Growth Phase III Technology Development Equity Investment Fund Partnership (Limited Partnership)</w:t>
      </w:r>
      <w:r>
        <w:rPr>
          <w:rFonts w:ascii="Times New Roman" w:cs="Times New Roman" w:eastAsia="Times New Roman" w:hAnsi="Times New Roman"/>
          <w:sz w:val="20"/>
          <w:szCs w:val="20"/>
          <w:color w:val="auto"/>
        </w:rPr>
        <w:t>, a limited partnership duly established and existing under the Laws of the People’s Republic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China, holding a business license with unified social credit code of 91440300MA5FHNP8XE, and with its registered address at Room 402-7, Building 1, Yujingwan Garden, Xin’an Sixth Road, Haiyu Community, Xin’an Street, Bao’an District, Shenzhen (“</w:t>
      </w:r>
      <w:r>
        <w:rPr>
          <w:rFonts w:ascii="Times New Roman" w:cs="Times New Roman" w:eastAsia="Times New Roman" w:hAnsi="Times New Roman"/>
          <w:sz w:val="20"/>
          <w:szCs w:val="20"/>
          <w:b w:val="1"/>
          <w:bCs w:val="1"/>
          <w:color w:val="auto"/>
        </w:rPr>
        <w:t>Harmonious Growth Fund</w:t>
      </w:r>
      <w:r>
        <w:rPr>
          <w:rFonts w:ascii="Times New Roman" w:cs="Times New Roman" w:eastAsia="Times New Roman" w:hAnsi="Times New Roman"/>
          <w:sz w:val="20"/>
          <w:szCs w:val="20"/>
          <w:color w:val="auto"/>
        </w:rPr>
        <w:t>”);</w:t>
      </w:r>
    </w:p>
    <w:p>
      <w:pPr>
        <w:spacing w:after="0" w:line="124" w:lineRule="exact"/>
        <w:rPr>
          <w:rFonts w:ascii="Times New Roman" w:cs="Times New Roman" w:eastAsia="Times New Roman" w:hAnsi="Times New Roman"/>
          <w:sz w:val="20"/>
          <w:szCs w:val="20"/>
          <w:color w:val="auto"/>
        </w:rPr>
      </w:pPr>
    </w:p>
    <w:p>
      <w:pPr>
        <w:jc w:val="both"/>
        <w:ind w:left="600" w:hanging="600"/>
        <w:spacing w:after="0" w:line="256" w:lineRule="auto"/>
        <w:tabs>
          <w:tab w:leader="none" w:pos="60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Social Security Fund Yangtze River Delta Technology Innovation Equity Investment Fund (Shanghai) Partnership Enterprise (Limited Partnership)</w:t>
      </w:r>
      <w:r>
        <w:rPr>
          <w:rFonts w:ascii="Times New Roman" w:cs="Times New Roman" w:eastAsia="Times New Roman" w:hAnsi="Times New Roman"/>
          <w:sz w:val="19"/>
          <w:szCs w:val="19"/>
          <w:color w:val="auto"/>
        </w:rPr>
        <w:t>, a limited partnership duly established and existing under the Laws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People’s Republic of China, holding a business license with unified social credit code of 91310000MAD48PMF9G, and with its registered address at 180 South Urumqi Road, Xuhui District, Shanghai (“</w:t>
      </w:r>
      <w:r>
        <w:rPr>
          <w:rFonts w:ascii="Times New Roman" w:cs="Times New Roman" w:eastAsia="Times New Roman" w:hAnsi="Times New Roman"/>
          <w:sz w:val="19"/>
          <w:szCs w:val="19"/>
          <w:b w:val="1"/>
          <w:bCs w:val="1"/>
          <w:color w:val="auto"/>
        </w:rPr>
        <w:t>Social Security Yangtze River Delta Fund</w:t>
      </w:r>
      <w:r>
        <w:rPr>
          <w:rFonts w:ascii="Times New Roman" w:cs="Times New Roman" w:eastAsia="Times New Roman" w:hAnsi="Times New Roman"/>
          <w:sz w:val="19"/>
          <w:szCs w:val="19"/>
          <w:color w:val="auto"/>
        </w:rPr>
        <w:t>”, together with Harmonious Growth Fund, the “</w:t>
      </w:r>
      <w:r>
        <w:rPr>
          <w:rFonts w:ascii="Times New Roman" w:cs="Times New Roman" w:eastAsia="Times New Roman" w:hAnsi="Times New Roman"/>
          <w:sz w:val="19"/>
          <w:szCs w:val="19"/>
          <w:b w:val="1"/>
          <w:bCs w:val="1"/>
          <w:color w:val="auto"/>
        </w:rPr>
        <w:t>Harmonious Fund</w:t>
      </w:r>
      <w:r>
        <w:rPr>
          <w:rFonts w:ascii="Times New Roman" w:cs="Times New Roman" w:eastAsia="Times New Roman" w:hAnsi="Times New Roman"/>
          <w:sz w:val="19"/>
          <w:szCs w:val="19"/>
          <w:color w:val="auto"/>
        </w:rPr>
        <w:t>”);</w:t>
      </w:r>
    </w:p>
    <w:p>
      <w:pPr>
        <w:spacing w:after="0" w:line="109" w:lineRule="exact"/>
        <w:rPr>
          <w:rFonts w:ascii="Times New Roman" w:cs="Times New Roman" w:eastAsia="Times New Roman" w:hAnsi="Times New Roman"/>
          <w:sz w:val="19"/>
          <w:szCs w:val="19"/>
          <w:color w:val="auto"/>
        </w:rPr>
      </w:pPr>
    </w:p>
    <w:p>
      <w:pPr>
        <w:jc w:val="both"/>
        <w:ind w:left="600" w:hanging="600"/>
        <w:spacing w:after="0" w:line="243" w:lineRule="auto"/>
        <w:tabs>
          <w:tab w:leader="none" w:pos="6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OmniVision Integrated Circuits Group, Inc., </w:t>
      </w:r>
      <w:r>
        <w:rPr>
          <w:rFonts w:ascii="Times New Roman" w:cs="Times New Roman" w:eastAsia="Times New Roman" w:hAnsi="Times New Roman"/>
          <w:sz w:val="20"/>
          <w:szCs w:val="20"/>
          <w:color w:val="auto"/>
        </w:rPr>
        <w:t>a limited liability company duly established and existing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the People’s Republic of China, holding a business license with unified social credit code of 9131000066244468X3, and with its registered address at 7/F, Block C, Building 1, 3000 Longdong Avenue, China (Shanghai) Pilot Free Trade Zone (“</w:t>
      </w:r>
      <w:r>
        <w:rPr>
          <w:rFonts w:ascii="Times New Roman" w:cs="Times New Roman" w:eastAsia="Times New Roman" w:hAnsi="Times New Roman"/>
          <w:sz w:val="20"/>
          <w:szCs w:val="20"/>
          <w:b w:val="1"/>
          <w:bCs w:val="1"/>
          <w:color w:val="auto"/>
        </w:rPr>
        <w:t>OmniVision Group</w:t>
      </w:r>
      <w:r>
        <w:rPr>
          <w:rFonts w:ascii="Times New Roman" w:cs="Times New Roman" w:eastAsia="Times New Roman" w:hAnsi="Times New Roman"/>
          <w:sz w:val="20"/>
          <w:szCs w:val="20"/>
          <w:color w:val="auto"/>
        </w:rPr>
        <w:t>”);</w:t>
      </w:r>
    </w:p>
    <w:p>
      <w:pPr>
        <w:spacing w:after="0" w:line="120" w:lineRule="exact"/>
        <w:rPr>
          <w:rFonts w:ascii="Times New Roman" w:cs="Times New Roman" w:eastAsia="Times New Roman" w:hAnsi="Times New Roman"/>
          <w:sz w:val="20"/>
          <w:szCs w:val="20"/>
          <w:color w:val="auto"/>
        </w:rPr>
      </w:pPr>
    </w:p>
    <w:p>
      <w:pPr>
        <w:ind w:left="600" w:hanging="600"/>
        <w:spacing w:after="0" w:line="266" w:lineRule="auto"/>
        <w:tabs>
          <w:tab w:leader="none" w:pos="6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Shanghai Keshi Management Partnership (Limited Partnership)</w:t>
      </w:r>
      <w:r>
        <w:rPr>
          <w:rFonts w:ascii="Times New Roman" w:cs="Times New Roman" w:eastAsia="Times New Roman" w:hAnsi="Times New Roman"/>
          <w:sz w:val="20"/>
          <w:szCs w:val="20"/>
          <w:color w:val="auto"/>
        </w:rPr>
        <w:t>, a limited partnership duly established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existing under the Laws of the People’s Republic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of China, holding a business license with unified social credit code of 91310230MAK283X904, and with its registered address at Hongfeng Road No.33, Hengsha Township, Chongming District, Shanghai (Shanghai Hengtai Economic Development Zone) (“</w:t>
      </w:r>
      <w:r>
        <w:rPr>
          <w:rFonts w:ascii="Times New Roman" w:cs="Times New Roman" w:eastAsia="Times New Roman" w:hAnsi="Times New Roman"/>
          <w:sz w:val="20"/>
          <w:szCs w:val="20"/>
          <w:b w:val="1"/>
          <w:bCs w:val="1"/>
          <w:color w:val="auto"/>
        </w:rPr>
        <w:t>Shanghai Keshi</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jc w:val="both"/>
        <w:ind w:left="600" w:hanging="600"/>
        <w:spacing w:after="0"/>
        <w:tabs>
          <w:tab w:leader="none" w:pos="6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Shenzhen Juyuan Xinchuang Private Equity Investment Fund Partnership Enterprise (Limited Partnership)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limited partnership duly established and existing under the Laws of the People’s Republic of China, holding a business license with unified social credit code of 91440300MA5GTXGA20, and with its registered address at Room 1007, Building 7, Phase II, Hongshan 6979, Daling Community, Minzhi Street, Longhua District, Shenzhen (“</w:t>
      </w:r>
      <w:r>
        <w:rPr>
          <w:rFonts w:ascii="Times New Roman" w:cs="Times New Roman" w:eastAsia="Times New Roman" w:hAnsi="Times New Roman"/>
          <w:sz w:val="20"/>
          <w:szCs w:val="20"/>
          <w:b w:val="1"/>
          <w:bCs w:val="1"/>
          <w:color w:val="auto"/>
        </w:rPr>
        <w:t>Juyuan Xinchuang</w:t>
      </w:r>
      <w:r>
        <w:rPr>
          <w:rFonts w:ascii="Times New Roman" w:cs="Times New Roman" w:eastAsia="Times New Roman" w:hAnsi="Times New Roman"/>
          <w:sz w:val="20"/>
          <w:szCs w:val="20"/>
          <w:color w:val="auto"/>
        </w:rPr>
        <w:t>”);</w:t>
      </w:r>
    </w:p>
    <w:p>
      <w:pPr>
        <w:spacing w:after="0" w:line="124" w:lineRule="exact"/>
        <w:rPr>
          <w:rFonts w:ascii="Times New Roman" w:cs="Times New Roman" w:eastAsia="Times New Roman" w:hAnsi="Times New Roman"/>
          <w:sz w:val="20"/>
          <w:szCs w:val="20"/>
          <w:color w:val="auto"/>
        </w:rPr>
      </w:pPr>
    </w:p>
    <w:p>
      <w:pPr>
        <w:jc w:val="both"/>
        <w:ind w:left="600" w:hanging="600"/>
        <w:spacing w:after="0" w:line="233" w:lineRule="exact"/>
        <w:tabs>
          <w:tab w:leader="none" w:pos="6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Jiaxing Juyuan Zhiguang Equity Investment Partnership (Limited Partnership)</w:t>
      </w:r>
      <w:r>
        <w:rPr>
          <w:rFonts w:ascii="Times New Roman" w:cs="Times New Roman" w:eastAsia="Times New Roman" w:hAnsi="Times New Roman"/>
          <w:sz w:val="20"/>
          <w:szCs w:val="20"/>
          <w:color w:val="auto"/>
        </w:rPr>
        <w:t>, a limited partnership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established and existing under the Laws of the People’s Republic of China, holding a business license with unified social credit code of 91330402MAK4R5MN6Y, and with its registered address at Room 221-100, Building 1, Fund Town, No. 1856 Nanjiang Road, Dongzha Street, Nanhu District, Jiaxing City, Zhejiang Province (“</w:t>
      </w:r>
      <w:r>
        <w:rPr>
          <w:rFonts w:ascii="Times New Roman" w:cs="Times New Roman" w:eastAsia="Times New Roman" w:hAnsi="Times New Roman"/>
          <w:sz w:val="20"/>
          <w:szCs w:val="20"/>
          <w:b w:val="1"/>
          <w:bCs w:val="1"/>
          <w:color w:val="auto"/>
        </w:rPr>
        <w:t>Juyuan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Zhiguang</w:t>
      </w:r>
      <w:r>
        <w:rPr>
          <w:rFonts w:ascii="Times New Roman" w:cs="Times New Roman" w:eastAsia="Times New Roman" w:hAnsi="Times New Roman"/>
          <w:sz w:val="20"/>
          <w:szCs w:val="20"/>
          <w:color w:val="auto"/>
        </w:rPr>
        <w:t>”, together with Juyuan Xinchuang, the “</w:t>
      </w:r>
      <w:r>
        <w:rPr>
          <w:rFonts w:ascii="Times New Roman" w:cs="Times New Roman" w:eastAsia="Times New Roman" w:hAnsi="Times New Roman"/>
          <w:sz w:val="20"/>
          <w:szCs w:val="20"/>
          <w:b w:val="1"/>
          <w:bCs w:val="1"/>
          <w:color w:val="auto"/>
        </w:rPr>
        <w:t>Zhongxin Juyuan</w:t>
      </w:r>
      <w:r>
        <w:rPr>
          <w:rFonts w:ascii="Times New Roman" w:cs="Times New Roman" w:eastAsia="Times New Roman" w:hAnsi="Times New Roman"/>
          <w:sz w:val="20"/>
          <w:szCs w:val="20"/>
          <w:color w:val="auto"/>
        </w:rPr>
        <w:t>”)</w:t>
      </w:r>
      <w:r>
        <w:rPr>
          <w:rFonts w:ascii="MS PGothic" w:cs="MS PGothic" w:eastAsia="MS PGothic" w:hAnsi="MS PGothic"/>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left="600" w:hanging="600"/>
        <w:spacing w:after="0" w:line="243" w:lineRule="auto"/>
        <w:tabs>
          <w:tab w:leader="none" w:pos="6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Anhui Guokong Growth Energy Investment Fund Partnership Enterprise (Limited Partnership)</w:t>
      </w:r>
      <w:r>
        <w:rPr>
          <w:rFonts w:ascii="Times New Roman" w:cs="Times New Roman" w:eastAsia="Times New Roman" w:hAnsi="Times New Roman"/>
          <w:sz w:val="20"/>
          <w:szCs w:val="20"/>
          <w:color w:val="auto"/>
        </w:rPr>
        <w:t>, 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duly established and existing under the Laws of the People’s Republic of China, holding a business license with unified social credit code of 91340111MA2WCKDQ5B, and with its registered address at BH333, Binhu Financial Town, No. 8 Heilongjiang Road, Baohe District, Hefei City (“</w:t>
      </w:r>
      <w:r>
        <w:rPr>
          <w:rFonts w:ascii="Times New Roman" w:cs="Times New Roman" w:eastAsia="Times New Roman" w:hAnsi="Times New Roman"/>
          <w:sz w:val="20"/>
          <w:szCs w:val="20"/>
          <w:b w:val="1"/>
          <w:bCs w:val="1"/>
          <w:color w:val="auto"/>
        </w:rPr>
        <w:t>Anhui Guokong</w:t>
      </w:r>
      <w:r>
        <w:rPr>
          <w:rFonts w:ascii="Times New Roman" w:cs="Times New Roman" w:eastAsia="Times New Roman" w:hAnsi="Times New Roman"/>
          <w:sz w:val="20"/>
          <w:szCs w:val="20"/>
          <w:color w:val="auto"/>
        </w:rPr>
        <w:t>”);</w:t>
      </w:r>
    </w:p>
    <w:p>
      <w:pPr>
        <w:spacing w:after="0" w:line="120" w:lineRule="exact"/>
        <w:rPr>
          <w:rFonts w:ascii="Times New Roman" w:cs="Times New Roman" w:eastAsia="Times New Roman" w:hAnsi="Times New Roman"/>
          <w:sz w:val="20"/>
          <w:szCs w:val="20"/>
          <w:color w:val="auto"/>
        </w:rPr>
      </w:pPr>
    </w:p>
    <w:p>
      <w:pPr>
        <w:jc w:val="both"/>
        <w:ind w:left="600" w:hanging="600"/>
        <w:spacing w:after="0" w:line="239" w:lineRule="auto"/>
        <w:tabs>
          <w:tab w:leader="none" w:pos="6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Anhui Gaoxin Yuanhe Puhua Private Equity Investment Fund Partnership Enterprise (Limited Partnership)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limited partnership duly established and existing under the Laws of the People’s Republic of China, holding a business license with unified social credit code of 91341171MADX2642XG, and with its registered address at Room 407-5, Suzhou-Chuzhou International Business Center, No. 1999 Huizhou South Road, Dawang Subdistrict, China-Singapore Suzhou-Chuzhou High-tech Industrial Development Zone, Chuzhou City, Anhui Province (“</w:t>
      </w:r>
      <w:r>
        <w:rPr>
          <w:rFonts w:ascii="Times New Roman" w:cs="Times New Roman" w:eastAsia="Times New Roman" w:hAnsi="Times New Roman"/>
          <w:sz w:val="20"/>
          <w:szCs w:val="20"/>
          <w:b w:val="1"/>
          <w:bCs w:val="1"/>
          <w:color w:val="auto"/>
        </w:rPr>
        <w:t>Yuanhe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Puhua</w:t>
      </w:r>
      <w:r>
        <w:rPr>
          <w:rFonts w:ascii="Times New Roman" w:cs="Times New Roman" w:eastAsia="Times New Roman" w:hAnsi="Times New Roman"/>
          <w:sz w:val="20"/>
          <w:szCs w:val="20"/>
          <w:color w:val="auto"/>
        </w:rPr>
        <w:t>”);</w:t>
      </w:r>
    </w:p>
    <w:p>
      <w:pPr>
        <w:spacing w:after="0" w:line="123"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Hefei Weilai Industrial Development Equity Investment Partnership Enterprise (Limited Partnership)</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partnership duly established and existing under the Laws of the People’s Republic of China, holding a business license with unified social credit code of 91340121MA8NGPNUXW, and with its registered address at Shuangfeng Zhigu Innovation and Entrepreneurship Technology Park, Intersection of Meichonghu Road and Wenming Road, Shuangfeng Industrial Zone, Changfeng County, Hefei City, Anhui Province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Hefei Weilai Investment</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jc w:val="both"/>
        <w:ind w:left="600" w:hanging="600"/>
        <w:spacing w:after="0"/>
        <w:tabs>
          <w:tab w:leader="none" w:pos="6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Chongqing Manufacturing Transformation and Upgrade Private Equity Investment Fund Partnership (Limited Partnership)</w:t>
      </w:r>
      <w:r>
        <w:rPr>
          <w:rFonts w:ascii="Times New Roman" w:cs="Times New Roman" w:eastAsia="Times New Roman" w:hAnsi="Times New Roman"/>
          <w:sz w:val="20"/>
          <w:szCs w:val="20"/>
          <w:color w:val="auto"/>
        </w:rPr>
        <w:t>, a limited partnership duly established and existing under the Laws of the People’s Republic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China, holding a business license with unified social credit code of 91500151MA7F7WCR6C, and with its registered address at 15/F, Financial Building, No. 505 Jinlong Avenue, Dongcheng Subdistrict, Tongliang District, Chongqing (“</w:t>
      </w:r>
      <w:r>
        <w:rPr>
          <w:rFonts w:ascii="Times New Roman" w:cs="Times New Roman" w:eastAsia="Times New Roman" w:hAnsi="Times New Roman"/>
          <w:sz w:val="20"/>
          <w:szCs w:val="20"/>
          <w:b w:val="1"/>
          <w:bCs w:val="1"/>
          <w:color w:val="auto"/>
        </w:rPr>
        <w:t>Chongqing Manufacturing Fund</w:t>
      </w:r>
      <w:r>
        <w:rPr>
          <w:rFonts w:ascii="Times New Roman" w:cs="Times New Roman" w:eastAsia="Times New Roman" w:hAnsi="Times New Roman"/>
          <w:sz w:val="20"/>
          <w:szCs w:val="20"/>
          <w:color w:val="auto"/>
        </w:rPr>
        <w:t>”);</w:t>
      </w:r>
    </w:p>
    <w:p>
      <w:pPr>
        <w:spacing w:after="0" w:line="124" w:lineRule="exact"/>
        <w:rPr>
          <w:rFonts w:ascii="Times New Roman" w:cs="Times New Roman" w:eastAsia="Times New Roman" w:hAnsi="Times New Roman"/>
          <w:sz w:val="20"/>
          <w:szCs w:val="20"/>
          <w:color w:val="auto"/>
        </w:rPr>
      </w:pPr>
    </w:p>
    <w:p>
      <w:pPr>
        <w:jc w:val="both"/>
        <w:ind w:left="600" w:hanging="600"/>
        <w:spacing w:after="0" w:line="239" w:lineRule="auto"/>
        <w:tabs>
          <w:tab w:leader="none" w:pos="6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Hubei Green Innovation Navigation Equity Investment Partnership (Limited Partnership)</w:t>
      </w:r>
      <w:r>
        <w:rPr>
          <w:rFonts w:ascii="Times New Roman" w:cs="Times New Roman" w:eastAsia="Times New Roman" w:hAnsi="Times New Roman"/>
          <w:sz w:val="20"/>
          <w:szCs w:val="20"/>
          <w:color w:val="auto"/>
        </w:rPr>
        <w:t>, 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duly established and existing under the Laws of the People’s Republic of China, holding a business license with unified social credit code of 91420106MAEL9FK33A, and with its registered address at Room 3206, New Commercial Service Facility (Tietou Carbon Hub), No. 223 Zhongbei Road, Wuchang District, Wuhan City, Hubei Province (“</w:t>
      </w:r>
      <w:r>
        <w:rPr>
          <w:rFonts w:ascii="Times New Roman" w:cs="Times New Roman" w:eastAsia="Times New Roman" w:hAnsi="Times New Roman"/>
          <w:sz w:val="20"/>
          <w:szCs w:val="20"/>
          <w:b w:val="1"/>
          <w:bCs w:val="1"/>
          <w:color w:val="auto"/>
        </w:rPr>
        <w:t>Hubei Green Innovation Fund</w:t>
      </w:r>
      <w:r>
        <w:rPr>
          <w:rFonts w:ascii="Times New Roman" w:cs="Times New Roman" w:eastAsia="Times New Roman" w:hAnsi="Times New Roman"/>
          <w:sz w:val="20"/>
          <w:szCs w:val="20"/>
          <w:color w:val="auto"/>
        </w:rPr>
        <w:t>”, together with Chongqing Manufacturing Fund, the “</w:t>
      </w:r>
      <w:r>
        <w:rPr>
          <w:rFonts w:ascii="Times New Roman" w:cs="Times New Roman" w:eastAsia="Times New Roman" w:hAnsi="Times New Roman"/>
          <w:sz w:val="20"/>
          <w:szCs w:val="20"/>
          <w:b w:val="1"/>
          <w:bCs w:val="1"/>
          <w:color w:val="auto"/>
        </w:rPr>
        <w:t>Jianxin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Equity</w:t>
      </w:r>
      <w:r>
        <w:rPr>
          <w:rFonts w:ascii="Times New Roman" w:cs="Times New Roman" w:eastAsia="Times New Roman" w:hAnsi="Times New Roman"/>
          <w:sz w:val="20"/>
          <w:szCs w:val="20"/>
          <w:color w:val="auto"/>
        </w:rPr>
        <w:t>”); and</w:t>
      </w:r>
    </w:p>
    <w:p>
      <w:pPr>
        <w:spacing w:after="0" w:line="123" w:lineRule="exact"/>
        <w:rPr>
          <w:rFonts w:ascii="Times New Roman" w:cs="Times New Roman" w:eastAsia="Times New Roman" w:hAnsi="Times New Roman"/>
          <w:sz w:val="20"/>
          <w:szCs w:val="20"/>
          <w:color w:val="auto"/>
        </w:rPr>
      </w:pPr>
    </w:p>
    <w:p>
      <w:pPr>
        <w:jc w:val="both"/>
        <w:ind w:left="600" w:hanging="600"/>
        <w:spacing w:after="0" w:line="260" w:lineRule="auto"/>
        <w:tabs>
          <w:tab w:leader="none" w:pos="60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Kunshan Yuanhe Yucheng Venture Capital Partnership (Limited Partnership)</w:t>
      </w:r>
      <w:r>
        <w:rPr>
          <w:rFonts w:ascii="Times New Roman" w:cs="Times New Roman" w:eastAsia="Times New Roman" w:hAnsi="Times New Roman"/>
          <w:sz w:val="19"/>
          <w:szCs w:val="19"/>
          <w:color w:val="auto"/>
        </w:rPr>
        <w:t>, a limited partnership duly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established and existing under the Laws of the People’s Republic of China, holding a business license with unified social credit code of 91320583MAD0U3MTX7, and with its registered address at Room 702, Building 1, Huijin Fortune Plaza, No. 258 Dengyun Road, Yushan Town, Kunshan City, Suzhou, Jiangsu Province (“</w:t>
      </w:r>
      <w:r>
        <w:rPr>
          <w:rFonts w:ascii="Times New Roman" w:cs="Times New Roman" w:eastAsia="Times New Roman" w:hAnsi="Times New Roman"/>
          <w:sz w:val="19"/>
          <w:szCs w:val="19"/>
          <w:b w:val="1"/>
          <w:bCs w:val="1"/>
          <w:color w:val="auto"/>
        </w:rPr>
        <w:t>Oriza Holdings</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Shenrui No.1, Shenrui No.2 and Shenrui No.3 are hereinafter individually or collectively referred to as the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Shareholding Platforms</w:t>
      </w:r>
      <w:r>
        <w:rPr>
          <w:rFonts w:ascii="Times New Roman" w:cs="Times New Roman" w:eastAsia="Times New Roman" w:hAnsi="Times New Roman"/>
          <w:sz w:val="20"/>
          <w:szCs w:val="20"/>
          <w:color w:val="auto"/>
        </w:rPr>
        <w:t>”. The Target Company, NIO, Controlling Shareholder and the Employee Shareholding Platforms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hereinafter individually referred to as a “</w:t>
      </w:r>
      <w:r>
        <w:rPr>
          <w:rFonts w:ascii="Times New Roman" w:cs="Times New Roman" w:eastAsia="Times New Roman" w:hAnsi="Times New Roman"/>
          <w:sz w:val="20"/>
          <w:szCs w:val="20"/>
          <w:b w:val="1"/>
          <w:bCs w:val="1"/>
          <w:color w:val="auto"/>
        </w:rPr>
        <w:t>Company Party</w:t>
      </w:r>
      <w:r>
        <w:rPr>
          <w:rFonts w:ascii="Times New Roman" w:cs="Times New Roman" w:eastAsia="Times New Roman" w:hAnsi="Times New Roman"/>
          <w:sz w:val="20"/>
          <w:szCs w:val="20"/>
          <w:color w:val="auto"/>
        </w:rPr>
        <w:t>” and collectively as the“</w:t>
      </w:r>
      <w:r>
        <w:rPr>
          <w:rFonts w:ascii="Times New Roman" w:cs="Times New Roman" w:eastAsia="Times New Roman" w:hAnsi="Times New Roman"/>
          <w:sz w:val="20"/>
          <w:szCs w:val="20"/>
          <w:b w:val="1"/>
          <w:bCs w:val="1"/>
          <w:color w:val="auto"/>
        </w:rPr>
        <w:t>Company Parties</w:t>
      </w:r>
      <w:r>
        <w:rPr>
          <w:rFonts w:ascii="Times New Roman" w:cs="Times New Roman" w:eastAsia="Times New Roman" w:hAnsi="Times New Roman"/>
          <w:sz w:val="20"/>
          <w:szCs w:val="20"/>
          <w:color w:val="auto"/>
        </w:rPr>
        <w:t>”. Emerging Industry Fund, Hefei Haiheng, Harmonious Growth Fund, Social Security Yangtze River Delta Fund, OmniVision Group, Shanghai Keshi, Juyuan Xinchuang, Juyuan Zhiguang, Anhui Guokong, Yuanhe Puhua, Hefei Weilai Investment, Chongqing Manufacturing Fund, Hubei Green Innovation Fund and Oriza Holdings are hereinafter individually referred to as an “</w:t>
      </w:r>
      <w:r>
        <w:rPr>
          <w:rFonts w:ascii="Times New Roman" w:cs="Times New Roman" w:eastAsia="Times New Roman" w:hAnsi="Times New Roman"/>
          <w:sz w:val="20"/>
          <w:szCs w:val="20"/>
          <w:b w:val="1"/>
          <w:bCs w:val="1"/>
          <w:color w:val="auto"/>
        </w:rPr>
        <w:t>Investor</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Investors</w:t>
      </w:r>
      <w:r>
        <w:rPr>
          <w:rFonts w:ascii="Times New Roman" w:cs="Times New Roman" w:eastAsia="Times New Roman" w:hAnsi="Times New Roman"/>
          <w:sz w:val="20"/>
          <w:szCs w:val="20"/>
          <w:color w:val="auto"/>
        </w:rPr>
        <w:t>”. The above parties are referred to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39" w:lineRule="exact"/>
        <w:rPr>
          <w:sz w:val="20"/>
          <w:szCs w:val="20"/>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WHEREAS</w:t>
      </w:r>
      <w:r>
        <w:rPr>
          <w:rFonts w:ascii="MS PGothic" w:cs="MS PGothic" w:eastAsia="MS PGothic" w:hAnsi="MS PGothic"/>
          <w:sz w:val="20"/>
          <w:szCs w:val="20"/>
          <w:color w:val="auto"/>
        </w:rPr>
        <w:t>：</w:t>
      </w:r>
    </w:p>
    <w:p>
      <w:pPr>
        <w:spacing w:after="0" w:line="195" w:lineRule="exact"/>
        <w:rPr>
          <w:sz w:val="20"/>
          <w:szCs w:val="20"/>
          <w:color w:val="auto"/>
        </w:rPr>
      </w:pPr>
    </w:p>
    <w:p>
      <w:pPr>
        <w:ind w:left="600" w:hanging="600"/>
        <w:spacing w:after="0"/>
        <w:tabs>
          <w:tab w:leader="none" w:pos="60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is a limited liability company established under the Laws of China;</w:t>
      </w:r>
    </w:p>
    <w:p>
      <w:pPr>
        <w:spacing w:after="0" w:line="153" w:lineRule="exact"/>
        <w:rPr>
          <w:rFonts w:ascii="Times New Roman" w:cs="Times New Roman" w:eastAsia="Times New Roman" w:hAnsi="Times New Roman"/>
          <w:sz w:val="20"/>
          <w:szCs w:val="20"/>
          <w:color w:val="auto"/>
        </w:rPr>
      </w:pPr>
    </w:p>
    <w:p>
      <w:pPr>
        <w:ind w:left="600" w:hanging="600"/>
        <w:spacing w:after="0" w:line="262" w:lineRule="auto"/>
        <w:tabs>
          <w:tab w:leader="none" w:pos="60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Execution Date of this Agreement, the registered capital of the Target Company is RMB75,291,296.05 (in words: Renminbi Seventy-Five Million Two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158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600"/>
        <w:spacing w:after="0" w:line="236" w:lineRule="auto"/>
        <w:rPr>
          <w:sz w:val="20"/>
          <w:szCs w:val="20"/>
          <w:color w:val="auto"/>
        </w:rPr>
      </w:pPr>
      <w:r>
        <w:rPr>
          <w:rFonts w:ascii="Times New Roman" w:cs="Times New Roman" w:eastAsia="Times New Roman" w:hAnsi="Times New Roman"/>
          <w:sz w:val="20"/>
          <w:szCs w:val="20"/>
          <w:color w:val="auto"/>
        </w:rPr>
        <w:t>Hundred Ninety-One Thousand Two Hundred Ninety-Six Yuan and Five Fen). The Controlling Shareholder holds 86.2667% of the equity in the Target Company, with paid-in registered capital of RMB64,951,291.39 (in words: Renminbi Sixty-Four Million Nine Hundred Fifty-One Thousand Two Hundred Ninety-One Yuan and Thirty-Nine Fen). Shenrui No.1 holds 5.4933% of the equity in the Target Company, with subscribed registered capital of RMB4,136,001.86 (in words: Renminbi Four Million One Hundred Thirty-Six Thousand One Yuan and Eighty-Six Fen). Shenrui No.2 holds 4.1200% of the equity in the Target Company, with subscribed registered capital of RMB3,102,001.40 (in words: Renminbi Three Million One Hundred Two Thousand One Yuan and Forty Fen). Shenrui No.3 holds 4.1200% of the equity in the Target Company, with subscribed registered capital of RMB3,102,001.40 (in words: Renminbi Three Million One Hundred Two Thousand One Yuan and Forty Fen). The equity structure of the Target Company is as set forth in Part 1 of Exhibit 1;</w:t>
      </w:r>
    </w:p>
    <w:p>
      <w:pPr>
        <w:spacing w:after="0" w:line="127" w:lineRule="exact"/>
        <w:rPr>
          <w:sz w:val="20"/>
          <w:szCs w:val="20"/>
          <w:color w:val="auto"/>
        </w:rPr>
      </w:pPr>
    </w:p>
    <w:p>
      <w:pPr>
        <w:ind w:left="600" w:hanging="600"/>
        <w:spacing w:after="0" w:line="262" w:lineRule="auto"/>
        <w:tabs>
          <w:tab w:leader="none" w:pos="6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intends to subscribe for and contribute to the increased registered capital of the Target Company in accordance with the terms of this Agreement; and</w:t>
      </w:r>
    </w:p>
    <w:p>
      <w:pPr>
        <w:spacing w:after="0" w:line="104" w:lineRule="exact"/>
        <w:rPr>
          <w:rFonts w:ascii="Times New Roman" w:cs="Times New Roman" w:eastAsia="Times New Roman" w:hAnsi="Times New Roman"/>
          <w:sz w:val="20"/>
          <w:szCs w:val="20"/>
          <w:color w:val="auto"/>
        </w:rPr>
      </w:pPr>
    </w:p>
    <w:p>
      <w:pPr>
        <w:jc w:val="both"/>
        <w:ind w:left="600" w:hanging="600"/>
        <w:spacing w:after="0" w:line="247" w:lineRule="auto"/>
        <w:tabs>
          <w:tab w:leader="none" w:pos="6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same date as the Execution Date of this Agreement, the Parties hereto also entered into the GeniTech Co. Shareholders Agreement (the “</w:t>
      </w:r>
      <w:r>
        <w:rPr>
          <w:rFonts w:ascii="Times New Roman" w:cs="Times New Roman" w:eastAsia="Times New Roman" w:hAnsi="Times New Roman"/>
          <w:sz w:val="20"/>
          <w:szCs w:val="20"/>
          <w:b w:val="1"/>
          <w:bCs w:val="1"/>
          <w:color w:val="auto"/>
        </w:rPr>
        <w:t>Shareholders Agreement</w:t>
      </w:r>
      <w:r>
        <w:rPr>
          <w:rFonts w:ascii="Times New Roman" w:cs="Times New Roman" w:eastAsia="Times New Roman" w:hAnsi="Times New Roman"/>
          <w:sz w:val="20"/>
          <w:szCs w:val="20"/>
          <w:color w:val="auto"/>
        </w:rPr>
        <w:t>”) in connection with the transactions contemplated hereunder.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the parties hereto have agreed as follows:</w:t>
      </w:r>
    </w:p>
    <w:p>
      <w:pPr>
        <w:spacing w:after="0" w:line="150" w:lineRule="exact"/>
        <w:rPr>
          <w:sz w:val="20"/>
          <w:szCs w:val="20"/>
          <w:color w:val="auto"/>
        </w:rPr>
      </w:pPr>
    </w:p>
    <w:p>
      <w:pPr>
        <w:ind w:left="3460" w:hanging="599"/>
        <w:spacing w:after="0"/>
        <w:tabs>
          <w:tab w:leader="none" w:pos="3460"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AND INTERPRETATION</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DEFINITIONS</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Unless otherwise specified in this Agreement, the following terms shall have the following meanings:</w:t>
      </w:r>
    </w:p>
    <w:p>
      <w:pPr>
        <w:sectPr>
          <w:pgSz w:w="11900" w:h="16838" w:orient="portrait"/>
          <w:cols w:equalWidth="0" w:num="1">
            <w:col w:w="9920"/>
          </w:cols>
          <w:pgMar w:left="980" w:top="609" w:right="999" w:bottom="1440" w:gutter="0" w:footer="0" w:header="0"/>
        </w:sectPr>
      </w:pPr>
    </w:p>
    <w:p>
      <w:pPr>
        <w:spacing w:after="0" w:line="1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9"/>
          <w:szCs w:val="19"/>
          <w:b w:val="1"/>
          <w:bCs w:val="1"/>
          <w:color w:val="auto"/>
        </w:rPr>
        <w:t>“Fully-Diluted Basis”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means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ind w:right="1000"/>
        <w:spacing w:after="0" w:line="250" w:lineRule="auto"/>
        <w:rPr>
          <w:sz w:val="20"/>
          <w:szCs w:val="20"/>
          <w:color w:val="auto"/>
        </w:rPr>
      </w:pPr>
      <w:r>
        <w:rPr>
          <w:rFonts w:ascii="Times New Roman" w:cs="Times New Roman" w:eastAsia="Times New Roman" w:hAnsi="Times New Roman"/>
          <w:sz w:val="19"/>
          <w:szCs w:val="19"/>
          <w:color w:val="auto"/>
        </w:rPr>
        <w:t>including all issued or contractually committed equity interests upon completion of the Closing, encompassing all equity interests, option arrangements (if any), warrant arrangements (if any), various convertible equity instruments (if any), and effects arising from anti-dilution provisions (if any) that may exist due to prior financing rounds. If such arrangements exist, the registered capital of the Target Company shall be calculated based on the outcome after full implementation of the relevant arrangements.</w:t>
      </w:r>
    </w:p>
    <w:p>
      <w:pPr>
        <w:spacing w:after="0" w:line="200" w:lineRule="exact"/>
        <w:rPr>
          <w:sz w:val="20"/>
          <w:szCs w:val="20"/>
          <w:color w:val="auto"/>
        </w:rPr>
      </w:pPr>
    </w:p>
    <w:p>
      <w:pPr>
        <w:sectPr>
          <w:pgSz w:w="11900" w:h="16838" w:orient="portrait"/>
          <w:cols w:equalWidth="0" w:num="3">
            <w:col w:w="2820" w:space="520"/>
            <w:col w:w="500" w:space="220"/>
            <w:col w:w="5860"/>
          </w:cols>
          <w:pgMar w:left="980" w:top="609"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type w:val="continuous"/>
        </w:sectPr>
      </w:pPr>
    </w:p>
    <w:bookmarkStart w:id="300" w:name="page301"/>
    <w:bookmarkEnd w:id="300"/>
    <w:p>
      <w:pPr>
        <w:jc w:val="center"/>
        <w:ind w:right="19"/>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58"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Intellectual</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patents  and  patent  applications,  trademarks  and</w:t>
            </w:r>
          </w:p>
        </w:tc>
      </w:tr>
      <w:tr>
        <w:trPr>
          <w:trHeight w:val="227"/>
        </w:trPr>
        <w:tc>
          <w:tcPr>
            <w:tcW w:w="206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Property”</w:t>
            </w:r>
          </w:p>
        </w:tc>
        <w:tc>
          <w:tcPr>
            <w:tcW w:w="820" w:type="dxa"/>
            <w:vAlign w:val="bottom"/>
          </w:tcPr>
          <w:p>
            <w:pPr>
              <w:spacing w:after="0"/>
              <w:rPr>
                <w:sz w:val="19"/>
                <w:szCs w:val="19"/>
                <w:color w:val="auto"/>
              </w:rPr>
            </w:pPr>
          </w:p>
        </w:tc>
        <w:tc>
          <w:tcPr>
            <w:tcW w:w="50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trademark applications listed in Exhibits 1 and 2 of the</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Patent and Trademark Rights Transfer Agreement executed</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between  the  Target  Company,  NIO  Co.,  Ltd.,  NIO</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Technology (Anhui) Co., Ltd., NIO (Anhui) Co., Ltd. and</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w w:val="99"/>
              </w:rPr>
              <w:t>Wei Rui Technology (Shenzhen) Co., Ltd. on September 29,</w:t>
            </w:r>
          </w:p>
        </w:tc>
      </w:tr>
      <w:tr>
        <w:trPr>
          <w:trHeight w:val="258"/>
        </w:trPr>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2025, as attached in Exhibit 2 hereto.</w:t>
            </w:r>
          </w:p>
        </w:tc>
      </w:tr>
      <w:tr>
        <w:trPr>
          <w:trHeight w:val="348"/>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“Target Assets”</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contents specified in Exhibits 1 and 2 of the Asset</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Transfer Agreement executed between the Target Company,</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NIO Co., Ltd. and NIO Technology (Anhui) Co., Ltd. on</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September  29,  2025,  as  attached  in  Exhibit  2  hereto,</w:t>
            </w:r>
          </w:p>
        </w:tc>
      </w:tr>
      <w:tr>
        <w:trPr>
          <w:trHeight w:val="258"/>
        </w:trPr>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together with the Target Intellectual Property.</w:t>
            </w:r>
          </w:p>
        </w:tc>
      </w:tr>
      <w:tr>
        <w:trPr>
          <w:trHeight w:val="657"/>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“Target Business”</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autonomous  driving  chip  business  and  autonomous</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driving domain controller business currently operated by</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NIO Holding Co., Ltd. and its affiliates, which will be</w:t>
            </w:r>
          </w:p>
        </w:tc>
      </w:tr>
      <w:tr>
        <w:trPr>
          <w:trHeight w:val="258"/>
        </w:trPr>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assumed by the Target Company.</w:t>
            </w: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w:t>
            </w: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all matters listed in Exhibit 11.</w:t>
            </w:r>
          </w:p>
        </w:tc>
      </w:tr>
      <w:tr>
        <w:trPr>
          <w:trHeight w:val="262"/>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Spin-off”</w:t>
            </w:r>
          </w:p>
        </w:tc>
        <w:tc>
          <w:tcPr>
            <w:tcW w:w="82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348"/>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with respect to any person, all actual or potential debts and</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obligations of any nature, whether or not disclosure thereof</w:t>
            </w:r>
          </w:p>
        </w:tc>
      </w:tr>
      <w:tr>
        <w:trPr>
          <w:trHeight w:val="258"/>
        </w:trPr>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 required in such person’s accounts based on their nature.</w:t>
            </w:r>
          </w:p>
        </w:tc>
      </w:tr>
      <w:tr>
        <w:trPr>
          <w:trHeight w:val="348"/>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“Business Day”</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any day other than a Saturday, Sunday, statutory holiday, or</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any other day on which commercial banks are closed for</w:t>
            </w:r>
          </w:p>
        </w:tc>
      </w:tr>
      <w:tr>
        <w:trPr>
          <w:trHeight w:val="258"/>
        </w:trPr>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business in China.</w:t>
            </w: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“New</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Articles   of</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the restated and amended articles of association of the Target</w:t>
            </w:r>
          </w:p>
        </w:tc>
      </w:tr>
      <w:tr>
        <w:trPr>
          <w:trHeight w:val="227"/>
        </w:trPr>
        <w:tc>
          <w:tcPr>
            <w:tcW w:w="206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Association”</w:t>
            </w:r>
          </w:p>
        </w:tc>
        <w:tc>
          <w:tcPr>
            <w:tcW w:w="820" w:type="dxa"/>
            <w:vAlign w:val="bottom"/>
          </w:tcPr>
          <w:p>
            <w:pPr>
              <w:spacing w:after="0"/>
              <w:rPr>
                <w:sz w:val="19"/>
                <w:szCs w:val="19"/>
                <w:color w:val="auto"/>
              </w:rPr>
            </w:pPr>
          </w:p>
        </w:tc>
        <w:tc>
          <w:tcPr>
            <w:tcW w:w="50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Company reflecting the transactions contemplated herein,</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executed  by  the  Target  Company,  the  Controlling</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Shareholder, the Employee Shareholding Platforms, and all</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Investors on or before the Closing Date, the form and</w:t>
            </w:r>
          </w:p>
        </w:tc>
      </w:tr>
      <w:tr>
        <w:trPr>
          <w:trHeight w:val="258"/>
        </w:trPr>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content of which are set out in Exhibit 8.</w:t>
            </w:r>
          </w:p>
        </w:tc>
      </w:tr>
      <w:tr>
        <w:trPr>
          <w:trHeight w:val="344"/>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“Shareholders</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shareholders  agreement  reflecting  the  transaction</w:t>
            </w:r>
          </w:p>
        </w:tc>
      </w:tr>
      <w:tr>
        <w:trPr>
          <w:trHeight w:val="227"/>
        </w:trPr>
        <w:tc>
          <w:tcPr>
            <w:tcW w:w="206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Agreement”</w:t>
            </w:r>
          </w:p>
        </w:tc>
        <w:tc>
          <w:tcPr>
            <w:tcW w:w="820" w:type="dxa"/>
            <w:vAlign w:val="bottom"/>
          </w:tcPr>
          <w:p>
            <w:pPr>
              <w:spacing w:after="0"/>
              <w:rPr>
                <w:sz w:val="19"/>
                <w:szCs w:val="19"/>
                <w:color w:val="auto"/>
              </w:rPr>
            </w:pPr>
          </w:p>
        </w:tc>
        <w:tc>
          <w:tcPr>
            <w:tcW w:w="50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contemplated herein, executed by the Target Company, the</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Controlling  Shareholder,  the  Employee  Shareholding</w:t>
            </w:r>
          </w:p>
        </w:tc>
      </w:tr>
      <w:tr>
        <w:trPr>
          <w:trHeight w:val="223"/>
        </w:trPr>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Platforms, and all Investors on or before the Closing Date,</w:t>
            </w:r>
          </w:p>
        </w:tc>
      </w:tr>
      <w:tr>
        <w:trPr>
          <w:trHeight w:val="258"/>
        </w:trPr>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form and content of which are set out in Exhibit 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15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9"/>
          <w:szCs w:val="19"/>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152400</wp:posOffset>
            </wp:positionV>
            <wp:extent cx="631063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“Equity Securities”</w:t>
            </w:r>
          </w:p>
        </w:tc>
        <w:tc>
          <w:tcPr>
            <w:tcW w:w="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with respect to any person, such person’s equities, shares,</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preferred shares, shareholder rights, partnership interests,</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registered capital, joint venture interests, or other ownership</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interests, as well as options, warrants, or other rights or</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securities that are directly or indirectly convertible into,</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exercisable for, or exchangeable for the aforementioned</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interests. Any reference in this Agreement to the “equity” of</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a  person  shall  include  Equity  Securities  unless  such</w:t>
            </w:r>
          </w:p>
        </w:tc>
      </w:tr>
      <w:tr>
        <w:trPr>
          <w:trHeight w:val="258"/>
        </w:trPr>
        <w:tc>
          <w:tcPr>
            <w:tcW w:w="2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interpretation is clearly inconsistent with the context.</w:t>
            </w:r>
          </w:p>
        </w:tc>
      </w:tr>
      <w:tr>
        <w:trPr>
          <w:trHeight w:val="384"/>
        </w:trPr>
        <w:tc>
          <w:tcPr>
            <w:tcW w:w="2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“Management Team”</w:t>
            </w:r>
          </w:p>
        </w:tc>
        <w:tc>
          <w:tcPr>
            <w:tcW w:w="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employees listed in Exhibit 4 hereto.</w:t>
            </w:r>
          </w:p>
        </w:tc>
      </w:tr>
      <w:tr>
        <w:trPr>
          <w:trHeight w:val="385"/>
        </w:trPr>
        <w:tc>
          <w:tcPr>
            <w:tcW w:w="2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“Affiliate”</w:t>
            </w:r>
          </w:p>
        </w:tc>
        <w:tc>
          <w:tcPr>
            <w:tcW w:w="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16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i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where such person is not a natural person, any other</w:t>
            </w:r>
          </w:p>
        </w:tc>
      </w:tr>
      <w:tr>
        <w:trPr>
          <w:trHeight w:val="235"/>
        </w:trPr>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person that directly or indirectly Controls, is Controlled by,</w:t>
            </w:r>
          </w:p>
        </w:tc>
      </w:tr>
      <w:tr>
        <w:trPr>
          <w:trHeight w:val="248"/>
        </w:trPr>
        <w:tc>
          <w:tcPr>
            <w:tcW w:w="2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20" w:type="dxa"/>
            <w:vAlign w:val="bottom"/>
          </w:tcPr>
          <w:p>
            <w:pPr>
              <w:ind w:left="160"/>
              <w:spacing w:after="0" w:line="230" w:lineRule="exact"/>
              <w:rPr>
                <w:sz w:val="20"/>
                <w:szCs w:val="20"/>
                <w:color w:val="auto"/>
              </w:rPr>
            </w:pPr>
            <w:r>
              <w:rPr>
                <w:rFonts w:ascii="Times New Roman" w:cs="Times New Roman" w:eastAsia="Times New Roman" w:hAnsi="Times New Roman"/>
                <w:sz w:val="20"/>
                <w:szCs w:val="20"/>
                <w:color w:val="auto"/>
              </w:rPr>
              <w:t>or is under common Control with such person;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where</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such person is a natural person, any other person directly or</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indirectly Controlled by such person, his/her close relatives,</w:t>
            </w:r>
          </w:p>
        </w:tc>
      </w:tr>
      <w:tr>
        <w:trPr>
          <w:trHeight w:val="235"/>
        </w:trPr>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or any other person Controlled by such close relatives; and</w:t>
            </w:r>
          </w:p>
        </w:tc>
      </w:tr>
      <w:tr>
        <w:trPr>
          <w:trHeight w:val="248"/>
        </w:trPr>
        <w:tc>
          <w:tcPr>
            <w:tcW w:w="2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20" w:type="dxa"/>
            <w:vAlign w:val="bottom"/>
          </w:tcPr>
          <w:p>
            <w:pPr>
              <w:ind w:left="16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iii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any other affiliate determined solely according to the</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definition  of  “Control”  or  “Common  Control”  under</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Accounting Standards for Enterprises No.36-Disclosure of</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Related Party. For clarity, no Investor shall be deemed an</w:t>
            </w:r>
          </w:p>
        </w:tc>
      </w:tr>
      <w:tr>
        <w:trPr>
          <w:trHeight w:val="258"/>
        </w:trPr>
        <w:tc>
          <w:tcPr>
            <w:tcW w:w="2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Affiliate of NIO Group.</w:t>
            </w:r>
          </w:p>
        </w:tc>
      </w:tr>
      <w:tr>
        <w:trPr>
          <w:trHeight w:val="344"/>
        </w:trPr>
        <w:tc>
          <w:tcPr>
            <w:tcW w:w="2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“Related</w:t>
            </w:r>
          </w:p>
        </w:tc>
        <w:tc>
          <w:tcPr>
            <w:tcW w:w="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any transaction between the Target Company and/or its</w:t>
            </w:r>
          </w:p>
        </w:tc>
      </w:tr>
      <w:tr>
        <w:trPr>
          <w:trHeight w:val="227"/>
        </w:trPr>
        <w:tc>
          <w:tcPr>
            <w:tcW w:w="202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auto"/>
              </w:rPr>
              <w:t>Transaction”</w:t>
            </w:r>
          </w:p>
        </w:tc>
        <w:tc>
          <w:tcPr>
            <w:tcW w:w="880" w:type="dxa"/>
            <w:vAlign w:val="bottom"/>
          </w:tcPr>
          <w:p>
            <w:pPr>
              <w:spacing w:after="0"/>
              <w:rPr>
                <w:sz w:val="19"/>
                <w:szCs w:val="19"/>
                <w:color w:val="auto"/>
              </w:rPr>
            </w:pPr>
          </w:p>
        </w:tc>
        <w:tc>
          <w:tcPr>
            <w:tcW w:w="502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w w:val="99"/>
              </w:rPr>
              <w:t>Affiliates and: (i) any shareholder, actual controller, director,</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supervisor, or senior management personnel of the Target</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Company and/or its Affiliates, or the ultimate beneficial</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owner(s)  (traced  through  to  natural  persons)  of  the</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Shareholding  Platforms;  (ii)  Affiliates  of  the  persons</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described in item (i) and the directors, supervisors, or senior</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management personnel of such Affiliates; or (iii) any other</w:t>
            </w:r>
          </w:p>
        </w:tc>
      </w:tr>
      <w:tr>
        <w:trPr>
          <w:trHeight w:val="223"/>
        </w:trPr>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related  transaction  identified  in  accordance  with  the</w:t>
            </w:r>
          </w:p>
        </w:tc>
      </w:tr>
      <w:tr>
        <w:trPr>
          <w:trHeight w:val="258"/>
        </w:trPr>
        <w:tc>
          <w:tcPr>
            <w:tcW w:w="2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Accounting Standards for Enterprises.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type w:val="continuous"/>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9"/>
          <w:szCs w:val="19"/>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152400</wp:posOffset>
            </wp:positionV>
            <wp:extent cx="631063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“Closing”</w:t>
            </w:r>
          </w:p>
        </w:tc>
        <w:tc>
          <w:tcPr>
            <w:tcW w:w="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act  of  the  Investors  paying  the  Capital  Increase</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Consideration  in  accordance  with  Section  4.2  of  this</w:t>
            </w:r>
          </w:p>
        </w:tc>
      </w:tr>
      <w:tr>
        <w:trPr>
          <w:trHeight w:val="258"/>
        </w:trPr>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Agreement.</w:t>
            </w:r>
          </w:p>
        </w:tc>
      </w:tr>
      <w:tr>
        <w:trPr>
          <w:trHeight w:val="348"/>
        </w:trPr>
        <w:tc>
          <w:tcPr>
            <w:tcW w:w="2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“Closing Date”</w:t>
            </w:r>
          </w:p>
        </w:tc>
        <w:tc>
          <w:tcPr>
            <w:tcW w:w="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date on which the Investor pays the Capital Increase</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Consideration  in  accordance  with  Section  4.2  of  this</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Agreement. For avoidance of doubt, if different Investors</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make such payments on different dates, the Closing Date</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w w:val="99"/>
              </w:rPr>
              <w:t>shall apply separately to each Investor and shall be the actual</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date on which such Investor pays the Capital Increase</w:t>
            </w:r>
          </w:p>
        </w:tc>
      </w:tr>
      <w:tr>
        <w:trPr>
          <w:trHeight w:val="258"/>
        </w:trPr>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Consideration.</w:t>
            </w:r>
          </w:p>
        </w:tc>
      </w:tr>
      <w:tr>
        <w:trPr>
          <w:trHeight w:val="344"/>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w:t>
            </w:r>
          </w:p>
        </w:tc>
        <w:tc>
          <w:tcPr>
            <w:tcW w:w="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period from the Execution Date of this Agreement until</w:t>
            </w:r>
          </w:p>
        </w:tc>
      </w:tr>
      <w:tr>
        <w:trPr>
          <w:trHeight w:val="227"/>
        </w:trPr>
        <w:tc>
          <w:tcPr>
            <w:tcW w:w="200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auto"/>
              </w:rPr>
              <w:t>Transition Period</w:t>
            </w:r>
            <w:r>
              <w:rPr>
                <w:rFonts w:ascii="Times New Roman" w:cs="Times New Roman" w:eastAsia="Times New Roman" w:hAnsi="Times New Roman"/>
                <w:sz w:val="20"/>
                <w:szCs w:val="20"/>
                <w:color w:val="auto"/>
              </w:rPr>
              <w:t>”</w:t>
            </w:r>
          </w:p>
        </w:tc>
        <w:tc>
          <w:tcPr>
            <w:tcW w:w="900" w:type="dxa"/>
            <w:vAlign w:val="bottom"/>
          </w:tcPr>
          <w:p>
            <w:pPr>
              <w:spacing w:after="0"/>
              <w:rPr>
                <w:sz w:val="19"/>
                <w:szCs w:val="19"/>
                <w:color w:val="auto"/>
              </w:rPr>
            </w:pPr>
          </w:p>
        </w:tc>
        <w:tc>
          <w:tcPr>
            <w:tcW w:w="502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the Closing Date or the termination date of this Agreement,</w:t>
            </w:r>
          </w:p>
        </w:tc>
      </w:tr>
      <w:tr>
        <w:trPr>
          <w:trHeight w:val="258"/>
        </w:trPr>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whichever is earlier.</w:t>
            </w:r>
          </w:p>
        </w:tc>
      </w:tr>
      <w:tr>
        <w:trPr>
          <w:trHeight w:val="348"/>
        </w:trPr>
        <w:tc>
          <w:tcPr>
            <w:tcW w:w="2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“Close Relative”</w:t>
            </w:r>
          </w:p>
        </w:tc>
        <w:tc>
          <w:tcPr>
            <w:tcW w:w="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one’s spouse, children and their spouses, parents, parents-in-</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law, siblings and their spouses, siblings-in-law and their</w:t>
            </w:r>
          </w:p>
        </w:tc>
      </w:tr>
      <w:tr>
        <w:trPr>
          <w:trHeight w:val="258"/>
        </w:trPr>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spouses, grandchildren, grandparents.</w:t>
            </w:r>
          </w:p>
        </w:tc>
      </w:tr>
      <w:tr>
        <w:trPr>
          <w:trHeight w:val="348"/>
        </w:trPr>
        <w:tc>
          <w:tcPr>
            <w:tcW w:w="2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“Group Companies”</w:t>
            </w:r>
          </w:p>
        </w:tc>
        <w:tc>
          <w:tcPr>
            <w:tcW w:w="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Target Company and any other entities that are currently</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w w:val="98"/>
              </w:rPr>
              <w:t>or in the future directly or indirectly Controlled by the Target</w:t>
            </w:r>
          </w:p>
        </w:tc>
      </w:tr>
      <w:tr>
        <w:trPr>
          <w:trHeight w:val="258"/>
        </w:trPr>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Company (if any).</w:t>
            </w:r>
          </w:p>
        </w:tc>
      </w:tr>
      <w:tr>
        <w:trPr>
          <w:trHeight w:val="344"/>
        </w:trPr>
        <w:tc>
          <w:tcPr>
            <w:tcW w:w="2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“Transaction</w:t>
            </w:r>
          </w:p>
        </w:tc>
        <w:tc>
          <w:tcPr>
            <w:tcW w:w="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this  Agreement,  the  Shareholders  Agreement,  the  New</w:t>
            </w:r>
          </w:p>
        </w:tc>
      </w:tr>
      <w:tr>
        <w:trPr>
          <w:trHeight w:val="227"/>
        </w:trPr>
        <w:tc>
          <w:tcPr>
            <w:tcW w:w="200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auto"/>
              </w:rPr>
              <w:t>Documents”</w:t>
            </w:r>
          </w:p>
        </w:tc>
        <w:tc>
          <w:tcPr>
            <w:tcW w:w="900" w:type="dxa"/>
            <w:vAlign w:val="bottom"/>
          </w:tcPr>
          <w:p>
            <w:pPr>
              <w:spacing w:after="0"/>
              <w:rPr>
                <w:sz w:val="19"/>
                <w:szCs w:val="19"/>
                <w:color w:val="auto"/>
              </w:rPr>
            </w:pPr>
          </w:p>
        </w:tc>
        <w:tc>
          <w:tcPr>
            <w:tcW w:w="502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w w:val="99"/>
              </w:rPr>
              <w:t>Articles of Association, and other legal documents related to</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the transactions contemplated herein as stipulated in this</w:t>
            </w:r>
          </w:p>
        </w:tc>
      </w:tr>
      <w:tr>
        <w:trPr>
          <w:trHeight w:val="258"/>
        </w:trPr>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Agreement, as well as all amendments thereto.</w:t>
            </w:r>
          </w:p>
        </w:tc>
      </w:tr>
      <w:tr>
        <w:trPr>
          <w:trHeight w:val="348"/>
        </w:trPr>
        <w:tc>
          <w:tcPr>
            <w:tcW w:w="2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“Control”</w:t>
            </w:r>
          </w:p>
        </w:tc>
        <w:tc>
          <w:tcPr>
            <w:tcW w:w="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means</w:t>
            </w:r>
          </w:p>
        </w:tc>
        <w:tc>
          <w:tcPr>
            <w:tcW w:w="50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(i) holding more than 50% of the issued shares, other equity</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interests, or registered capital of such person; or (ii) the</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power to direct the management or policies of such person,</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whether through the ownership of more than 50% of the</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w w:val="98"/>
              </w:rPr>
              <w:t>voting rights, through proxies representing more than 50% of</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w w:val="99"/>
              </w:rPr>
              <w:t>the voting rights, through the right to appoint the majority of</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w w:val="99"/>
              </w:rPr>
              <w:t>members of the board of directors or similar governing body</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of such person, or through contractual arrangements or</w:t>
            </w:r>
          </w:p>
        </w:tc>
      </w:tr>
      <w:tr>
        <w:trPr>
          <w:trHeight w:val="223"/>
        </w:trPr>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otherwise. For the purpose of this definition, “person” does</w:t>
            </w:r>
          </w:p>
        </w:tc>
      </w:tr>
      <w:tr>
        <w:trPr>
          <w:trHeight w:val="258"/>
        </w:trPr>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 include a natural person.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15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type w:val="continuous"/>
        </w:sectPr>
      </w:pPr>
    </w:p>
    <w:bookmarkStart w:id="303" w:name="page304"/>
    <w:bookmarkEnd w:id="303"/>
    <w:p>
      <w:pPr>
        <w:jc w:val="center"/>
        <w:ind w:right="19"/>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77" w:lineRule="exact"/>
        <w:rPr>
          <w:sz w:val="20"/>
          <w:szCs w:val="20"/>
          <w:color w:val="auto"/>
        </w:rPr>
      </w:pPr>
    </w:p>
    <w:tbl>
      <w:tblPr>
        <w:tblLayout w:type="fixed"/>
        <w:tblInd w:w="540" w:type="dxa"/>
        <w:tblCellMar>
          <w:top w:w="0" w:type="dxa"/>
          <w:left w:w="0" w:type="dxa"/>
          <w:bottom w:w="0" w:type="dxa"/>
          <w:right w:w="0" w:type="dxa"/>
        </w:tblCellMar>
      </w:tblPr>
      <w:tr>
        <w:trPr>
          <w:trHeight w:val="262"/>
        </w:trPr>
        <w:tc>
          <w:tcPr>
            <w:tcW w:w="20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“Target Company”</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GeniTech Co., Ltd.</w:t>
            </w: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44"/>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“Proposed</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33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the content set forth in Exhibit 3 hereto.</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2"/>
        </w:trPr>
        <w:tc>
          <w:tcPr>
            <w:tcW w:w="206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Spin-off Agreement”</w:t>
            </w:r>
          </w:p>
        </w:tc>
        <w:tc>
          <w:tcPr>
            <w:tcW w:w="8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44"/>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“Lease</w:t>
            </w:r>
          </w:p>
        </w:tc>
        <w:tc>
          <w:tcPr>
            <w:tcW w:w="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of</w:t>
            </w: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the</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33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the content set forth in Exhibit 5 hereto.</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3"/>
        </w:trPr>
        <w:tc>
          <w:tcPr>
            <w:tcW w:w="102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b w:val="1"/>
                <w:bCs w:val="1"/>
                <w:color w:val="auto"/>
                <w:w w:val="98"/>
              </w:rPr>
              <w:t>Properties</w:t>
            </w:r>
          </w:p>
        </w:tc>
        <w:tc>
          <w:tcPr>
            <w:tcW w:w="5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b w:val="1"/>
                <w:bCs w:val="1"/>
                <w:color w:val="auto"/>
              </w:rPr>
              <w:t>for</w:t>
            </w:r>
          </w:p>
        </w:tc>
        <w:tc>
          <w:tcPr>
            <w:tcW w:w="52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b w:val="1"/>
                <w:bCs w:val="1"/>
                <w:color w:val="auto"/>
              </w:rPr>
              <w:t>the</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2"/>
        </w:trPr>
        <w:tc>
          <w:tcPr>
            <w:tcW w:w="206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Proposed Spin-off”</w:t>
            </w:r>
          </w:p>
        </w:tc>
        <w:tc>
          <w:tcPr>
            <w:tcW w:w="8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48"/>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“Encumbrances”</w:t>
            </w:r>
          </w:p>
        </w:tc>
        <w:tc>
          <w:tcPr>
            <w:tcW w:w="52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with respect to any person, whether arising by agreement or</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auto"/>
              </w:rPr>
              <w:t>by operation of law: (i) mortgages, pledges, liens, other</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auto"/>
                <w:w w:val="99"/>
              </w:rPr>
              <w:t>security interests, priority rights, voting rights entrustment or</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auto"/>
              </w:rPr>
              <w:t>restrictions  on  transfer  over  a  specific  property;  (ii)</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auto"/>
              </w:rPr>
              <w:t>compulsory measures such as seizure, impoundment, or</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auto"/>
              </w:rPr>
              <w:t>freezing over a specific property; and (iii) claims attached to</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auto"/>
              </w:rPr>
              <w:t>a specific property regarding its ownership, possession, use,</w:t>
            </w:r>
          </w:p>
        </w:tc>
      </w:tr>
      <w:tr>
        <w:trPr>
          <w:trHeight w:val="258"/>
        </w:trPr>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7"/>
              </w:rPr>
              <w:t>disposal, or income rights.</w:t>
            </w: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48"/>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“Person”</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any  individual,  partnership,  company,  limited  liability</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auto"/>
              </w:rPr>
              <w:t>company, joint stock limited company, association, trust,</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cooperative</w:t>
            </w:r>
          </w:p>
        </w:tc>
        <w:tc>
          <w:tcPr>
            <w:tcW w:w="1440" w:type="dxa"/>
            <w:vAlign w:val="bottom"/>
            <w:gridSpan w:val="2"/>
          </w:tcPr>
          <w:p>
            <w:pPr>
              <w:ind w:left="240"/>
              <w:spacing w:after="0" w:line="223" w:lineRule="exact"/>
              <w:rPr>
                <w:sz w:val="20"/>
                <w:szCs w:val="20"/>
                <w:color w:val="auto"/>
              </w:rPr>
            </w:pPr>
            <w:r>
              <w:rPr>
                <w:rFonts w:ascii="Times New Roman" w:cs="Times New Roman" w:eastAsia="Times New Roman" w:hAnsi="Times New Roman"/>
                <w:sz w:val="20"/>
                <w:szCs w:val="20"/>
                <w:color w:val="auto"/>
              </w:rPr>
              <w:t>organization,</w:t>
            </w:r>
          </w:p>
        </w:tc>
        <w:tc>
          <w:tcPr>
            <w:tcW w:w="154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20"/>
                <w:szCs w:val="20"/>
                <w:color w:val="auto"/>
              </w:rPr>
              <w:t>Governmental</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Authority,</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auto"/>
              </w:rPr>
              <w:t>unincorporated organization, other institutional legal entity,</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auto"/>
              </w:rPr>
              <w:t>social organization legal entity, unincorporated entity, or</w:t>
            </w:r>
          </w:p>
        </w:tc>
      </w:tr>
      <w:tr>
        <w:trPr>
          <w:trHeight w:val="258"/>
        </w:trPr>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entity.</w:t>
            </w: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48"/>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“Trade Secrets”</w:t>
            </w:r>
          </w:p>
        </w:tc>
        <w:tc>
          <w:tcPr>
            <w:tcW w:w="52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trade  secrets,  know-how,  and  other  confidential  or</w:t>
            </w:r>
          </w:p>
        </w:tc>
      </w:tr>
      <w:tr>
        <w:trPr>
          <w:trHeight w:val="223"/>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auto"/>
              </w:rPr>
              <w:t>proprietary  technical,  business,  and  other  information,</w:t>
            </w:r>
          </w:p>
        </w:tc>
      </w:tr>
      <w:tr>
        <w:trPr>
          <w:trHeight w:val="245"/>
        </w:trPr>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including</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business</w:t>
            </w:r>
          </w:p>
        </w:tc>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processes,</w:t>
            </w:r>
          </w:p>
        </w:tc>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business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models,</w:t>
            </w:r>
          </w:p>
        </w:tc>
      </w:tr>
    </w:tbl>
    <w:p>
      <w:pPr>
        <w:jc w:val="both"/>
        <w:ind w:left="3600" w:right="559"/>
        <w:spacing w:after="0" w:line="234" w:lineRule="auto"/>
        <w:rPr>
          <w:sz w:val="20"/>
          <w:szCs w:val="20"/>
          <w:color w:val="auto"/>
        </w:rPr>
      </w:pPr>
      <w:r>
        <w:rPr>
          <w:rFonts w:ascii="Times New Roman" w:cs="Times New Roman" w:eastAsia="Times New Roman" w:hAnsi="Times New Roman"/>
          <w:sz w:val="20"/>
          <w:szCs w:val="20"/>
          <w:color w:val="auto"/>
        </w:rPr>
        <w:t>manufacturing and production processes and techniques, research and development information, technology, drawings, specifications, designs, plans, schemes, technical data, financial, marketing and business data, pricing and cost information, business and marketing plans, customer and supplier lists and information, and all rights under applicable law to restrict the use or disclosure of any of the foregoing in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15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304" w:name="page305"/>
    <w:bookmarkEnd w:id="304"/>
    <w:p>
      <w:pPr>
        <w:jc w:val="center"/>
        <w:ind w:right="19"/>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“Market</w:t>
            </w:r>
          </w:p>
        </w:tc>
        <w:tc>
          <w:tcPr>
            <w:tcW w:w="120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Supervision</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State Administration for Market Regulation of China or</w:t>
            </w:r>
          </w:p>
        </w:tc>
      </w:tr>
      <w:tr>
        <w:trPr>
          <w:trHeight w:val="223"/>
        </w:trPr>
        <w:tc>
          <w:tcPr>
            <w:tcW w:w="206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b w:val="1"/>
                <w:bCs w:val="1"/>
                <w:color w:val="auto"/>
              </w:rPr>
              <w:t>and  Administration</w:t>
            </w: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w w:val="99"/>
              </w:rPr>
              <w:t>the local market supervision and administration authority (as</w:t>
            </w:r>
          </w:p>
        </w:tc>
      </w:tr>
      <w:tr>
        <w:trPr>
          <w:trHeight w:val="262"/>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Department”</w:t>
            </w: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case may be), or any successor thereof.</w:t>
            </w:r>
          </w:p>
        </w:tc>
      </w:tr>
      <w:tr>
        <w:trPr>
          <w:trHeight w:val="344"/>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“Applicable Laws” or</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with respect to any person, all publicly available, effective,</w:t>
            </w:r>
          </w:p>
        </w:tc>
      </w:tr>
      <w:tr>
        <w:trPr>
          <w:trHeight w:val="227"/>
        </w:trPr>
        <w:tc>
          <w:tcPr>
            <w:tcW w:w="86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auto"/>
              </w:rPr>
              <w:t>“Laws”</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and applicable treaties, Laws, administrative regulations,</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local regulations, rules, judicial interpretations, judgments,</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rulings, arbitral awards, and other normative documents</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applicable to such person or binding on such person or its</w:t>
            </w:r>
          </w:p>
        </w:tc>
      </w:tr>
      <w:tr>
        <w:trPr>
          <w:trHeight w:val="258"/>
        </w:trPr>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property.</w:t>
            </w:r>
          </w:p>
        </w:tc>
      </w:tr>
      <w:tr>
        <w:trPr>
          <w:trHeight w:val="348"/>
        </w:trPr>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“Taxes”</w:t>
            </w:r>
          </w:p>
        </w:tc>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various forms of taxes and tax-like charges levied, withheld,</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or assessed by the central or local government of China or</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other  competent  jurisdictions,  and  any  interest,  fines,</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surcharges, or penalties related to the foregoing. Unless</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otherwise specified, terms such as “tax” or “taxation” or</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“taxes” used in this Agreement shall have the same meaning</w:t>
            </w:r>
          </w:p>
        </w:tc>
      </w:tr>
      <w:tr>
        <w:trPr>
          <w:trHeight w:val="258"/>
        </w:trPr>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 “Taxes”.</w:t>
            </w:r>
          </w:p>
        </w:tc>
      </w:tr>
      <w:tr>
        <w:trPr>
          <w:trHeight w:val="348"/>
        </w:trPr>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“Claim”</w:t>
            </w:r>
          </w:p>
        </w:tc>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any claim, lawsuit, demand, audit, inquiry, investigation,</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request,  hearing,  notice  of  violation,  litigation,  action,</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proceeding,  or  arbitration,  whether  civil,  criminal,</w:t>
            </w:r>
          </w:p>
        </w:tc>
      </w:tr>
      <w:tr>
        <w:trPr>
          <w:trHeight w:val="258"/>
        </w:trPr>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administrative, or otherwise.</w:t>
            </w:r>
          </w:p>
        </w:tc>
      </w:tr>
      <w:tr>
        <w:trPr>
          <w:trHeight w:val="348"/>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“Knowledge”</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maximum extent known to a person after conducting an</w:t>
            </w:r>
          </w:p>
        </w:tc>
      </w:tr>
      <w:tr>
        <w:trPr>
          <w:trHeight w:val="258"/>
        </w:trPr>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appropriate investigation.</w:t>
            </w:r>
          </w:p>
        </w:tc>
      </w:tr>
      <w:tr>
        <w:trPr>
          <w:trHeight w:val="348"/>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“NIO Group”</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NIO and other persons directly or indirectly controlled by</w:t>
            </w:r>
          </w:p>
        </w:tc>
      </w:tr>
      <w:tr>
        <w:trPr>
          <w:trHeight w:val="258"/>
        </w:trPr>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NIO (excluding the Target Company).</w:t>
            </w:r>
          </w:p>
        </w:tc>
      </w:tr>
      <w:tr>
        <w:trPr>
          <w:trHeight w:val="344"/>
        </w:trPr>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120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and</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all matters set forth in Exhibit 11, except for the assets.</w:t>
            </w:r>
          </w:p>
        </w:tc>
      </w:tr>
      <w:tr>
        <w:trPr>
          <w:trHeight w:val="223"/>
        </w:trPr>
        <w:tc>
          <w:tcPr>
            <w:tcW w:w="206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b w:val="1"/>
                <w:bCs w:val="1"/>
                <w:color w:val="auto"/>
              </w:rPr>
              <w:t>Personnel</w:t>
            </w:r>
          </w:p>
        </w:tc>
        <w:tc>
          <w:tcPr>
            <w:tcW w:w="8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62"/>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Restructuring”</w:t>
            </w:r>
          </w:p>
        </w:tc>
        <w:tc>
          <w:tcPr>
            <w:tcW w:w="82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344"/>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“Governmental</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any  applicable  government  or  any  political  subdivision</w:t>
            </w:r>
          </w:p>
        </w:tc>
      </w:tr>
      <w:tr>
        <w:trPr>
          <w:trHeight w:val="227"/>
        </w:trPr>
        <w:tc>
          <w:tcPr>
            <w:tcW w:w="2060" w:type="dxa"/>
            <w:vAlign w:val="bottom"/>
            <w:gridSpan w:val="2"/>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auto"/>
              </w:rPr>
              <w:t>Authority”</w:t>
            </w:r>
          </w:p>
        </w:tc>
        <w:tc>
          <w:tcPr>
            <w:tcW w:w="820" w:type="dxa"/>
            <w:vAlign w:val="bottom"/>
          </w:tcPr>
          <w:p>
            <w:pPr>
              <w:spacing w:after="0"/>
              <w:rPr>
                <w:sz w:val="19"/>
                <w:szCs w:val="19"/>
                <w:color w:val="auto"/>
              </w:rPr>
            </w:pPr>
          </w:p>
        </w:tc>
        <w:tc>
          <w:tcPr>
            <w:tcW w:w="50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thereof, any department of any government or any political</w:t>
            </w:r>
          </w:p>
        </w:tc>
      </w:tr>
      <w:tr>
        <w:trPr>
          <w:trHeight w:val="223"/>
        </w:trPr>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subdivision thereof, any court or arbitral tribunal, and any</w:t>
            </w:r>
          </w:p>
        </w:tc>
      </w:tr>
      <w:tr>
        <w:trPr>
          <w:trHeight w:val="258"/>
        </w:trPr>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 exchange regulatory authority.</w:t>
            </w:r>
          </w:p>
        </w:tc>
      </w:tr>
      <w:tr>
        <w:trPr>
          <w:trHeight w:val="344"/>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“Governmental</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any order, writ, judgment, injunction, ruling, regulation,</w:t>
            </w:r>
          </w:p>
        </w:tc>
      </w:tr>
      <w:tr>
        <w:trPr>
          <w:trHeight w:val="227"/>
        </w:trPr>
        <w:tc>
          <w:tcPr>
            <w:tcW w:w="86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auto"/>
              </w:rPr>
              <w:t>Order”</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decision, or decree issued, made, or rendered by or with any</w:t>
            </w:r>
          </w:p>
        </w:tc>
      </w:tr>
      <w:tr>
        <w:trPr>
          <w:trHeight w:val="258"/>
        </w:trPr>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Governmental Authority.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15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4">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305" w:name="page306"/>
    <w:bookmarkEnd w:id="305"/>
    <w:p>
      <w:pPr>
        <w:jc w:val="center"/>
        <w:ind w:right="19"/>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“Governmental</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any  rights,  licenses,  permits,  approvals,  exemptions,</w:t>
            </w:r>
          </w:p>
        </w:tc>
      </w:tr>
      <w:tr>
        <w:trPr>
          <w:trHeight w:val="227"/>
        </w:trPr>
        <w:tc>
          <w:tcPr>
            <w:tcW w:w="114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auto"/>
              </w:rPr>
              <w:t>Approval”</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7" w:lineRule="exact"/>
              <w:rPr>
                <w:sz w:val="20"/>
                <w:szCs w:val="20"/>
                <w:color w:val="auto"/>
              </w:rPr>
            </w:pPr>
            <w:r>
              <w:rPr>
                <w:rFonts w:ascii="Times New Roman" w:cs="Times New Roman" w:eastAsia="Times New Roman" w:hAnsi="Times New Roman"/>
                <w:sz w:val="20"/>
                <w:szCs w:val="20"/>
                <w:color w:val="auto"/>
              </w:rPr>
              <w:t>consents, and authorizations granted by a Governmental</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Authority, as well as any registrations and filings made with</w:t>
            </w:r>
          </w:p>
        </w:tc>
      </w:tr>
      <w:tr>
        <w:trPr>
          <w:trHeight w:val="258"/>
        </w:trPr>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 Governmental Authority.</w:t>
            </w:r>
          </w:p>
        </w:tc>
        <w:tc>
          <w:tcPr>
            <w:tcW w:w="1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344"/>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“Intellectual</w:t>
            </w:r>
          </w:p>
        </w:tc>
        <w:tc>
          <w:tcPr>
            <w:tcW w:w="92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any and all rights throughout the world arising from or in</w:t>
            </w:r>
          </w:p>
        </w:tc>
      </w:tr>
      <w:tr>
        <w:trPr>
          <w:trHeight w:val="227"/>
        </w:trPr>
        <w:tc>
          <w:tcPr>
            <w:tcW w:w="114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auto"/>
              </w:rPr>
              <w:t>Property”</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7" w:lineRule="exact"/>
              <w:rPr>
                <w:sz w:val="20"/>
                <w:szCs w:val="20"/>
                <w:color w:val="auto"/>
              </w:rPr>
            </w:pPr>
            <w:r>
              <w:rPr>
                <w:rFonts w:ascii="Times New Roman" w:cs="Times New Roman" w:eastAsia="Times New Roman" w:hAnsi="Times New Roman"/>
                <w:sz w:val="20"/>
                <w:szCs w:val="20"/>
                <w:color w:val="auto"/>
              </w:rPr>
              <w:t>respect of the following, whether protected, created, or</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arising under the Laws of China or any foreign jurisdiction:</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(a) inventions, whether or not patentable, whether or not</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reduced to practice, or whether or not made the subject of a</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w w:val="99"/>
              </w:rPr>
              <w:t>patent application; (b) patents, patent applications, invention</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registrations, or any improvements thereof; (c) trademarks,</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service marks, trade dress, logos, trade names, corporate</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w w:val="99"/>
              </w:rPr>
              <w:t>names, or goodwill, whether or not registered; (d) copyrights</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(whether  or  not  registered),  copyright  registrations,  or</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applications for copyright registration; (e) software, social</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software  official  accounts;  (f)  trade  secrets,  business</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information (whether or not confidential), know-how, or</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w w:val="99"/>
              </w:rPr>
              <w:t>unpatented technology; (g) industrial designs, whether or not</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registered; (h) databases and data; (i) domain names; (j) any</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rPr>
              <w:t>tangible embodiments of any of the foregoing; and (k) any</w:t>
            </w:r>
          </w:p>
        </w:tc>
      </w:tr>
      <w:tr>
        <w:trPr>
          <w:trHeight w:val="223"/>
        </w:trPr>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5"/>
          </w:tcPr>
          <w:p>
            <w:pPr>
              <w:ind w:left="180"/>
              <w:spacing w:after="0" w:line="223" w:lineRule="exact"/>
              <w:rPr>
                <w:sz w:val="20"/>
                <w:szCs w:val="20"/>
                <w:color w:val="auto"/>
              </w:rPr>
            </w:pPr>
            <w:r>
              <w:rPr>
                <w:rFonts w:ascii="Times New Roman" w:cs="Times New Roman" w:eastAsia="Times New Roman" w:hAnsi="Times New Roman"/>
                <w:sz w:val="20"/>
                <w:szCs w:val="20"/>
                <w:color w:val="auto"/>
                <w:w w:val="98"/>
              </w:rPr>
              <w:t>rights to obtain or apply for patent or trademark registrations,</w:t>
            </w:r>
          </w:p>
        </w:tc>
      </w:tr>
      <w:tr>
        <w:trPr>
          <w:trHeight w:val="258"/>
        </w:trPr>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copyrights, and domain names.</w:t>
            </w:r>
          </w:p>
        </w:tc>
        <w:tc>
          <w:tcPr>
            <w:tcW w:w="1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344"/>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“Material</w:t>
            </w:r>
          </w:p>
        </w:tc>
        <w:tc>
          <w:tcPr>
            <w:tcW w:w="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Adverse</w:t>
            </w:r>
          </w:p>
        </w:tc>
        <w:tc>
          <w:tcPr>
            <w:tcW w:w="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means</w:t>
            </w:r>
          </w:p>
        </w:tc>
        <w:tc>
          <w:tcPr>
            <w:tcW w:w="504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9"/>
              </w:rPr>
              <w:t>(a) any Company Parties enters into bankruptcy proceedings,</w:t>
            </w:r>
          </w:p>
        </w:tc>
      </w:tr>
      <w:tr>
        <w:trPr>
          <w:trHeight w:val="227"/>
        </w:trPr>
        <w:tc>
          <w:tcPr>
            <w:tcW w:w="114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auto"/>
              </w:rPr>
              <w:t>Effect”</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liquidation,</w:t>
            </w:r>
          </w:p>
        </w:tc>
        <w:tc>
          <w:tcPr>
            <w:tcW w:w="142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winding-up,</w:t>
            </w:r>
          </w:p>
        </w:tc>
        <w:tc>
          <w:tcPr>
            <w:tcW w:w="138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auto"/>
              </w:rPr>
              <w:t>reorganization,</w:t>
            </w:r>
          </w:p>
        </w:tc>
        <w:tc>
          <w:tcPr>
            <w:tcW w:w="50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or</w:t>
            </w:r>
          </w:p>
        </w:tc>
        <w:tc>
          <w:tcPr>
            <w:tcW w:w="50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w w:val="92"/>
              </w:rPr>
              <w:t>debt</w:t>
            </w:r>
          </w:p>
        </w:tc>
      </w:tr>
      <w:tr>
        <w:trPr>
          <w:trHeight w:val="245"/>
        </w:trPr>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4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restructuring, or sells material assets; or (b) any Company</w:t>
            </w:r>
          </w:p>
        </w:tc>
      </w:tr>
    </w:tbl>
    <w:p>
      <w:pPr>
        <w:jc w:val="both"/>
        <w:ind w:left="3600" w:right="559"/>
        <w:spacing w:after="0" w:line="233" w:lineRule="auto"/>
        <w:rPr>
          <w:sz w:val="20"/>
          <w:szCs w:val="20"/>
          <w:color w:val="auto"/>
        </w:rPr>
      </w:pPr>
      <w:r>
        <w:rPr>
          <w:rFonts w:ascii="Times New Roman" w:cs="Times New Roman" w:eastAsia="Times New Roman" w:hAnsi="Times New Roman"/>
          <w:sz w:val="20"/>
          <w:szCs w:val="20"/>
          <w:color w:val="auto"/>
        </w:rPr>
        <w:t>Party loses any material license, qualification, or permit necessary for the conduct of its business operations and fails to rectify such loss within the time limit prescribed by law; or (c) any circumstance, change, or effect involving the Target Company which, individually or in the aggregate, directly or indirectly: (i) has a material adverse effect on the existence, business, assets, Liabilities (including without limitation contingent liabilities), or financial condition of the Target Company; or (ii) has a material adverse effect on the ability, license or qualification of the Target Company to conduct its current business; or (iii) has or could reasonably be expected to have a material adverse effect on the validity or effectiveness of the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15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306" w:name="page307"/>
    <w:bookmarkEnd w:id="306"/>
    <w:p>
      <w:pPr>
        <w:jc w:val="center"/>
        <w:ind w:right="-19"/>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7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“China”</w:t>
            </w:r>
          </w:p>
        </w:tc>
        <w:tc>
          <w:tcPr>
            <w:tcW w:w="96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means</w:t>
            </w:r>
          </w:p>
        </w:tc>
        <w:tc>
          <w:tcPr>
            <w:tcW w:w="4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People’s Republic of China, but for the purposes of this</w:t>
            </w:r>
          </w:p>
        </w:tc>
      </w:tr>
      <w:tr>
        <w:trPr>
          <w:trHeight w:val="223"/>
        </w:trPr>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rPr>
              <w:t>Agreement  only,  excludes  the  Hong  Kong  Special</w:t>
            </w:r>
          </w:p>
        </w:tc>
      </w:tr>
      <w:tr>
        <w:trPr>
          <w:trHeight w:val="223"/>
        </w:trPr>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rPr>
              <w:t>Administrative Region, the Macao Special Administrative</w:t>
            </w:r>
          </w:p>
        </w:tc>
      </w:tr>
      <w:tr>
        <w:trPr>
          <w:trHeight w:val="258"/>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Region, and the Taiwan Region.</w:t>
            </w:r>
          </w:p>
        </w:tc>
      </w:tr>
      <w:tr>
        <w:trPr>
          <w:trHeight w:val="348"/>
        </w:trPr>
        <w:tc>
          <w:tcPr>
            <w:tcW w:w="2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“Principal Business”</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means</w:t>
            </w:r>
          </w:p>
        </w:tc>
        <w:tc>
          <w:tcPr>
            <w:tcW w:w="49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the business of intelligent driving chips, inference chips, and</w:t>
            </w:r>
          </w:p>
        </w:tc>
      </w:tr>
      <w:tr>
        <w:trPr>
          <w:trHeight w:val="258"/>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intelligent driving domain controllers.</w:t>
            </w: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96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means</w:t>
            </w:r>
          </w:p>
        </w:tc>
        <w:tc>
          <w:tcPr>
            <w:tcW w:w="4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any tangible or intangible assets, rights, and privileges of</w:t>
            </w:r>
          </w:p>
        </w:tc>
      </w:tr>
      <w:tr>
        <w:trPr>
          <w:trHeight w:val="223"/>
        </w:trPr>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rPr>
              <w:t>any  nature  whatsoever  (including  rights  in  respect  of</w:t>
            </w:r>
          </w:p>
        </w:tc>
      </w:tr>
      <w:tr>
        <w:trPr>
          <w:trHeight w:val="258"/>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34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w:t>
            </w:r>
          </w:p>
        </w:tc>
        <w:tc>
          <w:tcPr>
            <w:tcW w:w="9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Transfer</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means</w:t>
            </w:r>
          </w:p>
        </w:tc>
        <w:tc>
          <w:tcPr>
            <w:tcW w:w="4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Asset Transfer Agreement entered into between the</w:t>
            </w:r>
          </w:p>
        </w:tc>
      </w:tr>
      <w:tr>
        <w:trPr>
          <w:trHeight w:val="227"/>
        </w:trPr>
        <w:tc>
          <w:tcPr>
            <w:tcW w:w="126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auto"/>
              </w:rPr>
              <w:t>Agreement”</w:t>
            </w: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color w:val="auto"/>
              </w:rPr>
              <w:t>Target Company, NIO Co., Ltd., NIO Technology (Anhui)</w:t>
            </w:r>
          </w:p>
        </w:tc>
      </w:tr>
      <w:tr>
        <w:trPr>
          <w:trHeight w:val="223"/>
        </w:trPr>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rPr>
              <w:t>Co., Ltd. on September 29, 2025, as set forth in Exhibit 2,</w:t>
            </w:r>
          </w:p>
        </w:tc>
      </w:tr>
      <w:tr>
        <w:trPr>
          <w:trHeight w:val="223"/>
        </w:trPr>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rPr>
              <w:t>and the Patent and Trademark Rights Transfer Agreement</w:t>
            </w:r>
          </w:p>
        </w:tc>
      </w:tr>
      <w:tr>
        <w:trPr>
          <w:trHeight w:val="223"/>
        </w:trPr>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rPr>
              <w:t>entered into between the Target Company, NIO Co., Ltd.,</w:t>
            </w:r>
          </w:p>
        </w:tc>
      </w:tr>
      <w:tr>
        <w:trPr>
          <w:trHeight w:val="223"/>
        </w:trPr>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rPr>
              <w:t>NIO Technology (Anhui) Co., Ltd., NIO (Anhui) Co., Ltd.</w:t>
            </w:r>
          </w:p>
        </w:tc>
      </w:tr>
      <w:tr>
        <w:trPr>
          <w:trHeight w:val="223"/>
        </w:trPr>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w w:val="98"/>
              </w:rPr>
              <w:t>and Wei Rui Technology (Shenzhen) Co., Ltd. on September</w:t>
            </w:r>
          </w:p>
        </w:tc>
      </w:tr>
      <w:tr>
        <w:trPr>
          <w:trHeight w:val="258"/>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29, 2025, as set forth in Exhibit 2.</w:t>
            </w:r>
          </w:p>
        </w:tc>
      </w:tr>
    </w:tbl>
    <w:p>
      <w:pPr>
        <w:spacing w:after="0" w:line="32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Interpretation</w:t>
      </w:r>
    </w:p>
    <w:p>
      <w:pPr>
        <w:spacing w:after="0" w:line="154" w:lineRule="exact"/>
        <w:rPr>
          <w:sz w:val="20"/>
          <w:szCs w:val="20"/>
          <w:color w:val="auto"/>
        </w:rPr>
      </w:pPr>
    </w:p>
    <w:p>
      <w:pPr>
        <w:ind w:left="1180" w:hanging="586"/>
        <w:spacing w:after="0" w:line="262" w:lineRule="auto"/>
        <w:tabs>
          <w:tab w:leader="none" w:pos="118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phrase “directly or indirectly” means directly or indirectly through an Affiliate, contract, or other arrangement; “direct or indirect” shall have a corresponding meaning.</w:t>
      </w:r>
    </w:p>
    <w:p>
      <w:pPr>
        <w:spacing w:after="0" w:line="104" w:lineRule="exact"/>
        <w:rPr>
          <w:rFonts w:ascii="Times New Roman" w:cs="Times New Roman" w:eastAsia="Times New Roman" w:hAnsi="Times New Roman"/>
          <w:sz w:val="20"/>
          <w:szCs w:val="20"/>
          <w:color w:val="auto"/>
        </w:rPr>
      </w:pPr>
    </w:p>
    <w:p>
      <w:pPr>
        <w:ind w:left="1180" w:hanging="586"/>
        <w:spacing w:after="0"/>
        <w:tabs>
          <w:tab w:leader="none" w:pos="118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Headings are for convenience only and do not affect the interpretation of this Agreement.</w:t>
      </w:r>
    </w:p>
    <w:p>
      <w:pPr>
        <w:spacing w:after="0" w:line="153" w:lineRule="exact"/>
        <w:rPr>
          <w:rFonts w:ascii="Times New Roman" w:cs="Times New Roman" w:eastAsia="Times New Roman" w:hAnsi="Times New Roman"/>
          <w:sz w:val="20"/>
          <w:szCs w:val="20"/>
          <w:color w:val="auto"/>
        </w:rPr>
      </w:pPr>
    </w:p>
    <w:p>
      <w:pPr>
        <w:ind w:left="1180" w:hanging="586"/>
        <w:spacing w:after="0"/>
        <w:tabs>
          <w:tab w:leader="none" w:pos="118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and similar expressions shall be construed as “include without limitation”.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15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8">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left="1180" w:hanging="586"/>
        <w:spacing w:after="0" w:line="262" w:lineRule="auto"/>
        <w:tabs>
          <w:tab w:leader="none" w:pos="118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this Agreement shall be deemed to include its Exhibits and Schedules, which form an integral part hereof.</w:t>
      </w:r>
    </w:p>
    <w:p>
      <w:pPr>
        <w:spacing w:after="0" w:line="104"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specifically agreed or indicated otherwise in this Agreement, defined terms used in the Shareholders Agreement shall have the same meanings in this Agreement.</w:t>
      </w:r>
    </w:p>
    <w:p>
      <w:pPr>
        <w:spacing w:after="0" w:line="100" w:lineRule="exact"/>
        <w:rPr>
          <w:sz w:val="20"/>
          <w:szCs w:val="20"/>
          <w:color w:val="auto"/>
        </w:rPr>
      </w:pPr>
    </w:p>
    <w:p>
      <w:pPr>
        <w:ind w:left="4300" w:hanging="599"/>
        <w:spacing w:after="0"/>
        <w:tabs>
          <w:tab w:leader="none" w:pos="430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TRANSACTION</w:t>
      </w:r>
    </w:p>
    <w:p>
      <w:pPr>
        <w:spacing w:after="0" w:line="158" w:lineRule="exact"/>
        <w:rPr>
          <w:sz w:val="20"/>
          <w:szCs w:val="20"/>
          <w:color w:val="auto"/>
        </w:rPr>
      </w:pPr>
    </w:p>
    <w:p>
      <w:pPr>
        <w:jc w:val="both"/>
        <w:ind w:left="600" w:hanging="593"/>
        <w:spacing w:after="0" w:line="237" w:lineRule="auto"/>
        <w:tabs>
          <w:tab w:leader="none" w:pos="5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Subject to the terms and conditions of this Agreement, and on the condition that all conditions precedent to the closing set forth in Section 3.1 hereof have been satisfied or waived in writing by the relevant Investor(s), all Investors intend to subscribe for the new registered capital of the Target Company in an aggregate amount of RMB28,322,075.85 (in words: Renminbi Twenty-Eight Million Three Hundred Twenty-Two Thousand Seventy-Five Yuan and Eighty-Five Fen) at a total consideration of RMB2,257,000,000(in words: Renminbi Two Billion Two Hundred Fifty-Seven Million Yuan) (the “</w:t>
      </w:r>
      <w:r>
        <w:rPr>
          <w:rFonts w:ascii="Times New Roman" w:cs="Times New Roman" w:eastAsia="Times New Roman" w:hAnsi="Times New Roman"/>
          <w:sz w:val="20"/>
          <w:szCs w:val="20"/>
          <w:b w:val="1"/>
          <w:bCs w:val="1"/>
          <w:color w:val="auto"/>
        </w:rPr>
        <w:t>Capital Increase Consideration</w:t>
      </w:r>
      <w:r>
        <w:rPr>
          <w:rFonts w:ascii="Times New Roman" w:cs="Times New Roman" w:eastAsia="Times New Roman" w:hAnsi="Times New Roman"/>
          <w:sz w:val="20"/>
          <w:szCs w:val="20"/>
          <w:color w:val="auto"/>
        </w:rPr>
        <w:t>”), based on a pre-investment valuation of the Target Company of RMB6,000,000,000 (in words: Renminbi Six Billion Yuan). Specifically,</w:t>
      </w:r>
    </w:p>
    <w:p>
      <w:pPr>
        <w:spacing w:after="0" w:line="131" w:lineRule="exact"/>
        <w:rPr>
          <w:sz w:val="20"/>
          <w:szCs w:val="20"/>
          <w:color w:val="auto"/>
        </w:rPr>
      </w:pPr>
    </w:p>
    <w:p>
      <w:pPr>
        <w:jc w:val="both"/>
        <w:ind w:left="1180" w:hanging="586"/>
        <w:spacing w:after="0" w:line="236" w:lineRule="auto"/>
        <w:tabs>
          <w:tab w:leader="none" w:pos="11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Emerging Industry Fund agrees to subscribe for 6.0555% of the equity interest in the Target Company on a Fully-Diluted Basis as of the Closing Date, at a consideration of RMB500,000,000 (in words: Renminbi Five Hundred Million Yuan) (the “</w:t>
      </w:r>
      <w:r>
        <w:rPr>
          <w:rFonts w:ascii="Times New Roman" w:cs="Times New Roman" w:eastAsia="Times New Roman" w:hAnsi="Times New Roman"/>
          <w:sz w:val="20"/>
          <w:szCs w:val="20"/>
          <w:b w:val="1"/>
          <w:bCs w:val="1"/>
          <w:color w:val="auto"/>
        </w:rPr>
        <w:t>Emerging Industry Fund Capital Increase Consideration</w:t>
      </w:r>
      <w:r>
        <w:rPr>
          <w:rFonts w:ascii="Times New Roman" w:cs="Times New Roman" w:eastAsia="Times New Roman" w:hAnsi="Times New Roman"/>
          <w:sz w:val="20"/>
          <w:szCs w:val="20"/>
          <w:color w:val="auto"/>
        </w:rPr>
        <w:t>”), corresponding to the increased registered capital of the Target Company in the amount of RMB6,274,274.67 (in words: Renminbi Six Million Two Hundred Seventy-Four Thousand Two Hundred Seventy-Four Yuan and Sixty-Seven Fen). The excess amount of RMB493,725,725.33 (in words: Renminbi Four Hundred Ninety-Three Million Seven Hundred Twenty-Five Thousand Seven Hundred Twenty-Five Yuan and Thirty-Three Fen) shall be credited to the capital reserve of the Target Company (the “</w:t>
      </w:r>
      <w:r>
        <w:rPr>
          <w:rFonts w:ascii="Times New Roman" w:cs="Times New Roman" w:eastAsia="Times New Roman" w:hAnsi="Times New Roman"/>
          <w:sz w:val="20"/>
          <w:szCs w:val="20"/>
          <w:b w:val="1"/>
          <w:bCs w:val="1"/>
          <w:color w:val="auto"/>
        </w:rPr>
        <w:t>Emerging Industry Fund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Capital Increase</w:t>
      </w:r>
      <w:r>
        <w:rPr>
          <w:rFonts w:ascii="Times New Roman" w:cs="Times New Roman" w:eastAsia="Times New Roman" w:hAnsi="Times New Roman"/>
          <w:sz w:val="20"/>
          <w:szCs w:val="20"/>
          <w:color w:val="auto"/>
        </w:rPr>
        <w:t>”);</w:t>
      </w:r>
    </w:p>
    <w:p>
      <w:pPr>
        <w:spacing w:after="0" w:line="130" w:lineRule="exact"/>
        <w:rPr>
          <w:rFonts w:ascii="Times New Roman" w:cs="Times New Roman" w:eastAsia="Times New Roman" w:hAnsi="Times New Roman"/>
          <w:sz w:val="20"/>
          <w:szCs w:val="20"/>
          <w:color w:val="auto"/>
        </w:rPr>
      </w:pPr>
    </w:p>
    <w:p>
      <w:pPr>
        <w:jc w:val="both"/>
        <w:ind w:left="1180" w:hanging="586"/>
        <w:spacing w:after="0" w:line="237" w:lineRule="auto"/>
        <w:tabs>
          <w:tab w:leader="none" w:pos="11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Hefei Haiheng agrees to subscribe for 6.0555% of the equity interest in the Target Company on a Fully-Diluted Basis as of the Closing Date, at a consideration of RMB500,000,000 (in words: Renminbi Five Hundred Million Yuan) (the “</w:t>
      </w:r>
      <w:r>
        <w:rPr>
          <w:rFonts w:ascii="Times New Roman" w:cs="Times New Roman" w:eastAsia="Times New Roman" w:hAnsi="Times New Roman"/>
          <w:sz w:val="20"/>
          <w:szCs w:val="20"/>
          <w:b w:val="1"/>
          <w:bCs w:val="1"/>
          <w:color w:val="auto"/>
        </w:rPr>
        <w:t>Hefei Haiheng Capital Increase Consideration</w:t>
      </w:r>
      <w:r>
        <w:rPr>
          <w:rFonts w:ascii="Times New Roman" w:cs="Times New Roman" w:eastAsia="Times New Roman" w:hAnsi="Times New Roman"/>
          <w:sz w:val="20"/>
          <w:szCs w:val="20"/>
          <w:color w:val="auto"/>
        </w:rPr>
        <w:t>”), corresponding to the increased registered capital of the Target Company in the amount of RMB6,274,274.67 (in words: Renminbi Six Million Two Hundred Seventy-Four Thousand Two Hundred Seventy-Four Yuan and Sixty-Seven Fen). The excess amount of RMB493,725,725.33 (in words: Renminbi Four Hundred Ninety-Three Million Seven Hundred Twenty-Five Thousand Seven Hundred Twenty-Five Yuan and Thirty-Three Fen) shall be credited to the capital reserve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08" w:name="page309"/>
    <w:bookmarkEnd w:id="308"/>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of the Target Company (the “</w:t>
      </w:r>
      <w:r>
        <w:rPr>
          <w:rFonts w:ascii="Times New Roman" w:cs="Times New Roman" w:eastAsia="Times New Roman" w:hAnsi="Times New Roman"/>
          <w:sz w:val="20"/>
          <w:szCs w:val="20"/>
          <w:b w:val="1"/>
          <w:bCs w:val="1"/>
          <w:color w:val="auto"/>
        </w:rPr>
        <w:t>Hefei Haiheng Capital Increase</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left="720" w:hanging="586"/>
        <w:spacing w:after="0" w:line="237" w:lineRule="auto"/>
        <w:tabs>
          <w:tab w:leader="none" w:pos="72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Harmonious Growth Fund agrees to subscribe for 2.4222% of the equity interest in the Target Company on a Fully-Diluted Basis as of the Closing Date, at a consideration of RMB200,000,000 (in words: Renminbi Two Hundred Million Yuan) (the “</w:t>
      </w:r>
      <w:r>
        <w:rPr>
          <w:rFonts w:ascii="Times New Roman" w:cs="Times New Roman" w:eastAsia="Times New Roman" w:hAnsi="Times New Roman"/>
          <w:sz w:val="20"/>
          <w:szCs w:val="20"/>
          <w:b w:val="1"/>
          <w:bCs w:val="1"/>
          <w:color w:val="auto"/>
        </w:rPr>
        <w:t>Harmonious Growth Fund Capital Increase Consideration</w:t>
      </w:r>
      <w:r>
        <w:rPr>
          <w:rFonts w:ascii="Times New Roman" w:cs="Times New Roman" w:eastAsia="Times New Roman" w:hAnsi="Times New Roman"/>
          <w:sz w:val="20"/>
          <w:szCs w:val="20"/>
          <w:color w:val="auto"/>
        </w:rPr>
        <w:t>”), corresponding to the increased registered capital of the Target Company in the amount of RMB2,509,709.87 (in words: Renminbi Two Million Five Hundred Nine Thousand Seven Hundred Nine Yuan and Eighty-Seven Fen). The excess amount of RMB197,490,290.13 (in words: Renminbi One Hundred Ninety-Seven Million Four Hundred Ninety Thousand Two Hundred Ninety Yuan and Thirteen Fen) shall be credited to the capital reserve of the Target Company (the “</w:t>
      </w:r>
      <w:r>
        <w:rPr>
          <w:rFonts w:ascii="Times New Roman" w:cs="Times New Roman" w:eastAsia="Times New Roman" w:hAnsi="Times New Roman"/>
          <w:sz w:val="20"/>
          <w:szCs w:val="20"/>
          <w:b w:val="1"/>
          <w:bCs w:val="1"/>
          <w:color w:val="auto"/>
        </w:rPr>
        <w:t>Harmonious Growth Fund Capital Increase</w:t>
      </w:r>
      <w:r>
        <w:rPr>
          <w:rFonts w:ascii="Times New Roman" w:cs="Times New Roman" w:eastAsia="Times New Roman" w:hAnsi="Times New Roman"/>
          <w:sz w:val="20"/>
          <w:szCs w:val="20"/>
          <w:color w:val="auto"/>
        </w:rPr>
        <w:t>”);</w:t>
      </w:r>
    </w:p>
    <w:p>
      <w:pPr>
        <w:spacing w:after="0" w:line="126" w:lineRule="exact"/>
        <w:rPr>
          <w:rFonts w:ascii="Times New Roman" w:cs="Times New Roman" w:eastAsia="Times New Roman" w:hAnsi="Times New Roman"/>
          <w:sz w:val="20"/>
          <w:szCs w:val="20"/>
          <w:color w:val="auto"/>
        </w:rPr>
      </w:pPr>
    </w:p>
    <w:p>
      <w:pPr>
        <w:jc w:val="both"/>
        <w:ind w:left="720" w:hanging="586"/>
        <w:spacing w:after="0" w:line="237" w:lineRule="auto"/>
        <w:tabs>
          <w:tab w:leader="none" w:pos="72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Social Security Yangtze River Delta Fund agrees to subscribe for 1.2111% of the equity interest in the Target Company on a Fully-Diluted Basis as of the Closing at a consideration of RMB100,000,000 (the “</w:t>
      </w:r>
      <w:r>
        <w:rPr>
          <w:rFonts w:ascii="Times New Roman" w:cs="Times New Roman" w:eastAsia="Times New Roman" w:hAnsi="Times New Roman"/>
          <w:sz w:val="20"/>
          <w:szCs w:val="20"/>
          <w:b w:val="1"/>
          <w:bCs w:val="1"/>
          <w:color w:val="auto"/>
        </w:rPr>
        <w:t>Social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Security Yangtze River Delta Fund Capital Increase Consideration</w:t>
      </w:r>
      <w:r>
        <w:rPr>
          <w:rFonts w:ascii="Times New Roman" w:cs="Times New Roman" w:eastAsia="Times New Roman" w:hAnsi="Times New Roman"/>
          <w:sz w:val="20"/>
          <w:szCs w:val="20"/>
          <w:color w:val="auto"/>
        </w:rPr>
        <w:t>”), corresponding to the increased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capital of the Target Company in the amount of RMB1,254,854.93 (in words: Renminbi One Million Two Hundred Fifty-Four Thousand Eight Hundred Fifty-Four Yuan and Ninety-Three Fen). The excess amount of RMB98,745,145.07 (in words: Renminbi Ninety-Eight Million Seven Hundred Forty-Five Thousand One Hundred Forty-Five Yuan and Seven Fen) shall be credited to the capital reserve of the Target Company (the “</w:t>
      </w:r>
      <w:r>
        <w:rPr>
          <w:rFonts w:ascii="Times New Roman" w:cs="Times New Roman" w:eastAsia="Times New Roman" w:hAnsi="Times New Roman"/>
          <w:sz w:val="20"/>
          <w:szCs w:val="20"/>
          <w:b w:val="1"/>
          <w:bCs w:val="1"/>
          <w:color w:val="auto"/>
        </w:rPr>
        <w:t>Social Security Yangtze River Delta Fund Capital Increase</w:t>
      </w:r>
      <w:r>
        <w:rPr>
          <w:rFonts w:ascii="Times New Roman" w:cs="Times New Roman" w:eastAsia="Times New Roman" w:hAnsi="Times New Roman"/>
          <w:sz w:val="20"/>
          <w:szCs w:val="20"/>
          <w:color w:val="auto"/>
        </w:rPr>
        <w:t>”);</w:t>
      </w:r>
    </w:p>
    <w:p>
      <w:pPr>
        <w:spacing w:after="0" w:line="126" w:lineRule="exact"/>
        <w:rPr>
          <w:rFonts w:ascii="Times New Roman" w:cs="Times New Roman" w:eastAsia="Times New Roman" w:hAnsi="Times New Roman"/>
          <w:sz w:val="20"/>
          <w:szCs w:val="20"/>
          <w:color w:val="auto"/>
        </w:rPr>
      </w:pPr>
    </w:p>
    <w:p>
      <w:pPr>
        <w:jc w:val="both"/>
        <w:ind w:left="720" w:hanging="586"/>
        <w:spacing w:after="0" w:line="237" w:lineRule="auto"/>
        <w:tabs>
          <w:tab w:leader="none" w:pos="72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OmniVision Group agrees to subscribe for 2.4222% of the equity interest in the Target Company on a Fully-Diluted Basis as of the Closing at a consideration of RMB200,000,000 (in words: Renminbi Two Hundred Million Yuan) (the “</w:t>
      </w:r>
      <w:r>
        <w:rPr>
          <w:rFonts w:ascii="Times New Roman" w:cs="Times New Roman" w:eastAsia="Times New Roman" w:hAnsi="Times New Roman"/>
          <w:sz w:val="20"/>
          <w:szCs w:val="20"/>
          <w:b w:val="1"/>
          <w:bCs w:val="1"/>
          <w:color w:val="auto"/>
        </w:rPr>
        <w:t>OmniVision Group Capital Increase Consideration</w:t>
      </w:r>
      <w:r>
        <w:rPr>
          <w:rFonts w:ascii="Times New Roman" w:cs="Times New Roman" w:eastAsia="Times New Roman" w:hAnsi="Times New Roman"/>
          <w:sz w:val="20"/>
          <w:szCs w:val="20"/>
          <w:color w:val="auto"/>
        </w:rPr>
        <w:t>”), corresponding to the increased registered capital of the Target Company in the amount of RMB2,509,709.87 (in words: Renminbi Two Million Five Hundred Nine Thousand Seven Hundred Nine Yuan and Eighty-Seven Fen). The excess amount of RMB197,490,290.13 (in words: Renminbi One Hundred Ninety-Seven Million Four Hundred Ninety Thousand Two Hundred Ninety Yuan and Thirteen Fen) shall be credited to the capital reserve of the Target Company (the “</w:t>
      </w:r>
      <w:r>
        <w:rPr>
          <w:rFonts w:ascii="Times New Roman" w:cs="Times New Roman" w:eastAsia="Times New Roman" w:hAnsi="Times New Roman"/>
          <w:sz w:val="20"/>
          <w:szCs w:val="20"/>
          <w:b w:val="1"/>
          <w:bCs w:val="1"/>
          <w:color w:val="auto"/>
        </w:rPr>
        <w:t>OmniVision Group Capital Increase</w:t>
      </w:r>
      <w:r>
        <w:rPr>
          <w:rFonts w:ascii="Times New Roman" w:cs="Times New Roman" w:eastAsia="Times New Roman" w:hAnsi="Times New Roman"/>
          <w:sz w:val="20"/>
          <w:szCs w:val="20"/>
          <w:color w:val="auto"/>
        </w:rPr>
        <w:t>”);</w:t>
      </w:r>
    </w:p>
    <w:p>
      <w:pPr>
        <w:spacing w:after="0" w:line="126" w:lineRule="exact"/>
        <w:rPr>
          <w:rFonts w:ascii="Times New Roman" w:cs="Times New Roman" w:eastAsia="Times New Roman" w:hAnsi="Times New Roman"/>
          <w:sz w:val="20"/>
          <w:szCs w:val="20"/>
          <w:color w:val="auto"/>
        </w:rPr>
      </w:pPr>
    </w:p>
    <w:p>
      <w:pPr>
        <w:jc w:val="both"/>
        <w:ind w:left="720" w:hanging="586"/>
        <w:spacing w:after="0" w:line="242" w:lineRule="auto"/>
        <w:tabs>
          <w:tab w:leader="none" w:pos="72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Shanghai Keshi agrees to subscribe for 2.4222% of the equity interest in the Target Company on a Fully-Diluted Basis as of the Closing at a consideration of RMB200,000,000 (in words: Renminbi Two Hundred Million Yuan) (the “</w:t>
      </w:r>
      <w:r>
        <w:rPr>
          <w:rFonts w:ascii="Times New Roman" w:cs="Times New Roman" w:eastAsia="Times New Roman" w:hAnsi="Times New Roman"/>
          <w:sz w:val="20"/>
          <w:szCs w:val="20"/>
          <w:b w:val="1"/>
          <w:bCs w:val="1"/>
          <w:color w:val="auto"/>
        </w:rPr>
        <w:t>Shanghai Keshi Capital Increase Consideration</w:t>
      </w:r>
      <w:r>
        <w:rPr>
          <w:rFonts w:ascii="Times New Roman" w:cs="Times New Roman" w:eastAsia="Times New Roman" w:hAnsi="Times New Roman"/>
          <w:sz w:val="20"/>
          <w:szCs w:val="20"/>
          <w:color w:val="auto"/>
        </w:rPr>
        <w:t>”), corresponding to the increased registered capital of the Target Company in the amount 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09" w:name="page310"/>
    <w:bookmarkEnd w:id="309"/>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720"/>
        <w:spacing w:after="0" w:line="259" w:lineRule="auto"/>
        <w:rPr>
          <w:sz w:val="20"/>
          <w:szCs w:val="20"/>
          <w:color w:val="auto"/>
        </w:rPr>
      </w:pPr>
      <w:r>
        <w:rPr>
          <w:rFonts w:ascii="Times New Roman" w:cs="Times New Roman" w:eastAsia="Times New Roman" w:hAnsi="Times New Roman"/>
          <w:sz w:val="19"/>
          <w:szCs w:val="19"/>
          <w:color w:val="auto"/>
        </w:rPr>
        <w:t>RMB2,509,709.87 (in words: Renminbi Two Million Five Hundred Nine Thousand Seven Hundred Nine Yuan and Eighty-Seven Fen). The excess amount of RMB197,490,290.13 (in words: Renminbi One Hundred Ninety-Seven Million Four Hundred Ninety Thousand Two Hundred Ninety Yuan and Thirteen Fen)shall be credited to the capital reserve of the Target Company (the “</w:t>
      </w:r>
      <w:r>
        <w:rPr>
          <w:rFonts w:ascii="Times New Roman" w:cs="Times New Roman" w:eastAsia="Times New Roman" w:hAnsi="Times New Roman"/>
          <w:sz w:val="19"/>
          <w:szCs w:val="19"/>
          <w:b w:val="1"/>
          <w:bCs w:val="1"/>
          <w:color w:val="auto"/>
        </w:rPr>
        <w:t>Shanghai Keshi Capital Increase</w:t>
      </w:r>
      <w:r>
        <w:rPr>
          <w:rFonts w:ascii="Times New Roman" w:cs="Times New Roman" w:eastAsia="Times New Roman" w:hAnsi="Times New Roman"/>
          <w:sz w:val="19"/>
          <w:szCs w:val="19"/>
          <w:color w:val="auto"/>
        </w:rPr>
        <w:t>”);</w:t>
      </w:r>
    </w:p>
    <w:p>
      <w:pPr>
        <w:spacing w:after="0" w:line="109" w:lineRule="exact"/>
        <w:rPr>
          <w:sz w:val="20"/>
          <w:szCs w:val="20"/>
          <w:color w:val="auto"/>
        </w:rPr>
      </w:pPr>
    </w:p>
    <w:p>
      <w:pPr>
        <w:jc w:val="both"/>
        <w:ind w:left="720" w:hanging="586"/>
        <w:spacing w:after="0" w:line="237" w:lineRule="auto"/>
        <w:tabs>
          <w:tab w:leader="none" w:pos="7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Juyuan Xinchuang agrees to subscribe for 0.7267% of the equity interest in the Target Company on a Fully-Diluted Basis as of the Closing at a consideration of RMB60,000,000 (in words: Renminbi Sixty Million Yuan) (the “</w:t>
      </w:r>
      <w:r>
        <w:rPr>
          <w:rFonts w:ascii="Times New Roman" w:cs="Times New Roman" w:eastAsia="Times New Roman" w:hAnsi="Times New Roman"/>
          <w:sz w:val="20"/>
          <w:szCs w:val="20"/>
          <w:b w:val="1"/>
          <w:bCs w:val="1"/>
          <w:color w:val="auto"/>
        </w:rPr>
        <w:t>Juyuan Xinchuang Capital Increase Consideration</w:t>
      </w:r>
      <w:r>
        <w:rPr>
          <w:rFonts w:ascii="Times New Roman" w:cs="Times New Roman" w:eastAsia="Times New Roman" w:hAnsi="Times New Roman"/>
          <w:sz w:val="20"/>
          <w:szCs w:val="20"/>
          <w:color w:val="auto"/>
        </w:rPr>
        <w:t>”), corresponding to the increased registered capital of the Target Company in the amount of RMB752,912.96 (in words: Renminbi Seven Hundred Fifty-Two Thousand Nine Hundred Twelve Yuan and Ninety-Six Fen). The excess amount of RMB59,247,087.04 (in words: Renminbi Fifty-Nine Million Two Hundred Forty-Seven Thousand Eighty-Seven Yuan and Four Fen)shall be credited to the capital reserve of the Target Company (the “</w:t>
      </w:r>
      <w:r>
        <w:rPr>
          <w:rFonts w:ascii="Times New Roman" w:cs="Times New Roman" w:eastAsia="Times New Roman" w:hAnsi="Times New Roman"/>
          <w:sz w:val="20"/>
          <w:szCs w:val="20"/>
          <w:b w:val="1"/>
          <w:bCs w:val="1"/>
          <w:color w:val="auto"/>
        </w:rPr>
        <w:t>Juyuan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Xinchuang Capital Increase</w:t>
      </w:r>
      <w:r>
        <w:rPr>
          <w:rFonts w:ascii="Times New Roman" w:cs="Times New Roman" w:eastAsia="Times New Roman" w:hAnsi="Times New Roman"/>
          <w:sz w:val="20"/>
          <w:szCs w:val="20"/>
          <w:color w:val="auto"/>
        </w:rPr>
        <w:t>”);</w:t>
      </w:r>
    </w:p>
    <w:p>
      <w:pPr>
        <w:spacing w:after="0" w:line="126" w:lineRule="exact"/>
        <w:rPr>
          <w:rFonts w:ascii="Times New Roman" w:cs="Times New Roman" w:eastAsia="Times New Roman" w:hAnsi="Times New Roman"/>
          <w:sz w:val="20"/>
          <w:szCs w:val="20"/>
          <w:color w:val="auto"/>
        </w:rPr>
      </w:pPr>
    </w:p>
    <w:p>
      <w:pPr>
        <w:jc w:val="both"/>
        <w:ind w:left="720" w:hanging="586"/>
        <w:spacing w:after="0" w:line="237" w:lineRule="auto"/>
        <w:tabs>
          <w:tab w:leader="none" w:pos="7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Juyuan Zhiguang agrees to subscribe for 0.6903% of the equity interest in the Target Company on a Fully-Diluted Basis as of the Closing at a consideration of RMB57,000,000 (in words: Renminbi Fifty-Seven Million Yuan) (the “</w:t>
      </w:r>
      <w:r>
        <w:rPr>
          <w:rFonts w:ascii="Times New Roman" w:cs="Times New Roman" w:eastAsia="Times New Roman" w:hAnsi="Times New Roman"/>
          <w:sz w:val="20"/>
          <w:szCs w:val="20"/>
          <w:b w:val="1"/>
          <w:bCs w:val="1"/>
          <w:color w:val="auto"/>
        </w:rPr>
        <w:t>Juyuan Zhiguang Capital Increase Consideration</w:t>
      </w:r>
      <w:r>
        <w:rPr>
          <w:rFonts w:ascii="Times New Roman" w:cs="Times New Roman" w:eastAsia="Times New Roman" w:hAnsi="Times New Roman"/>
          <w:sz w:val="20"/>
          <w:szCs w:val="20"/>
          <w:color w:val="auto"/>
        </w:rPr>
        <w:t>”), corresponding to the increased registered capital of the Target Company in the amount of RMB715,267.31 (in words: Renminbi Seven Hundred Fifteen Thousand Two Hundred Sixty-Seven Yuan and Thirty-One Fen). The excess amount of RMB56,284,732.69 (in words: Renminbi Fifty-Six Million Two Hundred Eighty-Four Thousand Seven Hundred Thirty-Two Yuan and Sixty-Nine Fen) shall be credited to the capital reserve of the Target Company (the “</w:t>
      </w:r>
      <w:r>
        <w:rPr>
          <w:rFonts w:ascii="Times New Roman" w:cs="Times New Roman" w:eastAsia="Times New Roman" w:hAnsi="Times New Roman"/>
          <w:sz w:val="20"/>
          <w:szCs w:val="20"/>
          <w:b w:val="1"/>
          <w:bCs w:val="1"/>
          <w:color w:val="auto"/>
        </w:rPr>
        <w:t>Juyuan Zhiguang Capital Increase</w:t>
      </w:r>
      <w:r>
        <w:rPr>
          <w:rFonts w:ascii="Times New Roman" w:cs="Times New Roman" w:eastAsia="Times New Roman" w:hAnsi="Times New Roman"/>
          <w:sz w:val="20"/>
          <w:szCs w:val="20"/>
          <w:color w:val="auto"/>
        </w:rPr>
        <w:t>”);</w:t>
      </w:r>
    </w:p>
    <w:p>
      <w:pPr>
        <w:spacing w:after="0" w:line="126" w:lineRule="exact"/>
        <w:rPr>
          <w:rFonts w:ascii="Times New Roman" w:cs="Times New Roman" w:eastAsia="Times New Roman" w:hAnsi="Times New Roman"/>
          <w:sz w:val="20"/>
          <w:szCs w:val="20"/>
          <w:color w:val="auto"/>
        </w:rPr>
      </w:pPr>
    </w:p>
    <w:p>
      <w:pPr>
        <w:jc w:val="both"/>
        <w:ind w:left="720" w:hanging="586"/>
        <w:spacing w:after="0" w:line="237" w:lineRule="auto"/>
        <w:tabs>
          <w:tab w:leader="none" w:pos="7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Anhui Guokong agrees to subscribe for 1.2111% of the equity interest in the Target Company on a Fully-Diluted Basis as of the Closing at a consideration of RMB100,000,000 (in words: Renminbi One Hundred Million Yuan) (the “</w:t>
      </w:r>
      <w:r>
        <w:rPr>
          <w:rFonts w:ascii="Times New Roman" w:cs="Times New Roman" w:eastAsia="Times New Roman" w:hAnsi="Times New Roman"/>
          <w:sz w:val="20"/>
          <w:szCs w:val="20"/>
          <w:b w:val="1"/>
          <w:bCs w:val="1"/>
          <w:color w:val="auto"/>
        </w:rPr>
        <w:t>Anhui Guokong Capital Increase Consideration</w:t>
      </w:r>
      <w:r>
        <w:rPr>
          <w:rFonts w:ascii="Times New Roman" w:cs="Times New Roman" w:eastAsia="Times New Roman" w:hAnsi="Times New Roman"/>
          <w:sz w:val="20"/>
          <w:szCs w:val="20"/>
          <w:color w:val="auto"/>
        </w:rPr>
        <w:t>”), corresponding to the increased registered capital of the Target Company in the amount of RMB1,254,854.93 (in words: Renminbi One Million Two Hundred Fifty-Four Thousand Eight Hundred Fifty-Four Yuan and Ninety-Three Fen). The excess amount of RMB98,745,145.07 (in words: Renminbi Ninety-Eight Million Seven Hundred Forty-Five Thousand One Hundred Forty-Five Yuan and Seven Fen) shall be credited to the capital reserve of the Target Company (the “</w:t>
      </w:r>
      <w:r>
        <w:rPr>
          <w:rFonts w:ascii="Times New Roman" w:cs="Times New Roman" w:eastAsia="Times New Roman" w:hAnsi="Times New Roman"/>
          <w:sz w:val="20"/>
          <w:szCs w:val="20"/>
          <w:b w:val="1"/>
          <w:bCs w:val="1"/>
          <w:color w:val="auto"/>
        </w:rPr>
        <w:t>Anhui Guokong Capital Increase</w:t>
      </w:r>
      <w:r>
        <w:rPr>
          <w:rFonts w:ascii="Times New Roman" w:cs="Times New Roman" w:eastAsia="Times New Roman" w:hAnsi="Times New Roman"/>
          <w:sz w:val="20"/>
          <w:szCs w:val="20"/>
          <w:color w:val="auto"/>
        </w:rPr>
        <w:t>”);</w:t>
      </w:r>
    </w:p>
    <w:p>
      <w:pPr>
        <w:spacing w:after="0" w:line="126" w:lineRule="exact"/>
        <w:rPr>
          <w:rFonts w:ascii="Times New Roman" w:cs="Times New Roman" w:eastAsia="Times New Roman" w:hAnsi="Times New Roman"/>
          <w:sz w:val="20"/>
          <w:szCs w:val="20"/>
          <w:color w:val="auto"/>
        </w:rPr>
      </w:pPr>
    </w:p>
    <w:p>
      <w:pPr>
        <w:ind w:left="720" w:hanging="586"/>
        <w:spacing w:after="0"/>
        <w:tabs>
          <w:tab w:leader="none" w:pos="7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Yuanhe Puhua agrees to subscribe for 1.2111% of the equity interest in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10" w:name="page311"/>
    <w:bookmarkEnd w:id="310"/>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720"/>
        <w:spacing w:after="0" w:line="237" w:lineRule="auto"/>
        <w:rPr>
          <w:sz w:val="20"/>
          <w:szCs w:val="20"/>
          <w:color w:val="auto"/>
        </w:rPr>
      </w:pPr>
      <w:r>
        <w:rPr>
          <w:rFonts w:ascii="Times New Roman" w:cs="Times New Roman" w:eastAsia="Times New Roman" w:hAnsi="Times New Roman"/>
          <w:sz w:val="20"/>
          <w:szCs w:val="20"/>
          <w:color w:val="auto"/>
        </w:rPr>
        <w:t>Target Company on a Fully-Diluted Basis as of the Closing at a consideration of RMB100,000,000 (in words: Renminbi One Hundred Million Yuan) (the “</w:t>
      </w:r>
      <w:r>
        <w:rPr>
          <w:rFonts w:ascii="Times New Roman" w:cs="Times New Roman" w:eastAsia="Times New Roman" w:hAnsi="Times New Roman"/>
          <w:sz w:val="20"/>
          <w:szCs w:val="20"/>
          <w:b w:val="1"/>
          <w:bCs w:val="1"/>
          <w:color w:val="auto"/>
        </w:rPr>
        <w:t>Yuanhe Puhua Capital Increase Consideration</w:t>
      </w:r>
      <w:r>
        <w:rPr>
          <w:rFonts w:ascii="Times New Roman" w:cs="Times New Roman" w:eastAsia="Times New Roman" w:hAnsi="Times New Roman"/>
          <w:sz w:val="20"/>
          <w:szCs w:val="20"/>
          <w:color w:val="auto"/>
        </w:rPr>
        <w:t>”), corresponding to the increased registered capital of the Target Company in the amount of RMB1,254,854.93 (in words: Renminbi One Million Two Hundred Fifty-Four Thousand Eight Hundred Fifty-Four Yuan and Ninety-Three Fen). The excess amount of RMB98,745,145.07 (in words: Renminbi Ninety-Eight Million Seven Hundred Forty-Five Thousand One Hundred Forty-Five Yuan and Seven Fen) shall be credited to the capital reserve of the Target Company (the “</w:t>
      </w:r>
      <w:r>
        <w:rPr>
          <w:rFonts w:ascii="Times New Roman" w:cs="Times New Roman" w:eastAsia="Times New Roman" w:hAnsi="Times New Roman"/>
          <w:sz w:val="20"/>
          <w:szCs w:val="20"/>
          <w:b w:val="1"/>
          <w:bCs w:val="1"/>
          <w:color w:val="auto"/>
        </w:rPr>
        <w:t>Yuanhe Puhua Capital Increase</w:t>
      </w:r>
      <w:r>
        <w:rPr>
          <w:rFonts w:ascii="Times New Roman" w:cs="Times New Roman" w:eastAsia="Times New Roman" w:hAnsi="Times New Roman"/>
          <w:sz w:val="20"/>
          <w:szCs w:val="20"/>
          <w:color w:val="auto"/>
        </w:rPr>
        <w:t>”);</w:t>
      </w:r>
    </w:p>
    <w:p>
      <w:pPr>
        <w:spacing w:after="0" w:line="131" w:lineRule="exact"/>
        <w:rPr>
          <w:sz w:val="20"/>
          <w:szCs w:val="20"/>
          <w:color w:val="auto"/>
        </w:rPr>
      </w:pPr>
    </w:p>
    <w:p>
      <w:pPr>
        <w:jc w:val="both"/>
        <w:ind w:left="720" w:hanging="586"/>
        <w:spacing w:after="0" w:line="237" w:lineRule="auto"/>
        <w:tabs>
          <w:tab w:leader="none" w:pos="72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Hefei Weilai Investment agrees to subscribe for 1.2111% of the equity interest in the Target Company on a Fully-Diluted Basis as of the Closing at a consideration of RMB100,000,000 (in words: Renminbi One Hundred Million Yuan) (the “</w:t>
      </w:r>
      <w:r>
        <w:rPr>
          <w:rFonts w:ascii="Times New Roman" w:cs="Times New Roman" w:eastAsia="Times New Roman" w:hAnsi="Times New Roman"/>
          <w:sz w:val="20"/>
          <w:szCs w:val="20"/>
          <w:b w:val="1"/>
          <w:bCs w:val="1"/>
          <w:color w:val="auto"/>
        </w:rPr>
        <w:t>Hefei Weilai Investment Capital Increase Consideration</w:t>
      </w:r>
      <w:r>
        <w:rPr>
          <w:rFonts w:ascii="Times New Roman" w:cs="Times New Roman" w:eastAsia="Times New Roman" w:hAnsi="Times New Roman"/>
          <w:sz w:val="20"/>
          <w:szCs w:val="20"/>
          <w:color w:val="auto"/>
        </w:rPr>
        <w:t>”), corresponding to the increased registered capital of the Target Company in the amount of RMB1,254,854.93 (in words: Renminbi One Million Two Hundred Fifty-Four Thousand Eight Hundred Fifty-Four Yuan and Ninety-Three Fen). The excess amount of RMB98,745,145.07 (in words: Renminbi Ninety-Eight Million Seven Hundred Forty-Five Thousand One Hundred Forty-Five Yuan and Seven Fen)shall be credited to the capital reserve of the Target Company (the “</w:t>
      </w:r>
      <w:r>
        <w:rPr>
          <w:rFonts w:ascii="Times New Roman" w:cs="Times New Roman" w:eastAsia="Times New Roman" w:hAnsi="Times New Roman"/>
          <w:sz w:val="20"/>
          <w:szCs w:val="20"/>
          <w:b w:val="1"/>
          <w:bCs w:val="1"/>
          <w:color w:val="auto"/>
        </w:rPr>
        <w:t>Hefei Weilai Investment Capital Increase</w:t>
      </w:r>
      <w:r>
        <w:rPr>
          <w:rFonts w:ascii="Times New Roman" w:cs="Times New Roman" w:eastAsia="Times New Roman" w:hAnsi="Times New Roman"/>
          <w:sz w:val="20"/>
          <w:szCs w:val="20"/>
          <w:color w:val="auto"/>
        </w:rPr>
        <w:t>”);</w:t>
      </w:r>
    </w:p>
    <w:p>
      <w:pPr>
        <w:spacing w:after="0" w:line="126" w:lineRule="exact"/>
        <w:rPr>
          <w:rFonts w:ascii="Times New Roman" w:cs="Times New Roman" w:eastAsia="Times New Roman" w:hAnsi="Times New Roman"/>
          <w:sz w:val="20"/>
          <w:szCs w:val="20"/>
          <w:color w:val="auto"/>
        </w:rPr>
      </w:pPr>
    </w:p>
    <w:p>
      <w:pPr>
        <w:jc w:val="both"/>
        <w:ind w:left="720" w:hanging="586"/>
        <w:spacing w:after="0" w:line="237" w:lineRule="auto"/>
        <w:tabs>
          <w:tab w:leader="none" w:pos="72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Chongqing Manufacturing Fund agrees to subscribe for 0.8478% of the equity interest in the Target Company on a Fully-Diluted Basis as of the Closing at a consideration of RMB70,000,000 (the “</w:t>
      </w:r>
      <w:r>
        <w:rPr>
          <w:rFonts w:ascii="Times New Roman" w:cs="Times New Roman" w:eastAsia="Times New Roman" w:hAnsi="Times New Roman"/>
          <w:sz w:val="20"/>
          <w:szCs w:val="20"/>
          <w:b w:val="1"/>
          <w:bCs w:val="1"/>
          <w:color w:val="auto"/>
        </w:rPr>
        <w:t>Chongqing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Manufacturing Fund Capital Increase Consideration</w:t>
      </w:r>
      <w:r>
        <w:rPr>
          <w:rFonts w:ascii="Times New Roman" w:cs="Times New Roman" w:eastAsia="Times New Roman" w:hAnsi="Times New Roman"/>
          <w:sz w:val="20"/>
          <w:szCs w:val="20"/>
          <w:color w:val="auto"/>
        </w:rPr>
        <w:t>”), corresponding to the increased registered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Target Company in the amount of RMB878,398.45 (in words: Renminbi Eight Hundred Seventy-Eight Thousand Three Hundred Ninety-Eight Yuan and Forty-Five Fen). The excess amount of RMB69,121,601.55 (in words: Renminbi Sixty-Nine Million One Hundred Twenty-One Thousand Six Hundred One Yuan and Fifty-Five Fen) shall be credited to the capital reserve of the Target Company (the “</w:t>
      </w:r>
      <w:r>
        <w:rPr>
          <w:rFonts w:ascii="Times New Roman" w:cs="Times New Roman" w:eastAsia="Times New Roman" w:hAnsi="Times New Roman"/>
          <w:sz w:val="20"/>
          <w:szCs w:val="20"/>
          <w:b w:val="1"/>
          <w:bCs w:val="1"/>
          <w:color w:val="auto"/>
        </w:rPr>
        <w:t>Chongqing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Manufacturing Fund Capital Increase</w:t>
      </w:r>
      <w:r>
        <w:rPr>
          <w:rFonts w:ascii="Times New Roman" w:cs="Times New Roman" w:eastAsia="Times New Roman" w:hAnsi="Times New Roman"/>
          <w:sz w:val="20"/>
          <w:szCs w:val="20"/>
          <w:color w:val="auto"/>
        </w:rPr>
        <w:t>”);</w:t>
      </w:r>
    </w:p>
    <w:p>
      <w:pPr>
        <w:spacing w:after="0" w:line="126" w:lineRule="exact"/>
        <w:rPr>
          <w:rFonts w:ascii="Times New Roman" w:cs="Times New Roman" w:eastAsia="Times New Roman" w:hAnsi="Times New Roman"/>
          <w:sz w:val="20"/>
          <w:szCs w:val="20"/>
          <w:color w:val="auto"/>
        </w:rPr>
      </w:pPr>
    </w:p>
    <w:p>
      <w:pPr>
        <w:jc w:val="both"/>
        <w:ind w:left="720" w:hanging="586"/>
        <w:spacing w:after="0" w:line="255" w:lineRule="auto"/>
        <w:tabs>
          <w:tab w:leader="none" w:pos="72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Hubei Green Innovation Fund agrees to subscribe for 0.2422% of the equity interest in the Target Company on a Fully-Diluted Basis as of the Closing at a consideration of RMB20,000,000 (in words: Renminbi Twenty Million Yuan (the “</w:t>
      </w:r>
      <w:r>
        <w:rPr>
          <w:rFonts w:ascii="Times New Roman" w:cs="Times New Roman" w:eastAsia="Times New Roman" w:hAnsi="Times New Roman"/>
          <w:sz w:val="19"/>
          <w:szCs w:val="19"/>
          <w:b w:val="1"/>
          <w:bCs w:val="1"/>
          <w:color w:val="auto"/>
        </w:rPr>
        <w:t>Hubei Green Innovation Fund Capital Increase Consideration</w:t>
      </w:r>
      <w:r>
        <w:rPr>
          <w:rFonts w:ascii="Times New Roman" w:cs="Times New Roman" w:eastAsia="Times New Roman" w:hAnsi="Times New Roman"/>
          <w:sz w:val="19"/>
          <w:szCs w:val="19"/>
          <w:color w:val="auto"/>
        </w:rPr>
        <w:t>”), corresponding to the increased registered capital of the Target Company in the amount of RMB250,970.99 (in words: Renminbi Two Hundred Fifty Thousand Nine Hundred Seventy Yuan and Ninety-Nine Fen). The excess amount 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1180"/>
        <w:spacing w:after="0" w:line="247" w:lineRule="auto"/>
        <w:rPr>
          <w:sz w:val="20"/>
          <w:szCs w:val="20"/>
          <w:color w:val="auto"/>
        </w:rPr>
      </w:pPr>
      <w:r>
        <w:rPr>
          <w:rFonts w:ascii="Times New Roman" w:cs="Times New Roman" w:eastAsia="Times New Roman" w:hAnsi="Times New Roman"/>
          <w:sz w:val="20"/>
          <w:szCs w:val="20"/>
          <w:color w:val="auto"/>
        </w:rPr>
        <w:t>RMB19,749,029.01 (in words: Renminbi Nineteen Million Seven Hundred Forty-Nine Thousand Twenty-Nine Yuan and One Fen) shall be credited to the capital reserve of the Target Company (the “</w:t>
      </w:r>
      <w:r>
        <w:rPr>
          <w:rFonts w:ascii="Times New Roman" w:cs="Times New Roman" w:eastAsia="Times New Roman" w:hAnsi="Times New Roman"/>
          <w:sz w:val="20"/>
          <w:szCs w:val="20"/>
          <w:b w:val="1"/>
          <w:bCs w:val="1"/>
          <w:color w:val="auto"/>
        </w:rPr>
        <w:t>Hubei Green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Innovation Fund Capital Increase</w:t>
      </w:r>
      <w:r>
        <w:rPr>
          <w:rFonts w:ascii="Times New Roman" w:cs="Times New Roman" w:eastAsia="Times New Roman" w:hAnsi="Times New Roman"/>
          <w:sz w:val="20"/>
          <w:szCs w:val="20"/>
          <w:color w:val="auto"/>
        </w:rPr>
        <w:t>”);</w:t>
      </w:r>
    </w:p>
    <w:p>
      <w:pPr>
        <w:spacing w:after="0" w:line="119" w:lineRule="exact"/>
        <w:rPr>
          <w:sz w:val="20"/>
          <w:szCs w:val="20"/>
          <w:color w:val="auto"/>
        </w:rPr>
      </w:pPr>
    </w:p>
    <w:p>
      <w:pPr>
        <w:jc w:val="both"/>
        <w:ind w:left="1180" w:hanging="586"/>
        <w:spacing w:after="0" w:line="235" w:lineRule="auto"/>
        <w:tabs>
          <w:tab w:leader="none" w:pos="118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Oriza Holdings agrees to subscribe for 0.6055% of the equity interest in the Target Company on a Fully-Diluted Basis as of the Closing at a consideration of RMB50,000,000 (in words: Renminbi Fifty Million Yuan) (the “</w:t>
      </w:r>
      <w:r>
        <w:rPr>
          <w:rFonts w:ascii="Times New Roman" w:cs="Times New Roman" w:eastAsia="Times New Roman" w:hAnsi="Times New Roman"/>
          <w:sz w:val="20"/>
          <w:szCs w:val="20"/>
          <w:b w:val="1"/>
          <w:bCs w:val="1"/>
          <w:color w:val="auto"/>
        </w:rPr>
        <w:t>Oriza Holdings Capital Increase Consideration</w:t>
      </w:r>
      <w:r>
        <w:rPr>
          <w:rFonts w:ascii="Times New Roman" w:cs="Times New Roman" w:eastAsia="Times New Roman" w:hAnsi="Times New Roman"/>
          <w:sz w:val="20"/>
          <w:szCs w:val="20"/>
          <w:color w:val="auto"/>
        </w:rPr>
        <w:t>”), corresponding to the increased registered capital of the Target Company in the amount of RMB627,427.47 (in words: Renminbi Six Hundred Twenty-Seven Thousand Four Hundred Twenty-Seven Yuan and Forty-Seven Fen). The excess amount of RMB49,372,572.53 (in words: Renminbi Forty-Nine Million Three Hundred Seventy-Two Thousand Five Hundred Seventy-Two Yuan and Fifty-Three Fen)shall be credited to the capital reserve of the Target Company (the “</w:t>
      </w:r>
      <w:r>
        <w:rPr>
          <w:rFonts w:ascii="Times New Roman" w:cs="Times New Roman" w:eastAsia="Times New Roman" w:hAnsi="Times New Roman"/>
          <w:sz w:val="20"/>
          <w:szCs w:val="20"/>
          <w:b w:val="1"/>
          <w:bCs w:val="1"/>
          <w:color w:val="auto"/>
        </w:rPr>
        <w:t>Oriza Holdings Capital Increase</w:t>
      </w:r>
      <w:r>
        <w:rPr>
          <w:rFonts w:ascii="Times New Roman" w:cs="Times New Roman" w:eastAsia="Times New Roman" w:hAnsi="Times New Roman"/>
          <w:sz w:val="20"/>
          <w:szCs w:val="20"/>
          <w:color w:val="auto"/>
        </w:rPr>
        <w:t>”, together with Emerging Industry Fund Capital Increase, Hefei Haiheng Capital Increase, Harmonious Growth Fund Capital Increase, Social Security Yangtze River Delta Fund Capital Increase, OmniVision Group Capital Increase, Shanghai Keshi Capital Increase, Juyuan Xinchuang Capital Increase, Juyuan Zhiguang Capital Increase, Anhui Guokong Capital Increase, Yuanhe Puhua Capital Increase, Hefei Weilai Investment Capital Increase, Chongqing Manufacturing Fund Capital Increase and Hubei Green Innovation Fund Capital Increase,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jc w:val="both"/>
        <w:ind w:left="600" w:hanging="593"/>
        <w:spacing w:after="0" w:line="247" w:lineRule="auto"/>
        <w:tabs>
          <w:tab w:leader="none" w:pos="5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The Controlling Shareholder and the Employee Shareholding Platforms hereby consent to the Transaction and hereby waive their pre-emptive rights to subscribe for the increased capital in the Transaction under Applicable Laws, the current effective articles of association of the Target Company, and other relevant documents.</w:t>
      </w:r>
    </w:p>
    <w:p>
      <w:pPr>
        <w:spacing w:after="0" w:line="119" w:lineRule="exact"/>
        <w:rPr>
          <w:sz w:val="20"/>
          <w:szCs w:val="20"/>
          <w:color w:val="auto"/>
        </w:rPr>
      </w:pPr>
    </w:p>
    <w:p>
      <w:pPr>
        <w:jc w:val="both"/>
        <w:ind w:left="600" w:hanging="593"/>
        <w:spacing w:after="0" w:line="242" w:lineRule="auto"/>
        <w:tabs>
          <w:tab w:leader="none" w:pos="5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Immediately after the Closing, the registered capital of the Target Company shall be RMB103,613,371.90 (in words: Renminbi One Hundred Three Million Six Hundred Thirteen Thousand Three Hundred Seventy-One Yuan and Nine Jiao), and the equity structure of the Target Company on a Fully-diluted Basis shall be as set forth in Part 2 of Exhibit 1 hereto. Each Investor shall become a shareholder of the Target Company as of the Closing.</w:t>
      </w:r>
    </w:p>
    <w:p>
      <w:pPr>
        <w:spacing w:after="0" w:line="1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The proceeds from this capital increase shall be used for the following purposes:</w:t>
      </w:r>
    </w:p>
    <w:p>
      <w:pPr>
        <w:spacing w:after="0" w:line="154" w:lineRule="exact"/>
        <w:rPr>
          <w:sz w:val="20"/>
          <w:szCs w:val="20"/>
          <w:color w:val="auto"/>
        </w:rPr>
      </w:pPr>
    </w:p>
    <w:p>
      <w:pPr>
        <w:ind w:left="1180" w:hanging="586"/>
        <w:spacing w:after="0"/>
        <w:tabs>
          <w:tab w:leader="none" w:pos="118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development of the Principal Business;</w:t>
      </w:r>
    </w:p>
    <w:p>
      <w:pPr>
        <w:spacing w:after="0" w:line="153" w:lineRule="exact"/>
        <w:rPr>
          <w:rFonts w:ascii="Times New Roman" w:cs="Times New Roman" w:eastAsia="Times New Roman" w:hAnsi="Times New Roman"/>
          <w:sz w:val="20"/>
          <w:szCs w:val="20"/>
          <w:color w:val="auto"/>
        </w:rPr>
      </w:pPr>
    </w:p>
    <w:p>
      <w:pPr>
        <w:jc w:val="both"/>
        <w:ind w:left="1180" w:hanging="586"/>
        <w:spacing w:after="0" w:line="247" w:lineRule="auto"/>
        <w:tabs>
          <w:tab w:leader="none" w:pos="118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capital expenditures or investment projects, or for working capital supplementation, as approved in the annual budget approved by the shareholders’ meeting of the Target Company in accordance with the Company’s New Articles of Association and the Shareholders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left="1180" w:hanging="586"/>
        <w:spacing w:after="0"/>
        <w:tabs>
          <w:tab w:leader="none" w:pos="118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other purposes unanimously agreed upon by the Parties.</w:t>
      </w:r>
    </w:p>
    <w:p>
      <w:pPr>
        <w:spacing w:after="0" w:line="150" w:lineRule="exact"/>
        <w:rPr>
          <w:sz w:val="20"/>
          <w:szCs w:val="20"/>
          <w:color w:val="auto"/>
        </w:rPr>
      </w:pPr>
    </w:p>
    <w:p>
      <w:pPr>
        <w:ind w:left="3340" w:hanging="594"/>
        <w:spacing w:after="0"/>
        <w:tabs>
          <w:tab w:leader="none" w:pos="3340" w:val="left"/>
        </w:tabs>
        <w:numPr>
          <w:ilvl w:val="0"/>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PRECEDENT TO CLOSING</w:t>
      </w:r>
    </w:p>
    <w:p>
      <w:pPr>
        <w:spacing w:after="0" w:line="158" w:lineRule="exact"/>
        <w:rPr>
          <w:sz w:val="20"/>
          <w:szCs w:val="20"/>
          <w:color w:val="auto"/>
        </w:rPr>
      </w:pPr>
    </w:p>
    <w:p>
      <w:pPr>
        <w:jc w:val="both"/>
        <w:ind w:left="600" w:hanging="593"/>
        <w:spacing w:after="0" w:line="242" w:lineRule="auto"/>
        <w:tabs>
          <w:tab w:leader="none" w:pos="5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A relevant Investor shall be obligated to pay its corresponding capital increase consideration only if and when each of the following conditions has been satisfied, or waived in writing by such relevant Investor, by or before the Closing (for the avoidance of doubt, each Investor may only waive the conditions precedent to closing in respect of its respective transaction contemplated hereby):</w:t>
      </w:r>
    </w:p>
    <w:p>
      <w:pPr>
        <w:spacing w:after="0" w:line="124" w:lineRule="exact"/>
        <w:rPr>
          <w:sz w:val="20"/>
          <w:szCs w:val="20"/>
          <w:color w:val="auto"/>
        </w:rPr>
      </w:pPr>
    </w:p>
    <w:p>
      <w:pPr>
        <w:ind w:left="1180" w:hanging="586"/>
        <w:spacing w:after="0" w:line="262" w:lineRule="auto"/>
        <w:tabs>
          <w:tab w:leader="none" w:pos="11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has entered into a sales framework agreement with a subsidiary of NIO Group that conforms to industry practice, which shall specify clear pricing principles for the products to be purchased;</w:t>
      </w:r>
    </w:p>
    <w:p>
      <w:pPr>
        <w:spacing w:after="0" w:line="104" w:lineRule="exact"/>
        <w:rPr>
          <w:rFonts w:ascii="Times New Roman" w:cs="Times New Roman" w:eastAsia="Times New Roman" w:hAnsi="Times New Roman"/>
          <w:sz w:val="20"/>
          <w:szCs w:val="20"/>
          <w:color w:val="auto"/>
        </w:rPr>
      </w:pPr>
    </w:p>
    <w:p>
      <w:pPr>
        <w:jc w:val="both"/>
        <w:ind w:left="1180" w:hanging="586"/>
        <w:spacing w:after="0" w:line="242" w:lineRule="auto"/>
        <w:tabs>
          <w:tab w:leader="none" w:pos="11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has completed the pre-closing matters set forth in Part 1 of the Restructuring Plan in Exhibit 11 and has provided such Investor with evidence of the completion of the foregoing matters, wherein, with respect to the Target Company directly establishing a procurement relationship with business suppliers, the Target Company shall provide emails or other vouchers as evidence;</w:t>
      </w:r>
    </w:p>
    <w:p>
      <w:pPr>
        <w:spacing w:after="0" w:line="124" w:lineRule="exact"/>
        <w:rPr>
          <w:rFonts w:ascii="Times New Roman" w:cs="Times New Roman" w:eastAsia="Times New Roman" w:hAnsi="Times New Roman"/>
          <w:sz w:val="20"/>
          <w:szCs w:val="20"/>
          <w:color w:val="auto"/>
        </w:rPr>
      </w:pPr>
    </w:p>
    <w:p>
      <w:pPr>
        <w:jc w:val="both"/>
        <w:ind w:left="1180" w:hanging="586"/>
        <w:spacing w:after="0" w:line="247" w:lineRule="auto"/>
        <w:tabs>
          <w:tab w:leader="none" w:pos="11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Controlling Shareholder has fully paid up its registered capital in the Target Company, and the amount of paid-in registered capital is not less than the consideration for the transfer of the Target Assets as agreed in the Asset Transfer Agreement;</w:t>
      </w:r>
    </w:p>
    <w:p>
      <w:pPr>
        <w:spacing w:after="0" w:line="119"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information and materials provided by the Target Company during the Investor’s due diligence process are true, accurate, complete, and valid;</w:t>
      </w:r>
    </w:p>
    <w:p>
      <w:pPr>
        <w:spacing w:after="0" w:line="104" w:lineRule="exact"/>
        <w:rPr>
          <w:rFonts w:ascii="Times New Roman" w:cs="Times New Roman" w:eastAsia="Times New Roman" w:hAnsi="Times New Roman"/>
          <w:sz w:val="20"/>
          <w:szCs w:val="20"/>
          <w:color w:val="auto"/>
        </w:rPr>
      </w:pPr>
    </w:p>
    <w:p>
      <w:pPr>
        <w:jc w:val="both"/>
        <w:ind w:left="1180" w:hanging="586"/>
        <w:spacing w:after="0" w:line="237" w:lineRule="auto"/>
        <w:tabs>
          <w:tab w:leader="none" w:pos="11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has obtained all necessary internal authorizations and approvals required for signing and performing the Transaction Documents and completing the Transaction; the board of directors of the Target Company has approved the Transaction, the Target Business Spin-off, and the execution and performance of the Transaction Documents; and the shareholders’ meeting of the Target Company has approved the following matters, including: (1) approving the Transaction, the Target Business Spin-off , and the execution and performance of the Transaction Documents; (2) the then shareholders of the Target Company waiving their pre-emptive rights with respect to the Transaction; (3) the board of directors of the Target Company to be composed of five (5) directors; and (4) approving the New Articles of Association;</w:t>
      </w:r>
    </w:p>
    <w:p>
      <w:pPr>
        <w:spacing w:after="0" w:line="126" w:lineRule="exact"/>
        <w:rPr>
          <w:rFonts w:ascii="Times New Roman" w:cs="Times New Roman" w:eastAsia="Times New Roman" w:hAnsi="Times New Roman"/>
          <w:sz w:val="20"/>
          <w:szCs w:val="20"/>
          <w:color w:val="auto"/>
        </w:rPr>
      </w:pPr>
    </w:p>
    <w:p>
      <w:pPr>
        <w:jc w:val="both"/>
        <w:ind w:left="1180" w:hanging="586"/>
        <w:spacing w:after="0" w:line="247" w:lineRule="auto"/>
        <w:tabs>
          <w:tab w:leader="none" w:pos="11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the Controlling Shareholder, NIO, and its Affiliates have obtained all necessary internal authorizations and approvals required for signing and performing the Transaction Documents, completing the Transaction,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1180"/>
        <w:spacing w:after="0" w:line="242" w:lineRule="auto"/>
        <w:rPr>
          <w:sz w:val="20"/>
          <w:szCs w:val="20"/>
          <w:color w:val="auto"/>
        </w:rPr>
      </w:pPr>
      <w:r>
        <w:rPr>
          <w:rFonts w:ascii="Times New Roman" w:cs="Times New Roman" w:eastAsia="Times New Roman" w:hAnsi="Times New Roman"/>
          <w:sz w:val="20"/>
          <w:szCs w:val="20"/>
          <w:color w:val="auto"/>
        </w:rPr>
        <w:t>the Target Business Spin-off , and NIO has duly performed and completed the approval and disclosure procedures and processes required by the listing laws and regulations of the United States, Hong Kong, and Singapore, as well as the respective listing rules of the Hong Kong Stock Exchange, the Nasdaq Stock Market, and the Singapore Exchange;</w:t>
      </w:r>
    </w:p>
    <w:p>
      <w:pPr>
        <w:spacing w:after="0" w:line="124" w:lineRule="exact"/>
        <w:rPr>
          <w:sz w:val="20"/>
          <w:szCs w:val="20"/>
          <w:color w:val="auto"/>
        </w:rPr>
      </w:pPr>
    </w:p>
    <w:p>
      <w:pPr>
        <w:ind w:left="1180" w:hanging="586"/>
        <w:spacing w:after="0"/>
        <w:tabs>
          <w:tab w:leader="none" w:pos="11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Documents have been duly executed and delivered by the Parties;</w:t>
      </w:r>
    </w:p>
    <w:p>
      <w:pPr>
        <w:spacing w:after="0" w:line="153" w:lineRule="exact"/>
        <w:rPr>
          <w:rFonts w:ascii="Times New Roman" w:cs="Times New Roman" w:eastAsia="Times New Roman" w:hAnsi="Times New Roman"/>
          <w:sz w:val="20"/>
          <w:szCs w:val="20"/>
          <w:color w:val="auto"/>
        </w:rPr>
      </w:pPr>
    </w:p>
    <w:p>
      <w:pPr>
        <w:ind w:left="1180" w:hanging="586"/>
        <w:spacing w:after="0"/>
        <w:tabs>
          <w:tab w:leader="none" w:pos="11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has amended its articles of association for the purpose of this Transaction;</w:t>
      </w:r>
    </w:p>
    <w:p>
      <w:pPr>
        <w:spacing w:after="0" w:line="153"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made by the Company Parties in this Agreement are true, accurate, and complete;</w:t>
      </w:r>
    </w:p>
    <w:p>
      <w:pPr>
        <w:spacing w:after="0" w:line="104" w:lineRule="exact"/>
        <w:rPr>
          <w:rFonts w:ascii="Times New Roman" w:cs="Times New Roman" w:eastAsia="Times New Roman" w:hAnsi="Times New Roman"/>
          <w:sz w:val="20"/>
          <w:szCs w:val="20"/>
          <w:color w:val="auto"/>
        </w:rPr>
      </w:pPr>
    </w:p>
    <w:p>
      <w:pPr>
        <w:jc w:val="both"/>
        <w:ind w:left="1180" w:hanging="586"/>
        <w:spacing w:after="0" w:line="247" w:lineRule="auto"/>
        <w:tabs>
          <w:tab w:leader="none" w:pos="11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Parties have fully performed and complied with the conditions, obligations, and undertakings under this Agreement that are required to occur by or before the Closing, and there is no breach of the provisions of the Transaction Documents;</w:t>
      </w:r>
    </w:p>
    <w:p>
      <w:pPr>
        <w:spacing w:after="0" w:line="119" w:lineRule="exact"/>
        <w:rPr>
          <w:rFonts w:ascii="Times New Roman" w:cs="Times New Roman" w:eastAsia="Times New Roman" w:hAnsi="Times New Roman"/>
          <w:sz w:val="20"/>
          <w:szCs w:val="20"/>
          <w:color w:val="auto"/>
        </w:rPr>
      </w:pPr>
    </w:p>
    <w:p>
      <w:pPr>
        <w:jc w:val="both"/>
        <w:ind w:left="1180" w:hanging="586"/>
        <w:spacing w:after="0" w:line="247" w:lineRule="auto"/>
        <w:tabs>
          <w:tab w:leader="none" w:pos="11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there exists no event, fact, condition, change, or other circumstance that has had, or could reasonably be expected to have, a Material Adverse Effect on the assets, financial structure, Liabilities, technology, or normal operations of the Target Company;</w:t>
      </w:r>
    </w:p>
    <w:p>
      <w:pPr>
        <w:spacing w:after="0" w:line="119"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has issued a payment notice to such Investor, specifying the bank account information of the Target Company for receiving payments.</w:t>
      </w:r>
    </w:p>
    <w:p>
      <w:pPr>
        <w:spacing w:after="0" w:line="104" w:lineRule="exact"/>
        <w:rPr>
          <w:sz w:val="20"/>
          <w:szCs w:val="20"/>
          <w:color w:val="auto"/>
        </w:rPr>
      </w:pPr>
    </w:p>
    <w:p>
      <w:pPr>
        <w:jc w:val="both"/>
        <w:ind w:left="600" w:hanging="593"/>
        <w:spacing w:after="0" w:line="247" w:lineRule="auto"/>
        <w:tabs>
          <w:tab w:leader="none" w:pos="5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The Company Parties shall be obligated to perform the Transaction with respect to a relevant Investor only if and when each of the following conditions has been satisfied, or waived in writing by the Target Company, by or before the Closing:</w:t>
      </w:r>
    </w:p>
    <w:p>
      <w:pPr>
        <w:spacing w:after="0" w:line="119" w:lineRule="exact"/>
        <w:rPr>
          <w:sz w:val="20"/>
          <w:szCs w:val="20"/>
          <w:color w:val="auto"/>
        </w:rPr>
      </w:pPr>
    </w:p>
    <w:p>
      <w:pPr>
        <w:ind w:left="1180" w:hanging="586"/>
        <w:spacing w:after="0" w:line="262" w:lineRule="auto"/>
        <w:tabs>
          <w:tab w:leader="none" w:pos="118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Investor has duly executed and delivered to the Target Company the Transaction Documents to which it is a Party;</w:t>
      </w:r>
    </w:p>
    <w:p>
      <w:pPr>
        <w:spacing w:after="0" w:line="104"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Investor has obtained all necessary authorizations and approvals required for signing and performing the Transaction Documents and completing the Transaction.</w:t>
      </w:r>
    </w:p>
    <w:p>
      <w:pPr>
        <w:spacing w:after="0" w:line="100" w:lineRule="exact"/>
        <w:rPr>
          <w:sz w:val="20"/>
          <w:szCs w:val="20"/>
          <w:color w:val="auto"/>
        </w:rPr>
      </w:pPr>
    </w:p>
    <w:p>
      <w:pPr>
        <w:ind w:left="2680" w:hanging="604"/>
        <w:spacing w:after="0"/>
        <w:tabs>
          <w:tab w:leader="none" w:pos="2680" w:val="left"/>
        </w:tabs>
        <w:numPr>
          <w:ilvl w:val="0"/>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CLOSING AND PAYMENT OF THE TRANSACTION</w:t>
      </w:r>
    </w:p>
    <w:p>
      <w:pPr>
        <w:spacing w:after="0" w:line="1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Closing</w:t>
      </w:r>
    </w:p>
    <w:p>
      <w:pPr>
        <w:spacing w:after="0" w:line="15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The Company Parties shall jointly procure that each of the conditions precedent set forth in Section 3.1 is satisfied, and the Investors shall procure that each of the conditions precedent set forth in Section 3.2 is satisfied. When the conditions precedent to closing set forth in Sections 3.1 and 3.2 have been satisfied or waived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15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608" w:right="999"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600"/>
        <w:spacing w:after="0" w:line="238" w:lineRule="auto"/>
        <w:rPr>
          <w:sz w:val="20"/>
          <w:szCs w:val="20"/>
          <w:color w:val="auto"/>
        </w:rPr>
      </w:pPr>
      <w:r>
        <w:rPr>
          <w:rFonts w:ascii="Times New Roman" w:cs="Times New Roman" w:eastAsia="Times New Roman" w:hAnsi="Times New Roman"/>
          <w:sz w:val="20"/>
          <w:szCs w:val="20"/>
          <w:color w:val="auto"/>
        </w:rPr>
        <w:t>by written notice by the party entitled to waive such conditions (for the avoidance of doubt, each Investor may only waive the conditions precedent to closing set forth in Section 3.1 in respect of its respective transaction contemplated hereby), the Target Company shall issue to the Investors a confirmation letter of satisfaction of conditions precedent in the form and substance as set forth in Exhibit 6, specifying the date of satisfaction of conditions precedent (the “Conditions Satisfaction Date”) and stating that all conditions precedent set forth in Section 3.1 have been satisfied or waived by the relevant Investor(s).</w:t>
      </w:r>
    </w:p>
    <w:p>
      <w:pPr>
        <w:spacing w:after="0" w:line="1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Payment of Capital Increase Consideration</w:t>
      </w:r>
    </w:p>
    <w:p>
      <w:pPr>
        <w:spacing w:after="0" w:line="150" w:lineRule="exact"/>
        <w:rPr>
          <w:sz w:val="20"/>
          <w:szCs w:val="20"/>
          <w:color w:val="auto"/>
        </w:rPr>
      </w:pPr>
    </w:p>
    <w:p>
      <w:pPr>
        <w:jc w:val="both"/>
        <w:ind w:left="1180" w:hanging="586"/>
        <w:spacing w:after="0" w:line="293" w:lineRule="auto"/>
        <w:tabs>
          <w:tab w:leader="none" w:pos="118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ten (10) Business Days from the Conditions Satisfaction Date (the “</w:t>
      </w:r>
      <w:r>
        <w:rPr>
          <w:rFonts w:ascii="Times New Roman" w:cs="Times New Roman" w:eastAsia="Times New Roman" w:hAnsi="Times New Roman"/>
          <w:sz w:val="19"/>
          <w:szCs w:val="19"/>
          <w:b w:val="1"/>
          <w:bCs w:val="1"/>
          <w:color w:val="auto"/>
        </w:rPr>
        <w:t>Capital Contribution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Period</w:t>
      </w:r>
      <w:r>
        <w:rPr>
          <w:rFonts w:ascii="Times New Roman" w:cs="Times New Roman" w:eastAsia="Times New Roman" w:hAnsi="Times New Roman"/>
          <w:sz w:val="19"/>
          <w:szCs w:val="19"/>
          <w:color w:val="auto"/>
        </w:rPr>
        <w:t>”), each Investor shall pay its full corresponding capital increase consideration to the Target Company.</w:t>
      </w:r>
    </w:p>
    <w:p>
      <w:pPr>
        <w:spacing w:after="0" w:line="76" w:lineRule="exact"/>
        <w:rPr>
          <w:rFonts w:ascii="Times New Roman" w:cs="Times New Roman" w:eastAsia="Times New Roman" w:hAnsi="Times New Roman"/>
          <w:sz w:val="19"/>
          <w:szCs w:val="19"/>
          <w:color w:val="auto"/>
        </w:rPr>
      </w:pPr>
    </w:p>
    <w:p>
      <w:pPr>
        <w:jc w:val="both"/>
        <w:ind w:left="1180" w:hanging="586"/>
        <w:spacing w:after="0" w:line="247" w:lineRule="auto"/>
        <w:tabs>
          <w:tab w:leader="none" w:pos="11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Investors shall, in accordance with the provisions of this Agreement, remit the funds in immediately available and legally obtained Renminbi by wire transfer to the following account of the Target Company (or such other account as may be separately designated in writing by the Target Company):</w:t>
      </w:r>
    </w:p>
    <w:p>
      <w:pPr>
        <w:spacing w:after="0" w:line="11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Account Name: GeniTech Co., Ltd.</w:t>
      </w:r>
    </w:p>
    <w:p>
      <w:pPr>
        <w:spacing w:after="0" w:line="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Beneficiary Bank: Operations Department, Hefei Branch, China Merchants Bank Co., Ltd.</w:t>
      </w:r>
    </w:p>
    <w:p>
      <w:pPr>
        <w:ind w:left="1180"/>
        <w:spacing w:after="0"/>
        <w:rPr>
          <w:sz w:val="20"/>
          <w:szCs w:val="20"/>
          <w:color w:val="auto"/>
        </w:rPr>
      </w:pPr>
      <w:r>
        <w:rPr>
          <w:rFonts w:ascii="Times New Roman" w:cs="Times New Roman" w:eastAsia="Times New Roman" w:hAnsi="Times New Roman"/>
          <w:sz w:val="20"/>
          <w:szCs w:val="20"/>
          <w:color w:val="auto"/>
        </w:rPr>
        <w:t>Account Number: 551909920210000</w:t>
      </w:r>
    </w:p>
    <w:p>
      <w:pPr>
        <w:spacing w:after="0" w:line="13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color w:val="auto"/>
        </w:rPr>
        <w:t>Registration of Closing</w:t>
      </w:r>
    </w:p>
    <w:p>
      <w:pPr>
        <w:spacing w:after="0" w:line="154" w:lineRule="exact"/>
        <w:rPr>
          <w:sz w:val="20"/>
          <w:szCs w:val="20"/>
          <w:color w:val="auto"/>
        </w:rPr>
      </w:pPr>
    </w:p>
    <w:p>
      <w:pPr>
        <w:jc w:val="both"/>
        <w:ind w:left="1180" w:hanging="586"/>
        <w:spacing w:after="0" w:line="238" w:lineRule="auto"/>
        <w:tabs>
          <w:tab w:leader="none" w:pos="118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shall, within two (2) Business Days after each Investor pays its corresponding capital increase consideration, deliver to such Investor a scanned copy of the capital contribution certificate (the form and content of which shall be substantially consistent with Exhibit 9), and shall deliver the original capital contribution certificate to such Investor within the subsequent five (5) Business Days. The capital contribution certificate shall be signed by the legal representative of the Target Company and affixed with the seal of the Target Company.</w:t>
      </w:r>
    </w:p>
    <w:p>
      <w:pPr>
        <w:spacing w:after="0" w:line="129" w:lineRule="exact"/>
        <w:rPr>
          <w:rFonts w:ascii="Times New Roman" w:cs="Times New Roman" w:eastAsia="Times New Roman" w:hAnsi="Times New Roman"/>
          <w:sz w:val="20"/>
          <w:szCs w:val="20"/>
          <w:color w:val="auto"/>
        </w:rPr>
      </w:pPr>
    </w:p>
    <w:p>
      <w:pPr>
        <w:jc w:val="both"/>
        <w:ind w:left="1180" w:hanging="586"/>
        <w:spacing w:after="0" w:line="239" w:lineRule="auto"/>
        <w:tabs>
          <w:tab w:leader="none" w:pos="118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Target Company shall, within two (2) Business Days after all Investors have paid the full Capital Increase Consideration, deliver to each Investor a scanned copy of the shareholder register (the form and content of which shall be substantially consistent with </w:t>
      </w:r>
      <w:r>
        <w:rPr>
          <w:rFonts w:ascii="Times New Roman" w:cs="Times New Roman" w:eastAsia="Times New Roman" w:hAnsi="Times New Roman"/>
          <w:sz w:val="20"/>
          <w:szCs w:val="20"/>
          <w:u w:val="single" w:color="auto"/>
          <w:color w:val="auto"/>
        </w:rPr>
        <w:t>Exhibit 10</w:t>
      </w:r>
      <w:r>
        <w:rPr>
          <w:rFonts w:ascii="Times New Roman" w:cs="Times New Roman" w:eastAsia="Times New Roman" w:hAnsi="Times New Roman"/>
          <w:sz w:val="20"/>
          <w:szCs w:val="20"/>
          <w:color w:val="auto"/>
        </w:rPr>
        <w:t>), and shall deliver the original shareholder register to each Investor within the subsequent five (5) Business days. The shareholder register shall be signed by the legal representative of the Target Company and affixed with the seal of the Target Company.</w:t>
      </w:r>
    </w:p>
    <w:p>
      <w:pPr>
        <w:spacing w:after="0" w:line="129" w:lineRule="exact"/>
        <w:rPr>
          <w:rFonts w:ascii="Times New Roman" w:cs="Times New Roman" w:eastAsia="Times New Roman" w:hAnsi="Times New Roman"/>
          <w:sz w:val="20"/>
          <w:szCs w:val="20"/>
          <w:color w:val="auto"/>
        </w:rPr>
      </w:pPr>
    </w:p>
    <w:p>
      <w:pPr>
        <w:ind w:left="1180" w:hanging="586"/>
        <w:spacing w:after="0"/>
        <w:tabs>
          <w:tab w:leader="none" w:pos="118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shall, within thirty (30) days after all Investors have paid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15" w:name="page316"/>
    <w:bookmarkEnd w:id="315"/>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600"/>
        <w:spacing w:after="0" w:line="236" w:lineRule="auto"/>
        <w:rPr>
          <w:sz w:val="20"/>
          <w:szCs w:val="20"/>
          <w:color w:val="auto"/>
        </w:rPr>
      </w:pPr>
      <w:r>
        <w:rPr>
          <w:rFonts w:ascii="Times New Roman" w:cs="Times New Roman" w:eastAsia="Times New Roman" w:hAnsi="Times New Roman"/>
          <w:sz w:val="20"/>
          <w:szCs w:val="20"/>
          <w:color w:val="auto"/>
        </w:rPr>
        <w:t>the full Capital Increase Consideration, complete the procedures for registration of change and filing with the Market Supervision and Administration Department for the Transaction (the “</w:t>
      </w:r>
      <w:r>
        <w:rPr>
          <w:rFonts w:ascii="Times New Roman" w:cs="Times New Roman" w:eastAsia="Times New Roman" w:hAnsi="Times New Roman"/>
          <w:sz w:val="20"/>
          <w:szCs w:val="20"/>
          <w:b w:val="1"/>
          <w:bCs w:val="1"/>
          <w:color w:val="auto"/>
        </w:rPr>
        <w:t>Change of Industrial and Commercial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Registration </w:t>
      </w:r>
      <w:r>
        <w:rPr>
          <w:rFonts w:ascii="Times New Roman" w:cs="Times New Roman" w:eastAsia="Times New Roman" w:hAnsi="Times New Roman"/>
          <w:sz w:val="20"/>
          <w:szCs w:val="20"/>
          <w:color w:val="auto"/>
        </w:rPr>
        <w:t>“), and provide each Investor with evidence of the completion of the foregoing matters.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the foregoing, if any Investor fails to pay its corresponding capital increase consideration in full by the expiration of the Capital Contribution Payment Period in accordance with Section 4.2 of this Agreement, the Target Company shall notify all Investors and shall, within thirty (30) days after the expiration of the Capital Contribution Payment Period, complete the Change of Industrial and Commercial Registration with respect to the Investors that have paid the Capital Increase Consideration in full, and provide such Investors with evidence of the completion of the foregoing matters.</w:t>
      </w:r>
    </w:p>
    <w:p>
      <w:pPr>
        <w:spacing w:after="0" w:line="13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Several Liability</w:t>
      </w:r>
    </w:p>
    <w:p>
      <w:pPr>
        <w:spacing w:after="0" w:line="154" w:lineRule="exact"/>
        <w:rPr>
          <w:sz w:val="20"/>
          <w:szCs w:val="20"/>
          <w:color w:val="auto"/>
        </w:rPr>
      </w:pPr>
    </w:p>
    <w:p>
      <w:pPr>
        <w:jc w:val="both"/>
        <w:ind w:left="600"/>
        <w:spacing w:after="0" w:line="237" w:lineRule="auto"/>
        <w:rPr>
          <w:sz w:val="20"/>
          <w:szCs w:val="20"/>
          <w:color w:val="auto"/>
        </w:rPr>
      </w:pPr>
      <w:r>
        <w:rPr>
          <w:rFonts w:ascii="Times New Roman" w:cs="Times New Roman" w:eastAsia="Times New Roman" w:hAnsi="Times New Roman"/>
          <w:sz w:val="20"/>
          <w:szCs w:val="20"/>
          <w:color w:val="auto"/>
        </w:rPr>
        <w:t>For the avoidance of doubt, the rights and obligations of each Investor under this Agreement and the other Transaction Documents are several and not joint. No Investor shall bear any liability for the acts of any other Investor, and the exercise or waiver of any right by any Investor shall not affect the exercise or waiver of any right by any other Investor. No Investor shall fail to fully perform its obligations or breach its representations and warranties on the grounds that any other Investor has not fully performed its obligations or satisfied its representations and warranties under this Agreement, nor shall any Investor avoid its Liabilities on the grounds that any other Investor has assumed Liabilities under this Agreement.</w:t>
      </w:r>
    </w:p>
    <w:p>
      <w:pPr>
        <w:spacing w:after="0" w:line="131" w:lineRule="exact"/>
        <w:rPr>
          <w:sz w:val="20"/>
          <w:szCs w:val="20"/>
          <w:color w:val="auto"/>
        </w:rPr>
      </w:pPr>
    </w:p>
    <w:p>
      <w:pPr>
        <w:jc w:val="both"/>
        <w:ind w:left="600" w:hanging="593"/>
        <w:spacing w:after="0" w:line="242" w:lineRule="auto"/>
        <w:tabs>
          <w:tab w:leader="none" w:pos="5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Investors shall enjoy shareholders’ rights and assume shareholders’ obligations from the Closing Date. The undistributed accumulated profits of the Target Company prior to the Closing Date and the net profits realized after the Closing Date shall be enjoyed by all shareholders after the Transaction in proportion to their respective shareholding ratios after the Transaction.</w:t>
      </w:r>
    </w:p>
    <w:p>
      <w:pPr>
        <w:spacing w:after="0" w:line="120" w:lineRule="exact"/>
        <w:rPr>
          <w:sz w:val="20"/>
          <w:szCs w:val="20"/>
          <w:color w:val="auto"/>
        </w:rPr>
      </w:pPr>
    </w:p>
    <w:p>
      <w:pPr>
        <w:ind w:left="3360" w:hanging="587"/>
        <w:spacing w:after="0"/>
        <w:tabs>
          <w:tab w:leader="none" w:pos="3360"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Representations and Warranties of Each Investor</w:t>
      </w:r>
    </w:p>
    <w:p>
      <w:pPr>
        <w:spacing w:after="0" w:line="154" w:lineRule="exact"/>
        <w:rPr>
          <w:sz w:val="20"/>
          <w:szCs w:val="20"/>
          <w:color w:val="auto"/>
        </w:rPr>
      </w:pPr>
    </w:p>
    <w:p>
      <w:pPr>
        <w:ind w:left="600"/>
        <w:spacing w:after="0" w:line="262" w:lineRule="auto"/>
        <w:rPr>
          <w:sz w:val="20"/>
          <w:szCs w:val="20"/>
          <w:color w:val="auto"/>
        </w:rPr>
      </w:pPr>
      <w:r>
        <w:rPr>
          <w:rFonts w:ascii="Times New Roman" w:cs="Times New Roman" w:eastAsia="Times New Roman" w:hAnsi="Times New Roman"/>
          <w:sz w:val="20"/>
          <w:szCs w:val="20"/>
          <w:color w:val="auto"/>
        </w:rPr>
        <w:t>Each Investor (solely with respect to itself) hereby represents and warrants to the Company Parties, severally but not jointly, as follows:</w:t>
      </w:r>
    </w:p>
    <w:p>
      <w:pPr>
        <w:spacing w:after="0" w:line="104" w:lineRule="exact"/>
        <w:rPr>
          <w:sz w:val="20"/>
          <w:szCs w:val="20"/>
          <w:color w:val="auto"/>
        </w:rPr>
      </w:pPr>
    </w:p>
    <w:p>
      <w:pPr>
        <w:ind w:left="1180" w:hanging="586"/>
        <w:spacing w:after="0"/>
        <w:tabs>
          <w:tab w:leader="none" w:pos="118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Investor is a legal entity lawfully established and validly existing under Applicable Laws.</w:t>
      </w:r>
    </w:p>
    <w:p>
      <w:pPr>
        <w:spacing w:after="0" w:line="153" w:lineRule="exact"/>
        <w:rPr>
          <w:rFonts w:ascii="Times New Roman" w:cs="Times New Roman" w:eastAsia="Times New Roman" w:hAnsi="Times New Roman"/>
          <w:sz w:val="20"/>
          <w:szCs w:val="20"/>
          <w:color w:val="auto"/>
        </w:rPr>
      </w:pPr>
    </w:p>
    <w:p>
      <w:pPr>
        <w:ind w:left="1180" w:hanging="586"/>
        <w:spacing w:after="0"/>
        <w:tabs>
          <w:tab w:leader="none" w:pos="118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source of funds used by such Investor for its capital contribution to the Target Company is lawful.</w:t>
      </w:r>
    </w:p>
    <w:p>
      <w:pPr>
        <w:spacing w:after="0" w:line="153" w:lineRule="exact"/>
        <w:rPr>
          <w:rFonts w:ascii="Times New Roman" w:cs="Times New Roman" w:eastAsia="Times New Roman" w:hAnsi="Times New Roman"/>
          <w:sz w:val="20"/>
          <w:szCs w:val="20"/>
          <w:color w:val="auto"/>
        </w:rPr>
      </w:pPr>
    </w:p>
    <w:p>
      <w:pPr>
        <w:ind w:left="1180" w:hanging="586"/>
        <w:spacing w:after="0"/>
        <w:tabs>
          <w:tab w:leader="none" w:pos="118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made by such Investor in this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are true, accurate, and complete.</w:t>
      </w:r>
    </w:p>
    <w:p>
      <w:pPr>
        <w:spacing w:after="0" w:line="154" w:lineRule="exact"/>
        <w:rPr>
          <w:sz w:val="20"/>
          <w:szCs w:val="20"/>
          <w:color w:val="auto"/>
        </w:rPr>
      </w:pPr>
    </w:p>
    <w:p>
      <w:pPr>
        <w:ind w:left="1180" w:hanging="586"/>
        <w:spacing w:after="0" w:line="262" w:lineRule="auto"/>
        <w:tabs>
          <w:tab w:leader="none" w:pos="11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all relevant matters of the Transaction, such Investor has obtained all decision-making approvals and authorizations required by Applicable Laws and its internal requirements.</w:t>
      </w:r>
    </w:p>
    <w:p>
      <w:pPr>
        <w:spacing w:after="0" w:line="104" w:lineRule="exact"/>
        <w:rPr>
          <w:rFonts w:ascii="Times New Roman" w:cs="Times New Roman" w:eastAsia="Times New Roman" w:hAnsi="Times New Roman"/>
          <w:sz w:val="20"/>
          <w:szCs w:val="20"/>
          <w:color w:val="auto"/>
        </w:rPr>
      </w:pPr>
    </w:p>
    <w:p>
      <w:pPr>
        <w:jc w:val="both"/>
        <w:ind w:left="1180" w:hanging="586"/>
        <w:spacing w:after="0" w:line="238" w:lineRule="auto"/>
        <w:tabs>
          <w:tab w:leader="none" w:pos="11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with respect to Investors involving outbound investment by or equity participation of state-owned capital, such Investors shall satisfy the evaluation, filing, approval, and other procedures and requirements related to outbound investment by or equity participation of state-owned capital (the“Compliance Requirements”, if applicable). The Transaction shall not fail to close or be completed due to such relevant Investor’s non-compliance with any such Compliance Requirements, nor shall the Company Parties suffer any losses due to such Investor’s non-compliance with the Compliance Requirements for the Transaction.</w:t>
      </w:r>
    </w:p>
    <w:p>
      <w:pPr>
        <w:spacing w:after="0" w:line="129" w:lineRule="exact"/>
        <w:rPr>
          <w:rFonts w:ascii="Times New Roman" w:cs="Times New Roman" w:eastAsia="Times New Roman" w:hAnsi="Times New Roman"/>
          <w:sz w:val="20"/>
          <w:szCs w:val="20"/>
          <w:color w:val="auto"/>
        </w:rPr>
      </w:pPr>
    </w:p>
    <w:p>
      <w:pPr>
        <w:jc w:val="both"/>
        <w:ind w:left="1180" w:hanging="586"/>
        <w:spacing w:after="0" w:line="247" w:lineRule="auto"/>
        <w:tabs>
          <w:tab w:leader="none" w:pos="11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the Transaction Documents will not result in a violation of such Investor’s articles of association or other organizational documents (if applicable), any statutory or contractual obligations, or give rise to any claim by any third party against such party.</w:t>
      </w:r>
    </w:p>
    <w:p>
      <w:pPr>
        <w:spacing w:after="0" w:line="11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Representations and Warranties of the Company Parties (excluding the Employee Shareholding Platforms)</w:t>
      </w:r>
    </w:p>
    <w:p>
      <w:pPr>
        <w:spacing w:after="0" w:line="15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The Company Parties (excluding the Employee Shareholding Platforms) hereby, severally and jointly, ensure to all Investors that the following representations and warranties are true, complete, and accurate as of the Execution Date and the Closing Date:</w:t>
      </w:r>
    </w:p>
    <w:p>
      <w:pPr>
        <w:spacing w:after="0" w:line="119" w:lineRule="exact"/>
        <w:rPr>
          <w:sz w:val="20"/>
          <w:szCs w:val="20"/>
          <w:color w:val="auto"/>
        </w:rPr>
      </w:pPr>
    </w:p>
    <w:p>
      <w:pPr>
        <w:jc w:val="both"/>
        <w:ind w:left="1180" w:hanging="586"/>
        <w:spacing w:after="0" w:line="242" w:lineRule="auto"/>
        <w:tabs>
          <w:tab w:leader="none" w:pos="118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is a limited liability company lawfully established and validly existing under the Laws of China. The Company Parties have the capacity for civil rights and civil conduct to sign and deliver this Agreement and the other Transaction Documents to which they are Parties and to perform the Transaction Documents.</w:t>
      </w:r>
    </w:p>
    <w:p>
      <w:pPr>
        <w:spacing w:after="0" w:line="124" w:lineRule="exact"/>
        <w:rPr>
          <w:rFonts w:ascii="Times New Roman" w:cs="Times New Roman" w:eastAsia="Times New Roman" w:hAnsi="Times New Roman"/>
          <w:sz w:val="20"/>
          <w:szCs w:val="20"/>
          <w:color w:val="auto"/>
        </w:rPr>
      </w:pPr>
    </w:p>
    <w:p>
      <w:pPr>
        <w:jc w:val="both"/>
        <w:ind w:left="1180" w:hanging="586"/>
        <w:spacing w:after="0" w:line="239" w:lineRule="auto"/>
        <w:tabs>
          <w:tab w:leader="none" w:pos="118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Parties have full power and authority to execute and perform this Agreement, the other Transaction Documents to which they are Parties, and the Transaction. This Agreement and the other Transaction Documents, upon due authorization, execution, and delivery by the other Parties, will constitute legal, valid, and binding obligations of the Company Parties, enforceable against them in accordance with their terms.</w:t>
      </w:r>
    </w:p>
    <w:p>
      <w:pPr>
        <w:spacing w:after="0" w:line="129" w:lineRule="exact"/>
        <w:rPr>
          <w:rFonts w:ascii="Times New Roman" w:cs="Times New Roman" w:eastAsia="Times New Roman" w:hAnsi="Times New Roman"/>
          <w:sz w:val="20"/>
          <w:szCs w:val="20"/>
          <w:color w:val="auto"/>
        </w:rPr>
      </w:pPr>
    </w:p>
    <w:p>
      <w:pPr>
        <w:jc w:val="both"/>
        <w:ind w:left="1180" w:hanging="586"/>
        <w:spacing w:after="0" w:line="247" w:lineRule="auto"/>
        <w:tabs>
          <w:tab w:leader="none" w:pos="118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the Transaction Documents will not (1) violate Applicable Laws, their articles of association, or other organizational documents; (2) violate any contract to which they are a party 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17" w:name="page318"/>
    <w:bookmarkEnd w:id="317"/>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720"/>
        <w:spacing w:after="0" w:line="239" w:lineRule="auto"/>
        <w:rPr>
          <w:sz w:val="20"/>
          <w:szCs w:val="20"/>
          <w:color w:val="auto"/>
        </w:rPr>
      </w:pPr>
      <w:r>
        <w:rPr>
          <w:rFonts w:ascii="Times New Roman" w:cs="Times New Roman" w:eastAsia="Times New Roman" w:hAnsi="Times New Roman"/>
          <w:sz w:val="20"/>
          <w:szCs w:val="20"/>
          <w:color w:val="auto"/>
        </w:rPr>
        <w:t>any agreement or arrangement affecting their assets, or conflict with such documents or constitute a default thereunder, or require any consent thereunder, or grant any other person any right to terminate, modify, suspend, revoke, or cancel such documents, or result in the acceleration of obligations under any relevant agreements; or (3) require any Governmental Approval or any registration, authorization, consent, or approval from any third party, except for the Industrial and Commercial Registration for the Transaction.</w:t>
      </w:r>
    </w:p>
    <w:p>
      <w:pPr>
        <w:spacing w:after="0" w:line="130" w:lineRule="exact"/>
        <w:rPr>
          <w:sz w:val="20"/>
          <w:szCs w:val="20"/>
          <w:color w:val="auto"/>
        </w:rPr>
      </w:pPr>
    </w:p>
    <w:p>
      <w:pPr>
        <w:jc w:val="both"/>
        <w:ind w:left="720" w:hanging="586"/>
        <w:spacing w:after="0" w:line="236" w:lineRule="auto"/>
        <w:tabs>
          <w:tab w:leader="none" w:pos="7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equity structure of the Target Company as set forth in </w:t>
      </w:r>
      <w:r>
        <w:rPr>
          <w:rFonts w:ascii="Times New Roman" w:cs="Times New Roman" w:eastAsia="Times New Roman" w:hAnsi="Times New Roman"/>
          <w:sz w:val="20"/>
          <w:szCs w:val="20"/>
          <w:u w:val="single" w:color="auto"/>
          <w:color w:val="auto"/>
        </w:rPr>
        <w:t>Part 1 of Exhibit 1</w:t>
      </w:r>
      <w:r>
        <w:rPr>
          <w:rFonts w:ascii="Times New Roman" w:cs="Times New Roman" w:eastAsia="Times New Roman" w:hAnsi="Times New Roman"/>
          <w:sz w:val="20"/>
          <w:szCs w:val="20"/>
          <w:color w:val="auto"/>
        </w:rPr>
        <w:t xml:space="preserve"> hereto is a true, complete, and accurate description of the equity structure of the Target Company. Except for its registered capital, the Target Company has no outstanding Equity Securities. The registered capital of the Target Company has been fully paid in accordance with legal provisions and the company’s articles of association, and there is no situation of inadequate capital contribution, false capital contribution, or withdrawal of capital contribution. The equity in the Target Company held by the Controlling Shareholder is free of any Encumbrances, and the Controlling Shareholder has not entered into any agreement or similar arrangement with any third party regarding the exercise of voting rights or shareholding on behalf of others with respect to the equity or shares of the Target Company.</w:t>
      </w:r>
    </w:p>
    <w:p>
      <w:pPr>
        <w:spacing w:after="0" w:line="130" w:lineRule="exact"/>
        <w:rPr>
          <w:rFonts w:ascii="Times New Roman" w:cs="Times New Roman" w:eastAsia="Times New Roman" w:hAnsi="Times New Roman"/>
          <w:sz w:val="20"/>
          <w:szCs w:val="20"/>
          <w:color w:val="auto"/>
        </w:rPr>
      </w:pPr>
    </w:p>
    <w:p>
      <w:pPr>
        <w:jc w:val="both"/>
        <w:ind w:left="720" w:hanging="586"/>
        <w:spacing w:after="0" w:line="238" w:lineRule="auto"/>
        <w:tabs>
          <w:tab w:leader="none" w:pos="7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described in the Transaction Documents, the Target Company has no obligation to repurchase, redeem, or otherwise purchase any equity interests, and there are no agreements or arrangements (including options or other similar rights) under which any person may require the transfer, repurchase of any equity interests, or increase or decrease of the registered capital of the Target Company. At the Closing, each Investor will receive valid and effective equity interests in the Target Company corresponding to the increased registered capital, free of any Encumbrances.</w:t>
      </w:r>
    </w:p>
    <w:p>
      <w:pPr>
        <w:spacing w:after="0" w:line="129" w:lineRule="exact"/>
        <w:rPr>
          <w:rFonts w:ascii="Times New Roman" w:cs="Times New Roman" w:eastAsia="Times New Roman" w:hAnsi="Times New Roman"/>
          <w:sz w:val="20"/>
          <w:szCs w:val="20"/>
          <w:color w:val="auto"/>
        </w:rPr>
      </w:pPr>
    </w:p>
    <w:p>
      <w:pPr>
        <w:jc w:val="both"/>
        <w:ind w:left="720" w:hanging="586"/>
        <w:spacing w:after="0" w:line="250" w:lineRule="auto"/>
        <w:tabs>
          <w:tab w:leader="none" w:pos="72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business operations and other activities of the Target Company have always complied with Applicable Laws and the requirements of relevant Governmental Authorities in the places where it operates and other countries/regions, and strictly comply with the provisions of the Anti-Unfair Competition Law, anti-corruption laws, and other relevant Laws and regulations prohibiting commercial bribery. The Target Company possesses all Governmental Approvals necessary for operating its business and owning and using its assets, and such Governmental Approvals are valid and continuing, and there are no facts or circumstances that could lead to the suspension, revocation, cancellation, or non-renewal of such Governmental Approvals. Except for the Principal Business, the Target Company does not engage in any other business.</w:t>
      </w:r>
    </w:p>
    <w:p>
      <w:pPr>
        <w:spacing w:after="0" w:line="122" w:lineRule="exact"/>
        <w:rPr>
          <w:rFonts w:ascii="Times New Roman" w:cs="Times New Roman" w:eastAsia="Times New Roman" w:hAnsi="Times New Roman"/>
          <w:sz w:val="19"/>
          <w:szCs w:val="19"/>
          <w:color w:val="auto"/>
        </w:rPr>
      </w:pPr>
    </w:p>
    <w:p>
      <w:pPr>
        <w:ind w:left="720" w:hanging="586"/>
        <w:spacing w:after="0"/>
        <w:tabs>
          <w:tab w:leader="none" w:pos="7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has provided each Investor with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18" w:name="page319"/>
    <w:bookmarkEnd w:id="318"/>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5" w:lineRule="exact"/>
        <w:rPr>
          <w:sz w:val="20"/>
          <w:szCs w:val="20"/>
          <w:color w:val="auto"/>
        </w:rPr>
      </w:pPr>
    </w:p>
    <w:p>
      <w:pPr>
        <w:jc w:val="both"/>
        <w:ind w:left="720"/>
        <w:spacing w:after="0" w:line="236" w:lineRule="auto"/>
        <w:rPr>
          <w:sz w:val="20"/>
          <w:szCs w:val="20"/>
          <w:color w:val="auto"/>
        </w:rPr>
      </w:pPr>
      <w:r>
        <w:rPr>
          <w:rFonts w:ascii="Times New Roman" w:cs="Times New Roman" w:eastAsia="Times New Roman" w:hAnsi="Times New Roman"/>
          <w:sz w:val="20"/>
          <w:szCs w:val="20"/>
          <w:color w:val="auto"/>
        </w:rPr>
        <w:t>of the Target Company (the “</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from its establishment up to November 30, 2025 (the “</w:t>
      </w:r>
      <w:r>
        <w:rPr>
          <w:rFonts w:ascii="Times New Roman" w:cs="Times New Roman" w:eastAsia="Times New Roman" w:hAnsi="Times New Roman"/>
          <w:sz w:val="20"/>
          <w:szCs w:val="20"/>
          <w:b w:val="1"/>
          <w:bCs w:val="1"/>
          <w:color w:val="auto"/>
        </w:rPr>
        <w:t>Statement Date</w:t>
      </w:r>
      <w:r>
        <w:rPr>
          <w:rFonts w:ascii="Times New Roman" w:cs="Times New Roman" w:eastAsia="Times New Roman" w:hAnsi="Times New Roman"/>
          <w:sz w:val="20"/>
          <w:szCs w:val="20"/>
          <w:color w:val="auto"/>
        </w:rPr>
        <w:t>”). The Financial Statements are prepared in accordance with Chinese accounting standards and contain all relevant and material financial information of the Target Company. The financial information of the Target Company disclosed in the Financial Statements as of their respective dates is true, accurate, and complete in all respects, contains no false or misleading statements, and conforms to generally accepted accounting principles in China. The Target Company has no unrecorded funds, assets, or Liabilities, no off-book expenses or disbursements, and all accumulations and/or uses of the legal entity’s funds are fully and appropriately reflected in the Financial Statements. The balance sheet included in the Financial Statements (the “</w:t>
      </w:r>
      <w:r>
        <w:rPr>
          <w:rFonts w:ascii="Times New Roman" w:cs="Times New Roman" w:eastAsia="Times New Roman" w:hAnsi="Times New Roman"/>
          <w:sz w:val="20"/>
          <w:szCs w:val="20"/>
          <w:b w:val="1"/>
          <w:bCs w:val="1"/>
          <w:color w:val="auto"/>
        </w:rPr>
        <w:t>Balance Sheet</w:t>
      </w:r>
      <w:r>
        <w:rPr>
          <w:rFonts w:ascii="Times New Roman" w:cs="Times New Roman" w:eastAsia="Times New Roman" w:hAnsi="Times New Roman"/>
          <w:sz w:val="20"/>
          <w:szCs w:val="20"/>
          <w:color w:val="auto"/>
        </w:rPr>
        <w:t>”) contains a complete and accurate description of all loans, debts, Liabilities, guarantees, and other contingent liabilities of the Target Company incurred up to the Statement Date.</w:t>
      </w:r>
    </w:p>
    <w:p>
      <w:pPr>
        <w:spacing w:after="0" w:line="131" w:lineRule="exact"/>
        <w:rPr>
          <w:sz w:val="20"/>
          <w:szCs w:val="20"/>
          <w:color w:val="auto"/>
        </w:rPr>
      </w:pPr>
    </w:p>
    <w:p>
      <w:pPr>
        <w:ind w:left="720" w:hanging="586"/>
        <w:spacing w:after="0" w:line="262" w:lineRule="auto"/>
        <w:tabs>
          <w:tab w:leader="none" w:pos="7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does not act as a guarantor, indemnifier, surety, or other obligor for any Liabilities of any other person, and has not provided any guarantee for the debts or interests of any other person.</w:t>
      </w:r>
    </w:p>
    <w:p>
      <w:pPr>
        <w:spacing w:after="0" w:line="104" w:lineRule="exact"/>
        <w:rPr>
          <w:rFonts w:ascii="Times New Roman" w:cs="Times New Roman" w:eastAsia="Times New Roman" w:hAnsi="Times New Roman"/>
          <w:sz w:val="20"/>
          <w:szCs w:val="20"/>
          <w:color w:val="auto"/>
        </w:rPr>
      </w:pPr>
    </w:p>
    <w:p>
      <w:pPr>
        <w:jc w:val="both"/>
        <w:ind w:left="720" w:hanging="586"/>
        <w:spacing w:after="0" w:line="238" w:lineRule="auto"/>
        <w:tabs>
          <w:tab w:leader="none" w:pos="7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tax declarations required to be filed in relation to the Target Company have been timely filed by the Target Company within the prescribed time limits in accordance with Applicable Laws and have been properly completed; there are no pending or potential tax-related investigations, tax audits, assessments, or collection proceedings or actions initiated against the Target Company; the Target Company has not received any tax penalties, and there are no unresolved or anticipated tax-related proceedings or disputes, nor any overdue taxes or other violations of tax laws.</w:t>
      </w:r>
    </w:p>
    <w:p>
      <w:pPr>
        <w:spacing w:after="0" w:line="129" w:lineRule="exact"/>
        <w:rPr>
          <w:rFonts w:ascii="Times New Roman" w:cs="Times New Roman" w:eastAsia="Times New Roman" w:hAnsi="Times New Roman"/>
          <w:sz w:val="20"/>
          <w:szCs w:val="20"/>
          <w:color w:val="auto"/>
        </w:rPr>
      </w:pPr>
    </w:p>
    <w:p>
      <w:pPr>
        <w:jc w:val="both"/>
        <w:ind w:left="720" w:hanging="586"/>
        <w:spacing w:after="0" w:line="235" w:lineRule="auto"/>
        <w:tabs>
          <w:tab w:leader="none" w:pos="7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assets included in the Financial Statements and the assets acquired by the Target Company since the Statement Date are properties owned or controlled by the Target Company. With respect to assets in use, the Target Company has ownership or legal rights thereto and they are free from any Encumbrances affecting their use in the existing business and/or the business to be operated. The Target Assets comprise all patent and trademark rights involved in the Target Business as of February 28, 2025, and all equipment, purchased software, and IP technology licenses involved in the Target Business as of May 31, 2025. The nature of the Target Assets (tangible or intangible assets), rights and privileges, and any rights related to Intellectual Property (including all registered intellectual property, pending intellectual property registrations, intellectual property licensed for use, and intellectual property licensed to others involved in the Target Business) are genuine. Except for the Subject Intellectual Property for which the registration of change to the Target Company has not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19" w:name="page320"/>
    <w:bookmarkEnd w:id="319"/>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720"/>
        <w:spacing w:after="0" w:line="248" w:lineRule="auto"/>
        <w:rPr>
          <w:sz w:val="20"/>
          <w:szCs w:val="20"/>
          <w:color w:val="auto"/>
        </w:rPr>
      </w:pPr>
      <w:r>
        <w:rPr>
          <w:rFonts w:ascii="Times New Roman" w:cs="Times New Roman" w:eastAsia="Times New Roman" w:hAnsi="Times New Roman"/>
          <w:sz w:val="19"/>
          <w:szCs w:val="19"/>
          <w:color w:val="auto"/>
        </w:rPr>
        <w:t>yet been completed, the NIO Group no longer holds any assets related to the Target Business. The Target Company legally has complete and exclusive ownership or right to use (without affecting its ability to use the relevant assets) of the Target Assets (excluding trademarks and patents pending registration, and trademarks and patents for which registration applications have been rejected), and has taken appropriate measures to protect the legality, validity, integrity, and security of the Subject Intellectual Property (including timely handling corresponding registration, filing, recordal, and renewal procedures in accordance with law, etc.); the Subject Intellectual Property (excluding trademarks and patents pending registration, and trademarks and patents for which registration applications have been rejected) is not subject to any Governmental Order restricting the use of such intellectual property or impairing the validity or enforceability of such intellectual property; the NIO Group (solely with respect to the Subject Intellectual Property) and the Target Company have not infringed upon the intellectual property rights of others, have not received any claims from third parties alleging intellectual property infringement, and there are no pending intellectual property disputes or judicial proceedings; to the Knowledge of the Company Parties, there are no circumstances where any other person is infringing upon, misappropriating, abusing, or stealing the Subject Intellectual Property.</w:t>
      </w:r>
    </w:p>
    <w:p>
      <w:pPr>
        <w:spacing w:after="0" w:line="119" w:lineRule="exact"/>
        <w:rPr>
          <w:sz w:val="20"/>
          <w:szCs w:val="20"/>
          <w:color w:val="auto"/>
        </w:rPr>
      </w:pPr>
    </w:p>
    <w:p>
      <w:pPr>
        <w:jc w:val="both"/>
        <w:ind w:left="720" w:hanging="586"/>
        <w:spacing w:after="0" w:line="237" w:lineRule="auto"/>
        <w:tabs>
          <w:tab w:leader="none" w:pos="7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Lease of the Properties for the Proposed Spin-off that NIO Group provides to the Target Company for use free of charge are all leased by NIO Group from third parties. NIO Group has the right to make such leased properties available to the Target Company and holds valid and enforceable leasehold interests in such properties. </w:t>
      </w:r>
      <w:r>
        <w:rPr>
          <w:rFonts w:ascii="Times New Roman" w:cs="Times New Roman" w:eastAsia="Times New Roman" w:hAnsi="Times New Roman"/>
          <w:sz w:val="20"/>
          <w:szCs w:val="20"/>
          <w:u w:val="single" w:color="auto"/>
          <w:color w:val="auto"/>
        </w:rPr>
        <w:t>Exhibit 5</w:t>
      </w:r>
      <w:r>
        <w:rPr>
          <w:rFonts w:ascii="Times New Roman" w:cs="Times New Roman" w:eastAsia="Times New Roman" w:hAnsi="Times New Roman"/>
          <w:sz w:val="20"/>
          <w:szCs w:val="20"/>
          <w:color w:val="auto"/>
        </w:rPr>
        <w:t xml:space="preserve"> hereto sets forth the detailed information of the Lease of the Properties for the Proposed Spin-off (disclosed content shall include: address, area, lessor, lessee, lease term, and purpose of the leased properties). Except for the Lease of the Properties for the Proposed Spin-off, the Target Company does not lease, sublease, or sublet any land, buildings, or premises from any third party for use as its principal production and operation premises.</w:t>
      </w:r>
    </w:p>
    <w:p>
      <w:pPr>
        <w:spacing w:after="0" w:line="126" w:lineRule="exact"/>
        <w:rPr>
          <w:rFonts w:ascii="Times New Roman" w:cs="Times New Roman" w:eastAsia="Times New Roman" w:hAnsi="Times New Roman"/>
          <w:sz w:val="20"/>
          <w:szCs w:val="20"/>
          <w:color w:val="auto"/>
        </w:rPr>
      </w:pPr>
    </w:p>
    <w:p>
      <w:pPr>
        <w:jc w:val="both"/>
        <w:ind w:left="720" w:hanging="586"/>
        <w:spacing w:after="0" w:line="237" w:lineRule="auto"/>
        <w:tabs>
          <w:tab w:leader="none" w:pos="7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Proposed Business Spin-off Agreements as shown in </w:t>
      </w:r>
      <w:r>
        <w:rPr>
          <w:rFonts w:ascii="Times New Roman" w:cs="Times New Roman" w:eastAsia="Times New Roman" w:hAnsi="Times New Roman"/>
          <w:sz w:val="20"/>
          <w:szCs w:val="20"/>
          <w:u w:val="single" w:color="auto"/>
          <w:color w:val="auto"/>
        </w:rPr>
        <w:t>Exhibit 3</w:t>
      </w:r>
      <w:r>
        <w:rPr>
          <w:rFonts w:ascii="Times New Roman" w:cs="Times New Roman" w:eastAsia="Times New Roman" w:hAnsi="Times New Roman"/>
          <w:sz w:val="20"/>
          <w:szCs w:val="20"/>
          <w:color w:val="auto"/>
        </w:rPr>
        <w:t xml:space="preserve"> hereto are all the currently effective business contracts (including but not limited to chip business supplier contracts, chip IP licensing supplier contracts, domain controller business supplier contracts and sales contracts) related to the Target Business that have been signed by or are binding upon NIO Group, and the contents of such contracts have been disclosed to each Investor. Except for the Proposed Business Spin-off Agreements disclosed in </w:t>
      </w:r>
      <w:r>
        <w:rPr>
          <w:rFonts w:ascii="Times New Roman" w:cs="Times New Roman" w:eastAsia="Times New Roman" w:hAnsi="Times New Roman"/>
          <w:sz w:val="20"/>
          <w:szCs w:val="20"/>
          <w:u w:val="single" w:color="auto"/>
          <w:color w:val="auto"/>
        </w:rPr>
        <w:t>Exhibit 3</w:t>
      </w:r>
      <w:r>
        <w:rPr>
          <w:rFonts w:ascii="Times New Roman" w:cs="Times New Roman" w:eastAsia="Times New Roman" w:hAnsi="Times New Roman"/>
          <w:sz w:val="20"/>
          <w:szCs w:val="20"/>
          <w:color w:val="auto"/>
        </w:rPr>
        <w:t xml:space="preserve"> hereto, NIO Group has no other signed contracts, contracts binding upon it, or contracts under negotiation or contact related to the Target Business.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20" w:name="page321"/>
    <w:bookmarkEnd w:id="320"/>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720" w:hanging="586"/>
        <w:spacing w:after="0" w:line="236" w:lineRule="auto"/>
        <w:tabs>
          <w:tab w:leader="none" w:pos="7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of the Management Team has proposed to terminate the labor relationship with NIO Group, nor is there any situation where they are unable or unwilling to become an employee of the Target Company; except for the Business and Personnel Restructuring, NIO Group currently has no intention to terminate the labor relationship with any member of the Management Team. The acceptance of employment by the Target Company and engagement in the Target Company’s business operations by the Management Team does not violate any contracts they have signed or commitments binding upon them (including but not limited to confidentiality obligations and non-competition obligations), nor will it constitute an infringement of the legal rights of their former employers or other intellectual property holders, and there is no conduct that utilizes information learned during their tenure or shareholding in the Target Company to carry out any activities detrimental to the Target Company’s operations or management activities.</w:t>
      </w:r>
    </w:p>
    <w:p>
      <w:pPr>
        <w:spacing w:after="0" w:line="127" w:lineRule="exact"/>
        <w:rPr>
          <w:rFonts w:ascii="Times New Roman" w:cs="Times New Roman" w:eastAsia="Times New Roman" w:hAnsi="Times New Roman"/>
          <w:sz w:val="20"/>
          <w:szCs w:val="20"/>
          <w:color w:val="auto"/>
        </w:rPr>
      </w:pPr>
    </w:p>
    <w:p>
      <w:pPr>
        <w:jc w:val="both"/>
        <w:ind w:left="720" w:hanging="586"/>
        <w:spacing w:after="0" w:line="236" w:lineRule="auto"/>
        <w:tabs>
          <w:tab w:leader="none" w:pos="7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of the Management Team, directly or indirectly, (a) holds any equity interest in any Person (other than the Target Company) engaged in the Principal Business, or holds any tangible or intangible assets required by the Target Company for its Principal Business; or (b) engages, for their own benefit or for the benefit of any other person (other than the Target Company), in any business identical or similar to the Principal Business, or holds any proportion or number of equity interests, shares, or related interests in any other entity engaged in business identical or similar to that of the Target Company (except for holding not more than one percent (1%) equity interest in a listed company), or controls such entity by loan, agreement, or otherwise; or (c) is employed by, serves as a senior officer, director, partner, or other position in, or provides any service to any person engaged in such business (other than the Target Company).</w:t>
      </w:r>
    </w:p>
    <w:p>
      <w:pPr>
        <w:spacing w:after="0" w:line="130" w:lineRule="exact"/>
        <w:rPr>
          <w:rFonts w:ascii="Times New Roman" w:cs="Times New Roman" w:eastAsia="Times New Roman" w:hAnsi="Times New Roman"/>
          <w:sz w:val="20"/>
          <w:szCs w:val="20"/>
          <w:color w:val="auto"/>
        </w:rPr>
      </w:pPr>
    </w:p>
    <w:p>
      <w:pPr>
        <w:ind w:left="720" w:hanging="586"/>
        <w:spacing w:after="0" w:line="262" w:lineRule="auto"/>
        <w:tabs>
          <w:tab w:leader="none" w:pos="7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 facts and documents that may affect the Transaction have been disclosed to the Investors, and such disclosures are true, accurate, complete, and not misleading, and there are no inaccuracies or omissions.</w:t>
      </w:r>
    </w:p>
    <w:p>
      <w:pPr>
        <w:spacing w:after="0" w:line="104" w:lineRule="exact"/>
        <w:rPr>
          <w:rFonts w:ascii="Times New Roman" w:cs="Times New Roman" w:eastAsia="Times New Roman" w:hAnsi="Times New Roman"/>
          <w:sz w:val="20"/>
          <w:szCs w:val="20"/>
          <w:color w:val="auto"/>
        </w:rPr>
      </w:pPr>
    </w:p>
    <w:p>
      <w:pPr>
        <w:jc w:val="both"/>
        <w:ind w:left="720" w:hanging="586"/>
        <w:spacing w:after="0" w:line="238" w:lineRule="auto"/>
        <w:tabs>
          <w:tab w:leader="none" w:pos="7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is not involved in any ongoing or impending litigation, claims, arbitration, other legal or administrative proceedings, or governmental investigations initiated against the Target Company. There is no factual basis that could lead to any claim against the Target Company. None of the directors, supervisors, legal representatives, or senior officers of the Target Company have been involved in or notified that they are the subject of any claim that has or could reasonably be expected to have an adverse effect on the Target Company.</w:t>
      </w:r>
    </w:p>
    <w:p>
      <w:pPr>
        <w:spacing w:after="0" w:line="129" w:lineRule="exact"/>
        <w:rPr>
          <w:rFonts w:ascii="Times New Roman" w:cs="Times New Roman" w:eastAsia="Times New Roman" w:hAnsi="Times New Roman"/>
          <w:sz w:val="20"/>
          <w:szCs w:val="20"/>
          <w:color w:val="auto"/>
        </w:rPr>
      </w:pPr>
    </w:p>
    <w:p>
      <w:pPr>
        <w:ind w:left="720" w:hanging="586"/>
        <w:spacing w:after="0" w:line="262" w:lineRule="auto"/>
        <w:tabs>
          <w:tab w:leader="none" w:pos="7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directors, supervisors, senior officers, or the Controlling Shareholder of the Target Company have any material illegal conduct, and there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158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are no records of dishonesty, administrative penalties, criminal offenses, or other violations.</w:t>
      </w:r>
    </w:p>
    <w:p>
      <w:pPr>
        <w:spacing w:after="0" w:line="154" w:lineRule="exact"/>
        <w:rPr>
          <w:sz w:val="20"/>
          <w:szCs w:val="20"/>
          <w:color w:val="auto"/>
        </w:rPr>
      </w:pPr>
    </w:p>
    <w:p>
      <w:pPr>
        <w:jc w:val="both"/>
        <w:ind w:left="1180" w:hanging="586"/>
        <w:spacing w:after="0" w:line="235" w:lineRule="auto"/>
        <w:tabs>
          <w:tab w:leader="none" w:pos="118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the transactions under the Proposed Business Spin-off Agreements, the transactions under the Asset Transfer Agreement, and the transactions under the Restructuring Plan in Exhibit 11 have all complied with or conformed to all Applicable Laws, regulations, and rules relating to trade and economic sanctions, foreign trade controls, export and re-export controls (collectively, “</w:t>
      </w:r>
      <w:r>
        <w:rPr>
          <w:rFonts w:ascii="Times New Roman" w:cs="Times New Roman" w:eastAsia="Times New Roman" w:hAnsi="Times New Roman"/>
          <w:sz w:val="20"/>
          <w:szCs w:val="20"/>
          <w:b w:val="1"/>
          <w:bCs w:val="1"/>
          <w:color w:val="auto"/>
        </w:rPr>
        <w:t>Sanctions and Export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and the performance of such transactions does not require any approval, permit, or filing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competent administrative authorities of any country or region (except for handling the registration/filing for ownership transfer under the Asset Transfer Agreement). Neither the Target Company, nor the transactions or subjects under the Proposed Business Spin-off Agreements, nor the transactions or subjects under the Asset Transfer Agreement, nor the transactions or subjects under the Restructuring Plan in Exhibit 11, have been the object or target of any pending investigation, prosecution, or governmental inquiry related to Sanctions and Export Control Laws, nor has the Target Company submitted any voluntary disclosure to any Governmental Authority regarding any violation of Sanctions and Export Control Laws, nor has it admitted to participating in any conduct violating any Sanctions and Export Control Laws.</w:t>
      </w:r>
    </w:p>
    <w:p>
      <w:pPr>
        <w:spacing w:after="0" w:line="125" w:lineRule="exact"/>
        <w:rPr>
          <w:sz w:val="20"/>
          <w:szCs w:val="20"/>
          <w:color w:val="auto"/>
        </w:rPr>
      </w:pPr>
    </w:p>
    <w:p>
      <w:pPr>
        <w:ind w:left="4640" w:hanging="595"/>
        <w:spacing w:after="0"/>
        <w:tabs>
          <w:tab w:leader="none" w:pos="4640" w:val="left"/>
        </w:tabs>
        <w:numPr>
          <w:ilvl w:val="0"/>
          <w:numId w:val="2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w:t>
      </w:r>
    </w:p>
    <w:p>
      <w:pPr>
        <w:spacing w:after="0" w:line="1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color w:val="auto"/>
        </w:rPr>
        <w:t>Interim Period Covenants Prior to Closing</w:t>
      </w:r>
    </w:p>
    <w:p>
      <w:pPr>
        <w:spacing w:after="0" w:line="166"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The Company Parties (excluding the Employee Shareholding Platforms) hereby, severally and jointly, covenant to each Investor that during the interim period prior to the Closing, except with the prior written consent of each Investor or as otherwise expressly provided in this Agreement:</w:t>
      </w:r>
    </w:p>
    <w:p>
      <w:pPr>
        <w:spacing w:after="0" w:line="119" w:lineRule="exact"/>
        <w:rPr>
          <w:sz w:val="20"/>
          <w:szCs w:val="20"/>
          <w:color w:val="auto"/>
        </w:rPr>
      </w:pPr>
    </w:p>
    <w:p>
      <w:pPr>
        <w:jc w:val="both"/>
        <w:ind w:left="1180" w:hanging="586"/>
        <w:spacing w:after="0" w:line="247" w:lineRule="auto"/>
        <w:tabs>
          <w:tab w:leader="none" w:pos="118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Parties shall not engage in, permit, or procure any act or omission that would constitute or result in any representation, warranty, or covenant made under Section 5.2 and this Section 6 becoming untrue, inaccurate, or breached;</w:t>
      </w:r>
    </w:p>
    <w:p>
      <w:pPr>
        <w:spacing w:after="0" w:line="119" w:lineRule="exact"/>
        <w:rPr>
          <w:rFonts w:ascii="Times New Roman" w:cs="Times New Roman" w:eastAsia="Times New Roman" w:hAnsi="Times New Roman"/>
          <w:sz w:val="20"/>
          <w:szCs w:val="20"/>
          <w:color w:val="auto"/>
        </w:rPr>
      </w:pPr>
    </w:p>
    <w:p>
      <w:pPr>
        <w:jc w:val="both"/>
        <w:ind w:left="1180" w:hanging="586"/>
        <w:spacing w:after="0" w:line="239" w:lineRule="auto"/>
        <w:tabs>
          <w:tab w:leader="none" w:pos="118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Parties shall take all reasonable measures to preserve and protect the Target Assets, operate the Principal Business in the ordinary course consistent with past practices and prudent business practices, maintain relationships with suppliers, partners, customers, and employees, ensure the normal operation of the Target Company and the Target Business, and ensure that no material adverse change occurs to the goodwill and operations of the Target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22" w:name="page323"/>
    <w:bookmarkEnd w:id="322"/>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720" w:hanging="586"/>
        <w:spacing w:after="0" w:line="239" w:lineRule="auto"/>
        <w:tabs>
          <w:tab w:leader="none" w:pos="7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Parties shall use all efforts to facilitate the transactions contemplated hereunder, and shall not take any action or omit to take any action that would hinder or improperly delay the transactions contemplated hereunder. To perform any provision of this Agreement (including but not limited to satisfying the conditions precedent to closing set forth in Section 3.1), the Company Parties shall take all necessary actions and execute all necessary documents and instruments;</w:t>
      </w:r>
    </w:p>
    <w:p>
      <w:pPr>
        <w:spacing w:after="0" w:line="129" w:lineRule="exact"/>
        <w:rPr>
          <w:rFonts w:ascii="Times New Roman" w:cs="Times New Roman" w:eastAsia="Times New Roman" w:hAnsi="Times New Roman"/>
          <w:sz w:val="20"/>
          <w:szCs w:val="20"/>
          <w:color w:val="auto"/>
        </w:rPr>
      </w:pPr>
    </w:p>
    <w:p>
      <w:pPr>
        <w:jc w:val="both"/>
        <w:ind w:left="720" w:hanging="586"/>
        <w:spacing w:after="0" w:line="237" w:lineRule="auto"/>
        <w:tabs>
          <w:tab w:leader="none" w:pos="7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Parties shall assist each Investor in obtaining information reasonably requested by such Investor regarding any aspect of the Target Business and the Target Company’s finance, operations, and/or business. In addition, the Company Parties shall promptly notify each Investor of any material litigation, arbitration, or administrative proceedings that have occurred or, to their Knowledge, may occur in relation to the Target Company, the Target Assets, or the Target Business. The inspection rights granted to each Investor and each Investor’s review of information provided under this Agreement shall not in any way affect or limit any representation or warranty made by any Company Party under this Agreement;</w:t>
      </w:r>
    </w:p>
    <w:p>
      <w:pPr>
        <w:spacing w:after="0" w:line="130" w:lineRule="exact"/>
        <w:rPr>
          <w:rFonts w:ascii="Times New Roman" w:cs="Times New Roman" w:eastAsia="Times New Roman" w:hAnsi="Times New Roman"/>
          <w:sz w:val="20"/>
          <w:szCs w:val="20"/>
          <w:color w:val="auto"/>
        </w:rPr>
      </w:pPr>
    </w:p>
    <w:p>
      <w:pPr>
        <w:jc w:val="both"/>
        <w:ind w:left="720" w:hanging="586"/>
        <w:spacing w:after="0" w:line="235" w:lineRule="auto"/>
        <w:tabs>
          <w:tab w:leader="none" w:pos="7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with the prior written consent of each Investor, none of the Company Parties nor any of their Affiliates, officers, directors, representatives, or agents shall (1) solicit, initiate, consider, encourage, or accept any proposal or offer from any person regarding: (a) any transaction involving the acquisition or other acquisition of all or any portion of the equity interests in the Target Company or the Target Assets; or (b) any merger, consolidation, or other business combination with the Target Company; or (c) any recapitalization, restructuring, or any other non-ordinary course business transaction involving the Target Company, the Target Business, or the Target Assets; (2) participate in any discussions, conversations, negotiations, or other communications regarding the foregoing, or provide any information to any other person regarding the foregoing, or otherwise cooperate with, assist, participate in, facilitate, or encourage any efforts or attempts by any other person to pursue the foregoing. The Company Parties shall immediately cease and shall cause to be terminated all existing discussions, conversations, negotiations, and other communications with any person regarding any of the foregoing matters prior to this Agreement. If any such proposal or offer is made or received, or any inquiry or other contact is made with any person regarding the foregoing, the Company Parties shall promptly notify each Investor;</w:t>
      </w:r>
    </w:p>
    <w:p>
      <w:pPr>
        <w:spacing w:after="0" w:line="127" w:lineRule="exact"/>
        <w:rPr>
          <w:rFonts w:ascii="Times New Roman" w:cs="Times New Roman" w:eastAsia="Times New Roman" w:hAnsi="Times New Roman"/>
          <w:sz w:val="20"/>
          <w:szCs w:val="20"/>
          <w:color w:val="auto"/>
        </w:rPr>
      </w:pPr>
    </w:p>
    <w:p>
      <w:pPr>
        <w:ind w:left="720" w:hanging="586"/>
        <w:spacing w:after="0" w:line="262" w:lineRule="auto"/>
        <w:tabs>
          <w:tab w:leader="none" w:pos="7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Group Companies shall strictly comply with Applicable Laws and the provisions of the articles of association, and ensure the fairness of related party transaction pricing.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158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23" w:name="page324"/>
    <w:bookmarkEnd w:id="323"/>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Post-Closing Obligations and Covenants</w:t>
      </w:r>
    </w:p>
    <w:p>
      <w:pPr>
        <w:spacing w:after="0" w:line="15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Unless such actions are taken in accordance with this Agreement or with the prior written consent of each Investor, the Company Parties (excluding the Employee Shareholding Platforms) hereby, severally and jointly, covenant to each Investor that after the Closing:</w:t>
      </w:r>
    </w:p>
    <w:p>
      <w:pPr>
        <w:spacing w:after="0" w:line="119" w:lineRule="exact"/>
        <w:rPr>
          <w:sz w:val="20"/>
          <w:szCs w:val="20"/>
          <w:color w:val="auto"/>
        </w:rPr>
      </w:pPr>
    </w:p>
    <w:p>
      <w:pPr>
        <w:jc w:val="both"/>
        <w:ind w:left="1180" w:hanging="586"/>
        <w:spacing w:after="0" w:line="242" w:lineRule="auto"/>
        <w:tabs>
          <w:tab w:leader="none" w:pos="118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shall complete the post-closing matters set forth in Part 2 of the Restructuring Plan in Exhibit 11 and provide such Investor with evidence of the completion of the foregoing matters, wherein, with respect to the Target Company directly establishing a procurement relationship with business suppliers, the Target Company shall provide emails or other vouchers as evidence;</w:t>
      </w:r>
    </w:p>
    <w:p>
      <w:pPr>
        <w:spacing w:after="0" w:line="124" w:lineRule="exact"/>
        <w:rPr>
          <w:rFonts w:ascii="Times New Roman" w:cs="Times New Roman" w:eastAsia="Times New Roman" w:hAnsi="Times New Roman"/>
          <w:sz w:val="20"/>
          <w:szCs w:val="20"/>
          <w:color w:val="auto"/>
        </w:rPr>
      </w:pPr>
    </w:p>
    <w:p>
      <w:pPr>
        <w:jc w:val="both"/>
        <w:ind w:left="1180" w:hanging="586"/>
        <w:spacing w:after="0" w:line="242" w:lineRule="auto"/>
        <w:tabs>
          <w:tab w:leader="none" w:pos="118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shall not waive the non-competition obligations owed by the Management Team to the Group Companies under their respective labor agreements or non-competition agreements without the prior written consent of shareholders holding more than two-thirds (2/3) of the voting rights representing all Investors;</w:t>
      </w:r>
    </w:p>
    <w:p>
      <w:pPr>
        <w:spacing w:after="0" w:line="124" w:lineRule="exact"/>
        <w:rPr>
          <w:rFonts w:ascii="Times New Roman" w:cs="Times New Roman" w:eastAsia="Times New Roman" w:hAnsi="Times New Roman"/>
          <w:sz w:val="20"/>
          <w:szCs w:val="20"/>
          <w:color w:val="auto"/>
        </w:rPr>
      </w:pPr>
    </w:p>
    <w:p>
      <w:pPr>
        <w:jc w:val="both"/>
        <w:ind w:left="1180" w:hanging="586"/>
        <w:spacing w:after="0" w:line="238" w:lineRule="auto"/>
        <w:tabs>
          <w:tab w:leader="none" w:pos="118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shall comply with all Applicable Laws, ensure its lawful operations, obtain and maintain all Governmental Approvals, permits, filings, and other consents required for its operations, and when Applicable Laws or Governmental Authorities explicitly require it to obtain any licenses, approvals, authorizations, or filing documents necessary for operations, use its best efforts to obtain such licenses, approvals, authorizations, or filing documents within the required period or such longer period as agreed by each Investor;</w:t>
      </w:r>
    </w:p>
    <w:p>
      <w:pPr>
        <w:spacing w:after="0" w:line="129" w:lineRule="exact"/>
        <w:rPr>
          <w:rFonts w:ascii="Times New Roman" w:cs="Times New Roman" w:eastAsia="Times New Roman" w:hAnsi="Times New Roman"/>
          <w:sz w:val="20"/>
          <w:szCs w:val="20"/>
          <w:color w:val="auto"/>
        </w:rPr>
      </w:pPr>
    </w:p>
    <w:p>
      <w:pPr>
        <w:jc w:val="both"/>
        <w:ind w:left="1180" w:hanging="586"/>
        <w:spacing w:after="0" w:line="235" w:lineRule="auto"/>
        <w:tabs>
          <w:tab w:leader="none" w:pos="118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shall take all necessary measures to protect and maintain its intellectual property rights and use any intellectual property (including but not limited to trade names, trademarks, domain names, integrated circuit layout designs, patents, office software) in a lawful manner, including but not limited to: (1) timely submitting applications to the competent authorities for trade names, trademarks, and new technologies that the Target Company reasonably determines are eligible for intellectual property applications; (2) for trademarks to be continuously used in future business operations, timely consulting with trademark lawyers and/or agents for professional advice and thereafter taking reasonable measures to obtain corresponding trademark protection; and (3) for intellectual property where applications are ultimately rejected, the Target Company shall adopt other reasonable and effective solutions (for trademarks, including but not limited to submitting review applications or trademark administrative litigation, submitting corresponding alternative trademarks for registration, acquiring trademarks from holders of prior registered trademarks,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24" w:name="page325"/>
    <w:bookmarkEnd w:id="324"/>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720"/>
        <w:spacing w:after="0" w:line="247" w:lineRule="auto"/>
        <w:rPr>
          <w:sz w:val="20"/>
          <w:szCs w:val="20"/>
          <w:color w:val="auto"/>
        </w:rPr>
      </w:pPr>
      <w:r>
        <w:rPr>
          <w:rFonts w:ascii="Times New Roman" w:cs="Times New Roman" w:eastAsia="Times New Roman" w:hAnsi="Times New Roman"/>
          <w:sz w:val="20"/>
          <w:szCs w:val="20"/>
          <w:color w:val="auto"/>
        </w:rPr>
        <w:t>or, for trademarks where applications are ultimately unsuccessful, changing the corresponding brand name), use its best efforts to avoid infringing upon third-party intellectual property rights, and take all effective measures to protect the Target Company’s intellectual property;</w:t>
      </w:r>
    </w:p>
    <w:p>
      <w:pPr>
        <w:spacing w:after="0" w:line="119" w:lineRule="exact"/>
        <w:rPr>
          <w:sz w:val="20"/>
          <w:szCs w:val="20"/>
          <w:color w:val="auto"/>
        </w:rPr>
      </w:pPr>
    </w:p>
    <w:p>
      <w:pPr>
        <w:jc w:val="both"/>
        <w:ind w:left="720" w:hanging="586"/>
        <w:spacing w:after="0" w:line="242" w:lineRule="auto"/>
        <w:tabs>
          <w:tab w:leader="none" w:pos="72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shall enter into written full-time labor contracts or employment contracts with all employees in accordance with Applicable Laws, and shall enter into confidentiality agreements and non-competition agreements containing intellectual property ownership clauses with its senior officers, technical and R&amp;D personnel;</w:t>
      </w:r>
    </w:p>
    <w:p>
      <w:pPr>
        <w:spacing w:after="0" w:line="124" w:lineRule="exact"/>
        <w:rPr>
          <w:rFonts w:ascii="Times New Roman" w:cs="Times New Roman" w:eastAsia="Times New Roman" w:hAnsi="Times New Roman"/>
          <w:sz w:val="20"/>
          <w:szCs w:val="20"/>
          <w:color w:val="auto"/>
        </w:rPr>
      </w:pPr>
    </w:p>
    <w:p>
      <w:pPr>
        <w:jc w:val="both"/>
        <w:ind w:left="720" w:hanging="586"/>
        <w:spacing w:after="0" w:line="242" w:lineRule="auto"/>
        <w:tabs>
          <w:tab w:leader="none" w:pos="72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shall further focus on the strategic mission of “building a safe and controllable industrial chain and cultivating new productive forces,” concentrate on tackling key core technologies of intelligent driving chips, actively expand into new scenarios of emerging industries such as embodied intelligence and intelligent reasoning, and actively expand customers beyond the NIO Group;</w:t>
      </w:r>
    </w:p>
    <w:p>
      <w:pPr>
        <w:spacing w:after="0" w:line="124" w:lineRule="exact"/>
        <w:rPr>
          <w:rFonts w:ascii="Times New Roman" w:cs="Times New Roman" w:eastAsia="Times New Roman" w:hAnsi="Times New Roman"/>
          <w:sz w:val="20"/>
          <w:szCs w:val="20"/>
          <w:color w:val="auto"/>
        </w:rPr>
      </w:pPr>
    </w:p>
    <w:p>
      <w:pPr>
        <w:ind w:left="720" w:hanging="586"/>
        <w:spacing w:after="0" w:line="262" w:lineRule="auto"/>
        <w:tabs>
          <w:tab w:leader="none" w:pos="72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by the Group Companies of the fees described in Exhibit 11 to the NIO Group shall not affect the cash flow required for the normal operations of the Group Companies;</w:t>
      </w:r>
    </w:p>
    <w:p>
      <w:pPr>
        <w:spacing w:after="0" w:line="104" w:lineRule="exact"/>
        <w:rPr>
          <w:rFonts w:ascii="Times New Roman" w:cs="Times New Roman" w:eastAsia="Times New Roman" w:hAnsi="Times New Roman"/>
          <w:sz w:val="20"/>
          <w:szCs w:val="20"/>
          <w:color w:val="auto"/>
        </w:rPr>
      </w:pPr>
    </w:p>
    <w:p>
      <w:pPr>
        <w:jc w:val="both"/>
        <w:ind w:left="720" w:hanging="586"/>
        <w:spacing w:after="0" w:line="236" w:lineRule="auto"/>
        <w:tabs>
          <w:tab w:leader="none" w:pos="72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shall avoid unnecessary Related Transactions with the NIO Group to the extent possible; for unavoidable Related Transactions related to the NIO Group’s business activities, the Target Company shall strictly comply with relevant requirements of Applicable Laws, regulations, and normative documents concerning Related Transactions; adhere to transaction principles of equality and mutual benefit, good faith, compensation for value, fairness, and reasonableness, and conduct transactions with the NIO Group at fair prices, ensuring that the legitimate rights and interests of the Target Company and its shareholders are not harmed through Related Transactions; the NIO Group shall not use Related Transactions to divert profits from the Target Company, nor harm the legitimate rights and interests of the Target Company and its shareholders by influencing the Target Company’s operational decisions;</w:t>
      </w:r>
    </w:p>
    <w:p>
      <w:pPr>
        <w:spacing w:after="0" w:line="130" w:lineRule="exact"/>
        <w:rPr>
          <w:rFonts w:ascii="Times New Roman" w:cs="Times New Roman" w:eastAsia="Times New Roman" w:hAnsi="Times New Roman"/>
          <w:sz w:val="20"/>
          <w:szCs w:val="20"/>
          <w:color w:val="auto"/>
        </w:rPr>
      </w:pPr>
    </w:p>
    <w:p>
      <w:pPr>
        <w:jc w:val="both"/>
        <w:ind w:left="720" w:hanging="586"/>
        <w:spacing w:after="0" w:line="239" w:lineRule="auto"/>
        <w:tabs>
          <w:tab w:leader="none" w:pos="72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NIO Group shall not occupy the Target Company’s funds through loans, debt repayment, advances, or any other means, and shall strictly comply with Laws and regulations regarding corporate governance of listed companies, avoiding fund flows with the Target Company unrelated to normal production and operations; nor shall it require the Target Company to provide any form of guarantee to the NIO Group in violation of regulations;</w:t>
      </w:r>
    </w:p>
    <w:p>
      <w:pPr>
        <w:spacing w:after="0" w:line="129" w:lineRule="exact"/>
        <w:rPr>
          <w:rFonts w:ascii="Times New Roman" w:cs="Times New Roman" w:eastAsia="Times New Roman" w:hAnsi="Times New Roman"/>
          <w:sz w:val="20"/>
          <w:szCs w:val="20"/>
          <w:color w:val="auto"/>
        </w:rPr>
      </w:pPr>
    </w:p>
    <w:p>
      <w:pPr>
        <w:ind w:left="720" w:hanging="586"/>
        <w:spacing w:after="0" w:line="262" w:lineRule="auto"/>
        <w:tabs>
          <w:tab w:leader="none" w:pos="72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shall have independent, complete, and clearly owned operating assets; establish independent financial departments and financial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25" w:name="page326"/>
    <w:bookmarkEnd w:id="325"/>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1180"/>
        <w:spacing w:after="0" w:line="237" w:lineRule="auto"/>
        <w:rPr>
          <w:sz w:val="20"/>
          <w:szCs w:val="20"/>
          <w:color w:val="auto"/>
        </w:rPr>
      </w:pPr>
      <w:r>
        <w:rPr>
          <w:rFonts w:ascii="Times New Roman" w:cs="Times New Roman" w:eastAsia="Times New Roman" w:hAnsi="Times New Roman"/>
          <w:sz w:val="20"/>
          <w:szCs w:val="20"/>
          <w:color w:val="auto"/>
        </w:rPr>
        <w:t>management systems, and independently register, account for, audit, and manage all its assets. The organizational structure of the Target Company shall be independent of the Controlling Shareholder. The Target Company shall have sound functional departments and internal management structures, which shall exercise their functions independently, and there shall be no intermingling of such structures between the Target Company and the Controlling Shareholder. The Controlling Shareholder shall not illegally occupy or control the Target Company’s assets or illegally interfere with the Target Company’s management of its assets;</w:t>
      </w:r>
    </w:p>
    <w:p>
      <w:pPr>
        <w:spacing w:after="0" w:line="131" w:lineRule="exact"/>
        <w:rPr>
          <w:sz w:val="20"/>
          <w:szCs w:val="20"/>
          <w:color w:val="auto"/>
        </w:rPr>
      </w:pPr>
    </w:p>
    <w:p>
      <w:pPr>
        <w:jc w:val="both"/>
        <w:ind w:left="1180" w:hanging="586"/>
        <w:spacing w:after="0" w:line="242" w:lineRule="auto"/>
        <w:tabs>
          <w:tab w:leader="none" w:pos="118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expiration of the post-closing transition period, the Target Company shall maintain independence in terms of finance, organization, personnel, and business, with no other material deficiencies in independence, and there shall be no cross-holding of positions between the Controlling Shareholder and the senior officers and financial personnel of the Group Companies.</w:t>
      </w:r>
    </w:p>
    <w:p>
      <w:pPr>
        <w:spacing w:after="0" w:line="120" w:lineRule="exact"/>
        <w:rPr>
          <w:sz w:val="20"/>
          <w:szCs w:val="20"/>
          <w:color w:val="auto"/>
        </w:rPr>
      </w:pPr>
    </w:p>
    <w:p>
      <w:pPr>
        <w:ind w:left="4320" w:hanging="599"/>
        <w:spacing w:after="0"/>
        <w:tabs>
          <w:tab w:leader="none" w:pos="4320" w:val="left"/>
        </w:tabs>
        <w:numPr>
          <w:ilvl w:val="0"/>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1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Confidentiality Obligations</w:t>
      </w:r>
    </w:p>
    <w:p>
      <w:pPr>
        <w:spacing w:after="0" w:line="166" w:lineRule="exact"/>
        <w:rPr>
          <w:sz w:val="20"/>
          <w:szCs w:val="20"/>
          <w:color w:val="auto"/>
        </w:rPr>
      </w:pPr>
    </w:p>
    <w:p>
      <w:pPr>
        <w:jc w:val="both"/>
        <w:ind w:left="600"/>
        <w:spacing w:after="0" w:line="235" w:lineRule="auto"/>
        <w:rPr>
          <w:sz w:val="20"/>
          <w:szCs w:val="20"/>
          <w:color w:val="auto"/>
        </w:rPr>
      </w:pPr>
      <w:r>
        <w:rPr>
          <w:rFonts w:ascii="Times New Roman" w:cs="Times New Roman" w:eastAsia="Times New Roman" w:hAnsi="Times New Roman"/>
          <w:sz w:val="20"/>
          <w:szCs w:val="20"/>
          <w:color w:val="auto"/>
        </w:rPr>
        <w:t>Each Party covenants to the other Parties that, without the prior written consent of the relevant Party, it shall not disclose any Confidential Information to any third party, and each Party shall also procure that its respective directors, officers, employees, agents, consultants, professional advisors, and Affiliates, as well as the directors, officers, employees, agents, consultants, and professional advisors of each of its Affiliates (collectively, “</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comply with the foregoing provisions.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as used in this Agreement means: (i) any confidential or proprietary information provided by any Party to this Agreement regarding its organization, business, technology, finance, customers, suppliers, transactions, or affairs, or the information of its respective directors, officers, or employees (whether such information is provided in writing, orally, or otherwise prior to, on, or after the Execution Date); (ii) all materials related to the Transaction, including the terms of the Transaction Documents, the discussions between the Investors and the Company Parties regarding the Transaction, the existence of the Transaction, and the identities of the Parties and their respective Affiliates; and (iii) any information or materials prepared by a Party or its Representatives that contain, are otherwise derived from, or reflect any Confidential Information.</w:t>
      </w:r>
    </w:p>
    <w:p>
      <w:pPr>
        <w:spacing w:after="0" w:line="1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Exceptions to Confidentiality</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provisions of Section 7.1 above shall not apply in the following circumstances:</w:t>
      </w:r>
    </w:p>
    <w:p>
      <w:pPr>
        <w:spacing w:after="0" w:line="154" w:lineRule="exact"/>
        <w:rPr>
          <w:sz w:val="20"/>
          <w:szCs w:val="20"/>
          <w:color w:val="auto"/>
        </w:rPr>
      </w:pPr>
    </w:p>
    <w:p>
      <w:pPr>
        <w:ind w:left="1180" w:hanging="586"/>
        <w:spacing w:after="0" w:line="262" w:lineRule="auto"/>
        <w:tabs>
          <w:tab w:leader="none" w:pos="118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Confidential Information has become generally available to or known by the public, unless such disclosure or becoming available resulted from a breach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of this Agreement by a Party or its Representatives;</w:t>
      </w:r>
    </w:p>
    <w:p>
      <w:pPr>
        <w:spacing w:after="0" w:line="154" w:lineRule="exact"/>
        <w:rPr>
          <w:sz w:val="20"/>
          <w:szCs w:val="20"/>
          <w:color w:val="auto"/>
        </w:rPr>
      </w:pPr>
    </w:p>
    <w:p>
      <w:pPr>
        <w:jc w:val="both"/>
        <w:ind w:left="1180" w:hanging="586"/>
        <w:spacing w:after="0"/>
        <w:tabs>
          <w:tab w:leader="none" w:pos="118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Party discloses the Confidential Information to its Affiliates, its own and its Affiliates’ shareholders, investors, partners, fund management companies, investment banks, lenders, accountants, legal counsel, or bona fide potential investors, provided that the individuals or institutions receiving such information agree to</w:t>
      </w:r>
    </w:p>
    <w:p>
      <w:pPr>
        <w:ind w:left="118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be bound by confidentiality obligations no less restrictive than those set forth in this Section 7, or (ii) be otherwise subject to binding professional confidentiality obligations;</w:t>
      </w:r>
    </w:p>
    <w:p>
      <w:pPr>
        <w:spacing w:after="0" w:line="126" w:lineRule="exact"/>
        <w:rPr>
          <w:rFonts w:ascii="Times New Roman" w:cs="Times New Roman" w:eastAsia="Times New Roman" w:hAnsi="Times New Roman"/>
          <w:sz w:val="20"/>
          <w:szCs w:val="20"/>
          <w:color w:val="auto"/>
        </w:rPr>
      </w:pPr>
    </w:p>
    <w:p>
      <w:pPr>
        <w:ind w:left="1180" w:hanging="586"/>
        <w:spacing w:after="0"/>
        <w:tabs>
          <w:tab w:leader="none" w:pos="118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already known to a Party or its Representatives prior to its receipt from any other Party;</w:t>
      </w:r>
    </w:p>
    <w:p>
      <w:pPr>
        <w:spacing w:after="0" w:line="153" w:lineRule="exact"/>
        <w:rPr>
          <w:rFonts w:ascii="Times New Roman" w:cs="Times New Roman" w:eastAsia="Times New Roman" w:hAnsi="Times New Roman"/>
          <w:sz w:val="20"/>
          <w:szCs w:val="20"/>
          <w:color w:val="auto"/>
        </w:rPr>
      </w:pPr>
    </w:p>
    <w:p>
      <w:pPr>
        <w:ind w:left="1180" w:hanging="586"/>
        <w:spacing w:after="0"/>
        <w:tabs>
          <w:tab w:leader="none" w:pos="118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received by a Party or its Representatives from a third party on a non-confidential basis; or</w:t>
      </w:r>
    </w:p>
    <w:p>
      <w:pPr>
        <w:spacing w:after="0" w:line="153" w:lineRule="exact"/>
        <w:rPr>
          <w:rFonts w:ascii="Times New Roman" w:cs="Times New Roman" w:eastAsia="Times New Roman" w:hAnsi="Times New Roman"/>
          <w:sz w:val="20"/>
          <w:szCs w:val="20"/>
          <w:color w:val="auto"/>
        </w:rPr>
      </w:pPr>
    </w:p>
    <w:p>
      <w:pPr>
        <w:jc w:val="both"/>
        <w:ind w:left="1180" w:hanging="586"/>
        <w:spacing w:after="0" w:line="239" w:lineRule="auto"/>
        <w:tabs>
          <w:tab w:leader="none" w:pos="118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required by a Party due to securities trading rules, Applicable Laws, or the rules and regulations of any court, Governmental Authority, competent body, or any organization or entity, or due to requirements of litigation or legal proceedings related to or arising from the Transaction Documents; provided that such Party shall, to the extent circumstances permit, notify the other Parties and comply with feasible confidentiality arrangements for such information.</w:t>
      </w:r>
    </w:p>
    <w:p>
      <w:pPr>
        <w:spacing w:after="0" w:line="129" w:lineRule="exact"/>
        <w:rPr>
          <w:rFonts w:ascii="Times New Roman" w:cs="Times New Roman" w:eastAsia="Times New Roman" w:hAnsi="Times New Roman"/>
          <w:sz w:val="20"/>
          <w:szCs w:val="20"/>
          <w:color w:val="auto"/>
        </w:rPr>
      </w:pPr>
    </w:p>
    <w:p>
      <w:pPr>
        <w:jc w:val="both"/>
        <w:ind w:left="1180"/>
        <w:spacing w:after="0" w:line="2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If disclosure of Confidential Information is required by law, the Party required to make such disclosure shall, within a reasonable time prior to such disclosure or submission, seek the opinions of the other Parties regarding such disclosure or submission, and, at the request of the other Parties, the Party required to disclose the Confidential Information shall, to the extent possible, seek confidential treatment for the Confidential Information to be disclosed or submitted and use its best efforts to redact the Confidential Information.</w:t>
      </w:r>
    </w:p>
    <w:p>
      <w:pPr>
        <w:spacing w:after="0" w:line="11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Publicity</w:t>
      </w:r>
    </w:p>
    <w:p>
      <w:pPr>
        <w:spacing w:after="0" w:line="154" w:lineRule="exact"/>
        <w:rPr>
          <w:sz w:val="20"/>
          <w:szCs w:val="20"/>
          <w:color w:val="auto"/>
        </w:rPr>
      </w:pPr>
    </w:p>
    <w:p>
      <w:pPr>
        <w:jc w:val="both"/>
        <w:ind w:left="600"/>
        <w:spacing w:after="0" w:line="239" w:lineRule="auto"/>
        <w:rPr>
          <w:sz w:val="20"/>
          <w:szCs w:val="20"/>
          <w:color w:val="auto"/>
        </w:rPr>
      </w:pPr>
      <w:r>
        <w:rPr>
          <w:rFonts w:ascii="Times New Roman" w:cs="Times New Roman" w:eastAsia="Times New Roman" w:hAnsi="Times New Roman"/>
          <w:sz w:val="20"/>
          <w:szCs w:val="20"/>
          <w:color w:val="auto"/>
        </w:rPr>
        <w:t>After the Closing of the Transaction, if any Party intends to disclose the Transaction through press conferences, industry or professional media, marketing materials, or otherwise, it shall consult with and confirm the publicity plan (including but not limited to the scope of information to be disclosed, content of press releases, etc.) with each Investor in advance. Without the prior written consent of any Investor, no Party shall disclose any information beyond the publicity plan confirmed by such Investor.</w:t>
      </w:r>
    </w:p>
    <w:p>
      <w:pPr>
        <w:spacing w:after="0" w:line="138" w:lineRule="exact"/>
        <w:rPr>
          <w:sz w:val="20"/>
          <w:szCs w:val="20"/>
          <w:color w:val="auto"/>
        </w:rPr>
      </w:pPr>
    </w:p>
    <w:p>
      <w:pPr>
        <w:ind w:left="4320" w:hanging="592"/>
        <w:spacing w:after="0"/>
        <w:tabs>
          <w:tab w:leader="none" w:pos="432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p>
    <w:p>
      <w:pPr>
        <w:spacing w:after="0" w:line="1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color w:val="auto"/>
        </w:rPr>
        <w:t>Liability for Breach of Contract Damages</w:t>
      </w:r>
    </w:p>
    <w:p>
      <w:pPr>
        <w:spacing w:after="0" w:line="150" w:lineRule="exact"/>
        <w:rPr>
          <w:sz w:val="20"/>
          <w:szCs w:val="20"/>
          <w:color w:val="auto"/>
        </w:rPr>
      </w:pPr>
    </w:p>
    <w:p>
      <w:pPr>
        <w:ind w:left="4860" w:right="2500" w:hanging="4266"/>
        <w:spacing w:after="0" w:line="976" w:lineRule="auto"/>
        <w:tabs>
          <w:tab w:leader="none" w:pos="1183"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Party (the “</w:t>
      </w:r>
      <w:r>
        <w:rPr>
          <w:rFonts w:ascii="Times New Roman" w:cs="Times New Roman" w:eastAsia="Times New Roman" w:hAnsi="Times New Roman"/>
          <w:sz w:val="20"/>
          <w:szCs w:val="20"/>
          <w:b w:val="1"/>
          <w:bCs w:val="1"/>
          <w:color w:val="auto"/>
        </w:rPr>
        <w:t>Breaching Party</w:t>
      </w:r>
      <w:r>
        <w:rPr>
          <w:rFonts w:ascii="Times New Roman" w:cs="Times New Roman" w:eastAsia="Times New Roman" w:hAnsi="Times New Roman"/>
          <w:sz w:val="20"/>
          <w:szCs w:val="20"/>
          <w:color w:val="auto"/>
        </w:rPr>
        <w:t>”) breaches the representations, warranties,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310630" cy="234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27" w:name="page328"/>
    <w:bookmarkEnd w:id="327"/>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1180"/>
        <w:spacing w:after="0" w:line="236" w:lineRule="auto"/>
        <w:rPr>
          <w:sz w:val="20"/>
          <w:szCs w:val="20"/>
          <w:color w:val="auto"/>
        </w:rPr>
      </w:pPr>
      <w:r>
        <w:rPr>
          <w:rFonts w:ascii="Times New Roman" w:cs="Times New Roman" w:eastAsia="Times New Roman" w:hAnsi="Times New Roman"/>
          <w:sz w:val="20"/>
          <w:szCs w:val="20"/>
          <w:color w:val="auto"/>
        </w:rPr>
        <w:t>obligations, or covenants contained in this Agreement, resulting in losses (including diminution in the value of the Target Company’s equity), damages, Liabilities, claims, demands, costs, or expenses (collectively,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to any other Party, the Breaching Party shall indemnify such other Party for such Losses and shall take corresponding measures to hold the injured Party harmless from any further Losses. If any Company Party (excluding the Employee Shareholding Platforms) breaches any of its representations, warranties, covenants, obligations, or any other provisions under this Agreement, thereby causing any Investor to suffer any Losses directly or indirectly, the Company Parties (excluding the Employee Shareholding Platforms) shall, severally and jointly, indemnify such Investor for such Losses and shall take corresponding measures to hold such Investor harmless from any further Losses.</w:t>
      </w:r>
    </w:p>
    <w:p>
      <w:pPr>
        <w:spacing w:after="0" w:line="131" w:lineRule="exact"/>
        <w:rPr>
          <w:sz w:val="20"/>
          <w:szCs w:val="20"/>
          <w:color w:val="auto"/>
        </w:rPr>
      </w:pPr>
    </w:p>
    <w:p>
      <w:pPr>
        <w:jc w:val="both"/>
        <w:ind w:left="1180" w:hanging="586"/>
        <w:spacing w:after="0" w:line="236" w:lineRule="auto"/>
        <w:tabs>
          <w:tab w:leader="none" w:pos="118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Regardless of any other provisions of this Agreement, if any Investor suffers any Losses directly or indirectly as a result of any Company Party’s (excluding the Employee Shareholding Platforms) breach of law, breach of contract with any person, or infringement of any person’s rights or interests occurring prior to the Closing Date, the Company Parties (excluding the Employee Shareholding Platforms) shall, severally and jointly, indemnify such Investor for such Losses and shall take corresponding measures to hold such Investor harmless from any further Losses. If any Investor suffers any Losses directly or indirectly as a result of the Employee Shareholding Platform’s breach of law, breach of contract with any person, or infringement of any Person’s rights or interests occurring prior to the Closing Date, the Employee Shareholding Platform shall indemnify such Investor for such Losses and shall take corresponding measures to hold such Investor harmless from any further Losses.</w:t>
      </w:r>
    </w:p>
    <w:p>
      <w:pPr>
        <w:spacing w:after="0" w:line="1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color w:val="auto"/>
        </w:rPr>
        <w:t>Other Remedies</w:t>
      </w:r>
    </w:p>
    <w:p>
      <w:pPr>
        <w:spacing w:after="0" w:line="15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In the event of any breach of this Agreement by any Party, the rights and remedies of the other Parties under or pursuant to this Agreement are cumulative and shall not affect any other rights or remedies available to the other Parties under Applicable Law.</w:t>
      </w:r>
    </w:p>
    <w:p>
      <w:pPr>
        <w:spacing w:after="0" w:line="128" w:lineRule="exact"/>
        <w:rPr>
          <w:sz w:val="20"/>
          <w:szCs w:val="20"/>
          <w:color w:val="auto"/>
        </w:rPr>
      </w:pPr>
    </w:p>
    <w:p>
      <w:pPr>
        <w:ind w:left="3460" w:hanging="596"/>
        <w:spacing w:after="0"/>
        <w:tabs>
          <w:tab w:leader="none" w:pos="346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EFFECTIVENESS AND TERMINATION</w:t>
      </w:r>
    </w:p>
    <w:p>
      <w:pPr>
        <w:spacing w:after="0" w:line="1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Effectiveness</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This Agreement shall become effective upon execution and sealing by all Parties.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color w:val="auto"/>
        </w:rPr>
        <w:t>Termination Events</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Parties hereby unanimously agree that this Agreement may be terminated in the following manners: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28" w:name="page329"/>
    <w:bookmarkEnd w:id="328"/>
    <w:p>
      <w:pPr>
        <w:ind w:left="276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144780</wp:posOffset>
            </wp:positionV>
            <wp:extent cx="631063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left="720" w:hanging="586"/>
        <w:spacing w:after="0"/>
        <w:tabs>
          <w:tab w:leader="none" w:pos="7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 written agreement of all Parties hereto, specifying the effective date of termination;</w:t>
      </w:r>
    </w:p>
    <w:p>
      <w:pPr>
        <w:spacing w:after="0" w:line="153" w:lineRule="exact"/>
        <w:rPr>
          <w:rFonts w:ascii="Times New Roman" w:cs="Times New Roman" w:eastAsia="Times New Roman" w:hAnsi="Times New Roman"/>
          <w:sz w:val="20"/>
          <w:szCs w:val="20"/>
          <w:color w:val="auto"/>
        </w:rPr>
      </w:pPr>
    </w:p>
    <w:p>
      <w:pPr>
        <w:jc w:val="both"/>
        <w:ind w:left="720" w:hanging="586"/>
        <w:spacing w:after="0" w:line="247" w:lineRule="auto"/>
        <w:tabs>
          <w:tab w:leader="none" w:pos="7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Investor may terminate this Agreement with respect to such Investor by providing written notice to the other Parties, specifying the effective date of termination therein, if any of the following circumstances occurs:</w:t>
      </w:r>
    </w:p>
    <w:p>
      <w:pPr>
        <w:spacing w:after="0" w:line="119"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Closing, any representation or warranty of any Company Party is materially untrue or contains a material omission;</w:t>
      </w:r>
    </w:p>
    <w:p>
      <w:pPr>
        <w:spacing w:after="0" w:line="104" w:lineRule="exact"/>
        <w:rPr>
          <w:rFonts w:ascii="Times New Roman" w:cs="Times New Roman" w:eastAsia="Times New Roman" w:hAnsi="Times New Roman"/>
          <w:sz w:val="20"/>
          <w:szCs w:val="20"/>
          <w:color w:val="auto"/>
        </w:rPr>
      </w:pPr>
    </w:p>
    <w:p>
      <w:pPr>
        <w:jc w:val="both"/>
        <w:ind w:left="1320" w:hanging="592"/>
        <w:spacing w:after="0" w:line="247" w:lineRule="auto"/>
        <w:tabs>
          <w:tab w:leader="none" w:pos="132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Closing, any Company Party materially breaches any covenant, commitment, or obligation under this Agreement and fails to take effective remedial measures within thirty (30) days after receiving written notice from such Investor requesting rectification;</w:t>
      </w:r>
    </w:p>
    <w:p>
      <w:pPr>
        <w:spacing w:after="0" w:line="119"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conditions precedent to closing are not satisfied within ninety (90) days from the Execution Date of this Agreement;</w:t>
      </w:r>
    </w:p>
    <w:p>
      <w:pPr>
        <w:spacing w:after="0" w:line="104" w:lineRule="exact"/>
        <w:rPr>
          <w:rFonts w:ascii="Times New Roman" w:cs="Times New Roman" w:eastAsia="Times New Roman" w:hAnsi="Times New Roman"/>
          <w:sz w:val="20"/>
          <w:szCs w:val="20"/>
          <w:color w:val="auto"/>
        </w:rPr>
      </w:pPr>
    </w:p>
    <w:p>
      <w:pPr>
        <w:jc w:val="both"/>
        <w:ind w:left="1320" w:hanging="592"/>
        <w:spacing w:after="0" w:line="247" w:lineRule="auto"/>
        <w:tabs>
          <w:tab w:leader="none" w:pos="132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Closing Date, any Company Party enters into any voluntary or involuntary bankruptcy proceedings (unless such proceedings are dismissed within ninety (90) days after commencement), or any Company Party is declared bankrupt by a court or other Governmental Authority; or</w:t>
      </w:r>
    </w:p>
    <w:p>
      <w:pPr>
        <w:spacing w:after="0" w:line="119" w:lineRule="exact"/>
        <w:rPr>
          <w:rFonts w:ascii="Times New Roman" w:cs="Times New Roman" w:eastAsia="Times New Roman" w:hAnsi="Times New Roman"/>
          <w:sz w:val="20"/>
          <w:szCs w:val="20"/>
          <w:color w:val="auto"/>
        </w:rPr>
      </w:pPr>
    </w:p>
    <w:p>
      <w:pPr>
        <w:jc w:val="both"/>
        <w:ind w:left="1320" w:hanging="592"/>
        <w:spacing w:after="0" w:line="242" w:lineRule="auto"/>
        <w:tabs>
          <w:tab w:leader="none" w:pos="132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fails to complete the Change of Industrial and Commercial Registration for the Transaction with respect to an Investor that has paid its corresponding capital increase consideration in full in accordance with Section 4.3(c) and fails to complete such registration within thirty (30) days after receiving written notice from such Investor requesting rectification.</w:t>
      </w:r>
    </w:p>
    <w:p>
      <w:pPr>
        <w:spacing w:after="0" w:line="124" w:lineRule="exact"/>
        <w:rPr>
          <w:rFonts w:ascii="Times New Roman" w:cs="Times New Roman" w:eastAsia="Times New Roman" w:hAnsi="Times New Roman"/>
          <w:sz w:val="20"/>
          <w:szCs w:val="20"/>
          <w:color w:val="auto"/>
        </w:rPr>
      </w:pPr>
    </w:p>
    <w:p>
      <w:pPr>
        <w:jc w:val="both"/>
        <w:ind w:left="720" w:hanging="586"/>
        <w:spacing w:after="0" w:line="247" w:lineRule="auto"/>
        <w:tabs>
          <w:tab w:leader="none" w:pos="7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Closing, the Target Company may terminate this Agreement with respect to any Investor by providing written notice to the other Parties, specifying the effective date of termination therein, if any of the following circumstances occurs with respect to such Investor:</w:t>
      </w:r>
    </w:p>
    <w:p>
      <w:pPr>
        <w:spacing w:after="0" w:line="119"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of any Investor is materially untrue or contains a material omission;</w:t>
      </w:r>
    </w:p>
    <w:p>
      <w:pPr>
        <w:spacing w:after="0" w:line="153" w:lineRule="exact"/>
        <w:rPr>
          <w:rFonts w:ascii="Times New Roman" w:cs="Times New Roman" w:eastAsia="Times New Roman" w:hAnsi="Times New Roman"/>
          <w:sz w:val="20"/>
          <w:szCs w:val="20"/>
          <w:color w:val="auto"/>
        </w:rPr>
      </w:pPr>
    </w:p>
    <w:p>
      <w:pPr>
        <w:jc w:val="both"/>
        <w:ind w:left="1320" w:hanging="592"/>
        <w:spacing w:after="0" w:line="247" w:lineRule="auto"/>
        <w:tabs>
          <w:tab w:leader="none" w:pos="132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Investor materially breaches any covenant, commitment, or obligation under this Agreement and fails to take effective remedial measures within thirty (30) days after receiving written notice from the Target Company requesting rectification;</w:t>
      </w:r>
    </w:p>
    <w:p>
      <w:pPr>
        <w:spacing w:after="0" w:line="119" w:lineRule="exact"/>
        <w:rPr>
          <w:rFonts w:ascii="Times New Roman" w:cs="Times New Roman" w:eastAsia="Times New Roman" w:hAnsi="Times New Roman"/>
          <w:sz w:val="20"/>
          <w:szCs w:val="20"/>
          <w:color w:val="auto"/>
        </w:rPr>
      </w:pPr>
    </w:p>
    <w:p>
      <w:pPr>
        <w:jc w:val="both"/>
        <w:ind w:left="1320" w:hanging="592"/>
        <w:spacing w:after="0" w:line="247" w:lineRule="auto"/>
        <w:tabs>
          <w:tab w:leader="none" w:pos="132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Investor enters into any voluntary or involuntary bankruptcy proceedings (unless such proceedings are dismissed within ninety (90) days after commencement), or any Investor is declared bankrupt by a court or other governmental authority; 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158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2">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29" w:name="page330"/>
    <w:bookmarkEnd w:id="329"/>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1780" w:hanging="592"/>
        <w:spacing w:after="0" w:line="239" w:lineRule="auto"/>
        <w:tabs>
          <w:tab w:leader="none" w:pos="178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Investor fails to pay its corresponding capital increase consideration in full within five (5) Business Days after the expiration of the Capital Contribution Payment Period; in such case, the Target Company shall have the right to elect to terminate this Agreement in its entirety with respect to such Investor or partially terminate this Agreement with respect to the portion of the Capital Increase Consideration unpaid by such Investor.</w:t>
      </w:r>
    </w:p>
    <w:p>
      <w:pPr>
        <w:spacing w:after="0" w:line="13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color w:val="auto"/>
        </w:rPr>
        <w:t>Consequences of Termination</w:t>
      </w:r>
    </w:p>
    <w:p>
      <w:pPr>
        <w:spacing w:after="0" w:line="154" w:lineRule="exact"/>
        <w:rPr>
          <w:sz w:val="20"/>
          <w:szCs w:val="20"/>
          <w:color w:val="auto"/>
        </w:rPr>
      </w:pPr>
    </w:p>
    <w:p>
      <w:pPr>
        <w:jc w:val="both"/>
        <w:ind w:left="1180" w:hanging="586"/>
        <w:spacing w:after="0" w:line="239" w:lineRule="auto"/>
        <w:tabs>
          <w:tab w:leader="none" w:pos="118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Agreement is terminated in accordance with Section 9.2, the rights and obligations of the Parties hereunder with respect thereto shall terminate, provided that the Parties shall remain bound by this Section 9.3 and Sections 7 (Confidentiality), 8 (Indemnification), and 11 (Applicable Law and Dispute Resolution). The provisions of this Section 9.3 shall not be deemed to relieve any Party of liability for breach of this Agreement prior to the termination date.</w:t>
      </w:r>
    </w:p>
    <w:p>
      <w:pPr>
        <w:spacing w:after="0" w:line="129" w:lineRule="exact"/>
        <w:rPr>
          <w:rFonts w:ascii="Times New Roman" w:cs="Times New Roman" w:eastAsia="Times New Roman" w:hAnsi="Times New Roman"/>
          <w:sz w:val="20"/>
          <w:szCs w:val="20"/>
          <w:color w:val="auto"/>
        </w:rPr>
      </w:pPr>
    </w:p>
    <w:p>
      <w:pPr>
        <w:jc w:val="both"/>
        <w:ind w:left="1180" w:hanging="586"/>
        <w:spacing w:after="0" w:line="256" w:lineRule="auto"/>
        <w:tabs>
          <w:tab w:leader="none" w:pos="118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termination of this Agreement in accordance with Section 9.2, if the Investor to which such termination applies has paid all or part of the Capital Increase Consideration, the Target Company shall, within twenty</w:t>
      </w:r>
    </w:p>
    <w:p>
      <w:pPr>
        <w:spacing w:after="0" w:line="1" w:lineRule="exact"/>
        <w:rPr>
          <w:rFonts w:ascii="Times New Roman" w:cs="Times New Roman" w:eastAsia="Times New Roman" w:hAnsi="Times New Roman"/>
          <w:sz w:val="19"/>
          <w:szCs w:val="19"/>
          <w:color w:val="auto"/>
        </w:rPr>
      </w:pPr>
    </w:p>
    <w:p>
      <w:pPr>
        <w:jc w:val="both"/>
        <w:ind w:left="1180" w:firstLine="8"/>
        <w:spacing w:after="0" w:line="237" w:lineRule="auto"/>
        <w:tabs>
          <w:tab w:leader="none" w:pos="1599"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from the date of termination of this Agreement, refund to such Investor the capital increase consideration paid by such Investor corresponding to the terminated portion without interest. The Parties agree to cooperate in signing relevant agreements or completing relevant procedures (if necessary).</w:t>
      </w:r>
    </w:p>
    <w:p>
      <w:pPr>
        <w:spacing w:after="0" w:line="125" w:lineRule="exact"/>
        <w:rPr>
          <w:rFonts w:ascii="Times New Roman" w:cs="Times New Roman" w:eastAsia="Times New Roman" w:hAnsi="Times New Roman"/>
          <w:sz w:val="20"/>
          <w:szCs w:val="20"/>
          <w:color w:val="auto"/>
        </w:rPr>
      </w:pPr>
    </w:p>
    <w:p>
      <w:pPr>
        <w:jc w:val="both"/>
        <w:ind w:left="1180" w:hanging="586"/>
        <w:spacing w:after="0" w:line="239" w:lineRule="auto"/>
        <w:tabs>
          <w:tab w:leader="none" w:pos="118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effect of the foregoing termination shall apply severally to each Investor. If any Investor terminates this Agreement with respect to itself, or the Target Company terminates this Agreement with respect to any Investor, the effect of such termination shall apply only to and in respect of the provisions of this Agreement related to such Investor and shall not affect the rights and obligations of any other Party other than such Investor under this Agreement.</w:t>
      </w:r>
    </w:p>
    <w:p>
      <w:pPr>
        <w:spacing w:after="0" w:line="126" w:lineRule="exact"/>
        <w:rPr>
          <w:sz w:val="20"/>
          <w:szCs w:val="20"/>
          <w:color w:val="auto"/>
        </w:rPr>
      </w:pPr>
    </w:p>
    <w:p>
      <w:pPr>
        <w:jc w:val="center"/>
        <w:ind w:left="4200"/>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20"/>
          <w:szCs w:val="20"/>
          <w:b w:val="1"/>
          <w:bCs w:val="1"/>
          <w:color w:val="auto"/>
        </w:rPr>
        <w:t>NOTICES</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Notices, demands, or other communications under this Agreement shall be in writing and shall be delivered or sent to the following address or email address of the relevant Party (or such other address or email address as the receiving Party may notify the other Parties in writing ten (10) days in advance).</w:t>
      </w:r>
    </w:p>
    <w:p>
      <w:pPr>
        <w:spacing w:after="0" w:line="115"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0"/>
          <w:szCs w:val="20"/>
          <w:b w:val="1"/>
          <w:bCs w:val="1"/>
          <w:color w:val="auto"/>
        </w:rPr>
        <w:t>Target Company:</w:t>
        <w:tab/>
        <w:t>​​​GeniTech Co., Ltd.</w:t>
      </w:r>
    </w:p>
    <w:p>
      <w:pPr>
        <w:spacing w:after="0" w:line="12"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20"/>
          <w:szCs w:val="20"/>
          <w:color w:val="auto"/>
        </w:rPr>
        <w:t>***</w:t>
      </w:r>
    </w:p>
    <w:p>
      <w:pPr>
        <w:spacing w:after="0" w:line="232" w:lineRule="auto"/>
        <w:tabs>
          <w:tab w:leader="none" w:pos="18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ZHANG Danyu</w:t>
      </w:r>
    </w:p>
    <w:p>
      <w:pPr>
        <w:spacing w:after="0"/>
        <w:tabs>
          <w:tab w:leader="none" w:pos="1860" w:val="left"/>
        </w:tabs>
        <w:rPr>
          <w:sz w:val="20"/>
          <w:szCs w:val="20"/>
          <w:color w:val="auto"/>
        </w:rPr>
      </w:pPr>
      <w:r>
        <w:rPr>
          <w:rFonts w:ascii="Times New Roman" w:cs="Times New Roman" w:eastAsia="Times New Roman" w:hAnsi="Times New Roman"/>
          <w:sz w:val="20"/>
          <w:szCs w:val="20"/>
          <w:color w:val="auto"/>
        </w:rPr>
        <w:t>Tel:</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58"/>
        </w:trPr>
        <w:tc>
          <w:tcPr>
            <w:tcW w:w="1440" w:type="dxa"/>
            <w:vAlign w:val="bottom"/>
          </w:tcPr>
          <w:p>
            <w:pPr>
              <w:spacing w:after="0"/>
              <w:rPr>
                <w:sz w:val="22"/>
                <w:szCs w:val="22"/>
                <w:color w:val="auto"/>
              </w:rPr>
            </w:pPr>
          </w:p>
        </w:tc>
        <w:tc>
          <w:tcPr>
            <w:tcW w:w="8500" w:type="dxa"/>
            <w:vAlign w:val="bottom"/>
          </w:tcPr>
          <w:p>
            <w:pPr>
              <w:jc w:val="right"/>
              <w:ind w:right="3121"/>
              <w:spacing w:after="0"/>
              <w:rPr>
                <w:sz w:val="20"/>
                <w:szCs w:val="20"/>
                <w:color w:val="auto"/>
              </w:rPr>
            </w:pPr>
            <w:r>
              <w:rPr>
                <w:rFonts w:ascii="Times New Roman" w:cs="Times New Roman" w:eastAsia="Times New Roman" w:hAnsi="Times New Roman"/>
                <w:sz w:val="20"/>
                <w:szCs w:val="20"/>
                <w:color w:val="auto"/>
              </w:rPr>
              <w:t>GeniTech Co., Ltd. Subscription Agreement</w:t>
            </w:r>
          </w:p>
        </w:tc>
      </w:tr>
      <w:tr>
        <w:trPr>
          <w:trHeight w:val="200"/>
        </w:trPr>
        <w:tc>
          <w:tcPr>
            <w:tcW w:w="1440" w:type="dxa"/>
            <w:vAlign w:val="bottom"/>
            <w:tcBorders>
              <w:bottom w:val="single" w:sz="8" w:color="auto"/>
            </w:tcBorders>
          </w:tcPr>
          <w:p>
            <w:pPr>
              <w:spacing w:after="0"/>
              <w:rPr>
                <w:sz w:val="17"/>
                <w:szCs w:val="17"/>
                <w:color w:val="auto"/>
              </w:rPr>
            </w:pPr>
          </w:p>
        </w:tc>
        <w:tc>
          <w:tcPr>
            <w:tcW w:w="8500" w:type="dxa"/>
            <w:vAlign w:val="bottom"/>
            <w:tcBorders>
              <w:bottom w:val="single" w:sz="8" w:color="auto"/>
            </w:tcBorders>
          </w:tcPr>
          <w:p>
            <w:pPr>
              <w:spacing w:after="0"/>
              <w:rPr>
                <w:sz w:val="17"/>
                <w:szCs w:val="17"/>
                <w:color w:val="auto"/>
              </w:rPr>
            </w:pPr>
          </w:p>
        </w:tc>
      </w:tr>
      <w:tr>
        <w:trPr>
          <w:trHeight w:val="399"/>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Email:</w:t>
            </w:r>
          </w:p>
        </w:tc>
        <w:tc>
          <w:tcPr>
            <w:tcW w:w="8500" w:type="dxa"/>
            <w:vAlign w:val="bottom"/>
          </w:tcPr>
          <w:p>
            <w:pPr>
              <w:jc w:val="right"/>
              <w:ind w:right="7641"/>
              <w:spacing w:after="0"/>
              <w:rPr>
                <w:sz w:val="20"/>
                <w:szCs w:val="20"/>
                <w:color w:val="auto"/>
              </w:rPr>
            </w:pPr>
            <w:r>
              <w:rPr>
                <w:rFonts w:ascii="Times New Roman" w:cs="Times New Roman" w:eastAsia="Times New Roman" w:hAnsi="Times New Roman"/>
                <w:sz w:val="20"/>
                <w:szCs w:val="20"/>
                <w:color w:val="auto"/>
              </w:rPr>
              <w:t>​​​***</w:t>
            </w:r>
          </w:p>
        </w:tc>
      </w:tr>
      <w:tr>
        <w:trPr>
          <w:trHeight w:val="447"/>
        </w:trPr>
        <w:tc>
          <w:tcPr>
            <w:tcW w:w="1440" w:type="dxa"/>
            <w:vAlign w:val="bottom"/>
          </w:tcPr>
          <w:p>
            <w:pPr>
              <w:spacing w:after="0" w:line="230" w:lineRule="exact"/>
              <w:rPr>
                <w:sz w:val="20"/>
                <w:szCs w:val="20"/>
                <w:color w:val="auto"/>
              </w:rPr>
            </w:pPr>
            <w:r>
              <w:rPr>
                <w:rFonts w:ascii="Times New Roman" w:cs="Times New Roman" w:eastAsia="Times New Roman" w:hAnsi="Times New Roman"/>
                <w:sz w:val="20"/>
                <w:szCs w:val="20"/>
                <w:b w:val="1"/>
                <w:bCs w:val="1"/>
                <w:color w:val="auto"/>
              </w:rPr>
              <w:t>NIO</w:t>
            </w:r>
            <w:r>
              <w:rPr>
                <w:rFonts w:ascii="MS PGothic" w:cs="MS PGothic" w:eastAsia="MS PGothic" w:hAnsi="MS PGothic"/>
                <w:sz w:val="20"/>
                <w:szCs w:val="20"/>
                <w:color w:val="auto"/>
              </w:rPr>
              <w:t>：</w:t>
            </w:r>
          </w:p>
        </w:tc>
        <w:tc>
          <w:tcPr>
            <w:tcW w:w="8500" w:type="dxa"/>
            <w:vAlign w:val="bottom"/>
          </w:tcPr>
          <w:p>
            <w:pPr>
              <w:spacing w:after="0"/>
              <w:rPr>
                <w:sz w:val="24"/>
                <w:szCs w:val="24"/>
                <w:color w:val="auto"/>
              </w:rPr>
            </w:pPr>
          </w:p>
        </w:tc>
      </w:tr>
      <w:tr>
        <w:trPr>
          <w:trHeight w:val="223"/>
        </w:trPr>
        <w:tc>
          <w:tcPr>
            <w:tcW w:w="1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Address:</w:t>
            </w:r>
          </w:p>
        </w:tc>
        <w:tc>
          <w:tcPr>
            <w:tcW w:w="8500" w:type="dxa"/>
            <w:vAlign w:val="bottom"/>
          </w:tcPr>
          <w:p>
            <w:pPr>
              <w:jc w:val="right"/>
              <w:ind w:right="7641"/>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1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Attention:</w:t>
            </w:r>
          </w:p>
        </w:tc>
        <w:tc>
          <w:tcPr>
            <w:tcW w:w="8500" w:type="dxa"/>
            <w:vAlign w:val="bottom"/>
          </w:tcPr>
          <w:p>
            <w:pPr>
              <w:ind w:left="460"/>
              <w:spacing w:after="0" w:line="223" w:lineRule="exact"/>
              <w:rPr>
                <w:sz w:val="20"/>
                <w:szCs w:val="20"/>
                <w:color w:val="auto"/>
              </w:rPr>
            </w:pPr>
            <w:r>
              <w:rPr>
                <w:rFonts w:ascii="Times New Roman" w:cs="Times New Roman" w:eastAsia="Times New Roman" w:hAnsi="Times New Roman"/>
                <w:sz w:val="20"/>
                <w:szCs w:val="20"/>
                <w:color w:val="auto"/>
              </w:rPr>
              <w:t>Investment Department of NIO Group</w:t>
            </w:r>
          </w:p>
        </w:tc>
      </w:tr>
      <w:tr>
        <w:trPr>
          <w:trHeight w:val="223"/>
        </w:trPr>
        <w:tc>
          <w:tcPr>
            <w:tcW w:w="1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Tel:</w:t>
            </w:r>
          </w:p>
        </w:tc>
        <w:tc>
          <w:tcPr>
            <w:tcW w:w="8500" w:type="dxa"/>
            <w:vAlign w:val="bottom"/>
          </w:tcPr>
          <w:p>
            <w:pPr>
              <w:jc w:val="right"/>
              <w:ind w:right="7641"/>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Email:</w:t>
            </w:r>
          </w:p>
        </w:tc>
        <w:tc>
          <w:tcPr>
            <w:tcW w:w="8500" w:type="dxa"/>
            <w:vAlign w:val="bottom"/>
          </w:tcPr>
          <w:p>
            <w:pPr>
              <w:jc w:val="right"/>
              <w:ind w:right="7641"/>
              <w:spacing w:after="0"/>
              <w:rPr>
                <w:sz w:val="20"/>
                <w:szCs w:val="20"/>
                <w:color w:val="auto"/>
              </w:rPr>
            </w:pPr>
            <w:r>
              <w:rPr>
                <w:rFonts w:ascii="Times New Roman" w:cs="Times New Roman" w:eastAsia="Times New Roman" w:hAnsi="Times New Roman"/>
                <w:sz w:val="20"/>
                <w:szCs w:val="20"/>
                <w:color w:val="auto"/>
              </w:rPr>
              <w:t>***</w:t>
            </w:r>
          </w:p>
        </w:tc>
      </w:tr>
      <w:tr>
        <w:trPr>
          <w:trHeight w:val="406"/>
        </w:trPr>
        <w:tc>
          <w:tcPr>
            <w:tcW w:w="1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Controlling</w:t>
            </w:r>
          </w:p>
        </w:tc>
        <w:tc>
          <w:tcPr>
            <w:tcW w:w="8500" w:type="dxa"/>
            <w:vAlign w:val="bottom"/>
          </w:tcPr>
          <w:p>
            <w:pPr>
              <w:spacing w:after="0"/>
              <w:rPr>
                <w:sz w:val="24"/>
                <w:szCs w:val="24"/>
                <w:color w:val="auto"/>
              </w:rPr>
            </w:pPr>
          </w:p>
        </w:tc>
      </w:tr>
      <w:tr>
        <w:trPr>
          <w:trHeight w:val="227"/>
        </w:trPr>
        <w:tc>
          <w:tcPr>
            <w:tcW w:w="1440" w:type="dxa"/>
            <w:vAlign w:val="bottom"/>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Shareholder:</w:t>
            </w:r>
          </w:p>
        </w:tc>
        <w:tc>
          <w:tcPr>
            <w:tcW w:w="8500" w:type="dxa"/>
            <w:vAlign w:val="bottom"/>
          </w:tcPr>
          <w:p>
            <w:pPr>
              <w:ind w:left="460"/>
              <w:spacing w:after="0" w:line="227" w:lineRule="exact"/>
              <w:rPr>
                <w:sz w:val="20"/>
                <w:szCs w:val="20"/>
                <w:color w:val="auto"/>
              </w:rPr>
            </w:pPr>
            <w:r>
              <w:rPr>
                <w:rFonts w:ascii="Times New Roman" w:cs="Times New Roman" w:eastAsia="Times New Roman" w:hAnsi="Times New Roman"/>
                <w:sz w:val="20"/>
                <w:szCs w:val="20"/>
                <w:b w:val="1"/>
                <w:bCs w:val="1"/>
                <w:color w:val="auto"/>
              </w:rPr>
              <w:t>NIO Technology (Anhui) Co., Ltd.</w:t>
            </w:r>
          </w:p>
        </w:tc>
      </w:tr>
      <w:tr>
        <w:trPr>
          <w:trHeight w:val="223"/>
        </w:trPr>
        <w:tc>
          <w:tcPr>
            <w:tcW w:w="1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Address:</w:t>
            </w:r>
          </w:p>
        </w:tc>
        <w:tc>
          <w:tcPr>
            <w:tcW w:w="8500" w:type="dxa"/>
            <w:vAlign w:val="bottom"/>
          </w:tcPr>
          <w:p>
            <w:pPr>
              <w:jc w:val="right"/>
              <w:ind w:right="7641"/>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1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Attention:</w:t>
            </w:r>
          </w:p>
        </w:tc>
        <w:tc>
          <w:tcPr>
            <w:tcW w:w="8500" w:type="dxa"/>
            <w:vAlign w:val="bottom"/>
          </w:tcPr>
          <w:p>
            <w:pPr>
              <w:ind w:left="460"/>
              <w:spacing w:after="0" w:line="223" w:lineRule="exact"/>
              <w:rPr>
                <w:sz w:val="20"/>
                <w:szCs w:val="20"/>
                <w:color w:val="auto"/>
              </w:rPr>
            </w:pPr>
            <w:r>
              <w:rPr>
                <w:rFonts w:ascii="Times New Roman" w:cs="Times New Roman" w:eastAsia="Times New Roman" w:hAnsi="Times New Roman"/>
                <w:sz w:val="20"/>
                <w:szCs w:val="20"/>
                <w:color w:val="auto"/>
              </w:rPr>
              <w:t>BAI Jian</w:t>
            </w:r>
          </w:p>
        </w:tc>
      </w:tr>
      <w:tr>
        <w:trPr>
          <w:trHeight w:val="223"/>
        </w:trPr>
        <w:tc>
          <w:tcPr>
            <w:tcW w:w="1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Tel:</w:t>
            </w:r>
          </w:p>
        </w:tc>
        <w:tc>
          <w:tcPr>
            <w:tcW w:w="8500" w:type="dxa"/>
            <w:vAlign w:val="bottom"/>
          </w:tcPr>
          <w:p>
            <w:pPr>
              <w:jc w:val="right"/>
              <w:ind w:right="7641"/>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Email:</w:t>
            </w:r>
          </w:p>
        </w:tc>
        <w:tc>
          <w:tcPr>
            <w:tcW w:w="8500" w:type="dxa"/>
            <w:vAlign w:val="bottom"/>
          </w:tcPr>
          <w:p>
            <w:pPr>
              <w:jc w:val="right"/>
              <w:ind w:right="7641"/>
              <w:spacing w:after="0"/>
              <w:rPr>
                <w:sz w:val="20"/>
                <w:szCs w:val="20"/>
                <w:color w:val="auto"/>
              </w:rPr>
            </w:pPr>
            <w:r>
              <w:rPr>
                <w:rFonts w:ascii="Times New Roman" w:cs="Times New Roman" w:eastAsia="Times New Roman" w:hAnsi="Times New Roman"/>
                <w:sz w:val="20"/>
                <w:szCs w:val="20"/>
                <w:color w:val="auto"/>
              </w:rPr>
              <w:t>***</w:t>
            </w:r>
          </w:p>
        </w:tc>
      </w:tr>
      <w:tr>
        <w:trPr>
          <w:trHeight w:val="406"/>
        </w:trPr>
        <w:tc>
          <w:tcPr>
            <w:tcW w:w="1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Employee</w:t>
            </w:r>
          </w:p>
        </w:tc>
        <w:tc>
          <w:tcPr>
            <w:tcW w:w="8500" w:type="dxa"/>
            <w:vAlign w:val="bottom"/>
          </w:tcPr>
          <w:p>
            <w:pPr>
              <w:spacing w:after="0"/>
              <w:rPr>
                <w:sz w:val="24"/>
                <w:szCs w:val="24"/>
                <w:color w:val="auto"/>
              </w:rPr>
            </w:pPr>
          </w:p>
        </w:tc>
      </w:tr>
      <w:tr>
        <w:trPr>
          <w:trHeight w:val="223"/>
        </w:trPr>
        <w:tc>
          <w:tcPr>
            <w:tcW w:w="144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Shareholding</w:t>
            </w:r>
          </w:p>
        </w:tc>
        <w:tc>
          <w:tcPr>
            <w:tcW w:w="8500" w:type="dxa"/>
            <w:vAlign w:val="bottom"/>
          </w:tcPr>
          <w:p>
            <w:pPr>
              <w:spacing w:after="0"/>
              <w:rPr>
                <w:sz w:val="19"/>
                <w:szCs w:val="19"/>
                <w:color w:val="auto"/>
              </w:rPr>
            </w:pPr>
          </w:p>
        </w:tc>
      </w:tr>
      <w:tr>
        <w:trPr>
          <w:trHeight w:val="227"/>
        </w:trPr>
        <w:tc>
          <w:tcPr>
            <w:tcW w:w="1440" w:type="dxa"/>
            <w:vAlign w:val="bottom"/>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Platforms:</w:t>
            </w:r>
          </w:p>
        </w:tc>
        <w:tc>
          <w:tcPr>
            <w:tcW w:w="8500" w:type="dxa"/>
            <w:vAlign w:val="bottom"/>
          </w:tcPr>
          <w:p>
            <w:pPr>
              <w:spacing w:after="0"/>
              <w:rPr>
                <w:sz w:val="19"/>
                <w:szCs w:val="19"/>
                <w:color w:val="auto"/>
              </w:rPr>
            </w:pPr>
          </w:p>
        </w:tc>
      </w:tr>
      <w:tr>
        <w:trPr>
          <w:trHeight w:val="223"/>
        </w:trPr>
        <w:tc>
          <w:tcPr>
            <w:tcW w:w="1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Address:</w:t>
            </w:r>
          </w:p>
        </w:tc>
        <w:tc>
          <w:tcPr>
            <w:tcW w:w="8500" w:type="dxa"/>
            <w:vAlign w:val="bottom"/>
          </w:tcPr>
          <w:p>
            <w:pPr>
              <w:jc w:val="right"/>
              <w:ind w:right="7641"/>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1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Attention:</w:t>
            </w:r>
          </w:p>
        </w:tc>
        <w:tc>
          <w:tcPr>
            <w:tcW w:w="8500" w:type="dxa"/>
            <w:vAlign w:val="bottom"/>
          </w:tcPr>
          <w:p>
            <w:pPr>
              <w:ind w:left="460"/>
              <w:spacing w:after="0" w:line="223" w:lineRule="exact"/>
              <w:rPr>
                <w:sz w:val="20"/>
                <w:szCs w:val="20"/>
                <w:color w:val="auto"/>
              </w:rPr>
            </w:pPr>
            <w:r>
              <w:rPr>
                <w:rFonts w:ascii="Times New Roman" w:cs="Times New Roman" w:eastAsia="Times New Roman" w:hAnsi="Times New Roman"/>
                <w:sz w:val="20"/>
                <w:szCs w:val="20"/>
                <w:color w:val="auto"/>
              </w:rPr>
              <w:t>YIN Wu</w:t>
            </w:r>
          </w:p>
        </w:tc>
      </w:tr>
      <w:tr>
        <w:trPr>
          <w:trHeight w:val="223"/>
        </w:trPr>
        <w:tc>
          <w:tcPr>
            <w:tcW w:w="1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Tel:</w:t>
            </w:r>
          </w:p>
        </w:tc>
        <w:tc>
          <w:tcPr>
            <w:tcW w:w="8500" w:type="dxa"/>
            <w:vAlign w:val="bottom"/>
          </w:tcPr>
          <w:p>
            <w:pPr>
              <w:jc w:val="right"/>
              <w:ind w:right="7641"/>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Email:</w:t>
            </w:r>
          </w:p>
        </w:tc>
        <w:tc>
          <w:tcPr>
            <w:tcW w:w="8500" w:type="dxa"/>
            <w:vAlign w:val="bottom"/>
          </w:tcPr>
          <w:p>
            <w:pPr>
              <w:jc w:val="right"/>
              <w:ind w:right="7641"/>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-2822575</wp:posOffset>
            </wp:positionV>
            <wp:extent cx="44450" cy="946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5">
                      <a:extLst>
                        <a:ext uri="{28A0092B-C50C-407E-A947-70E740481C1C}"/>
                      </a:extLst>
                    </a:blip>
                    <a:srcRect/>
                    <a:stretch>
                      <a:fillRect/>
                    </a:stretch>
                  </pic:blipFill>
                  <pic:spPr bwMode="auto">
                    <a:xfrm>
                      <a:off x="0" y="0"/>
                      <a:ext cx="44450" cy="9461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Industry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Fund:</w:t>
      </w:r>
    </w:p>
    <w:p>
      <w:pPr>
        <w:spacing w:after="0" w:line="232" w:lineRule="auto"/>
        <w:tabs>
          <w:tab w:leader="none" w:pos="188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20"/>
          <w:szCs w:val="20"/>
          <w:color w:val="auto"/>
        </w:rPr>
        <w:t>***</w:t>
      </w:r>
    </w:p>
    <w:p>
      <w:pPr>
        <w:spacing w:after="0" w:line="232" w:lineRule="auto"/>
        <w:tabs>
          <w:tab w:leader="none" w:pos="18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LIU Yaqin</w:t>
      </w:r>
    </w:p>
    <w:p>
      <w:pPr>
        <w:spacing w:after="0" w:line="233" w:lineRule="auto"/>
        <w:tabs>
          <w:tab w:leader="none" w:pos="1880" w:val="left"/>
        </w:tabs>
        <w:rPr>
          <w:sz w:val="20"/>
          <w:szCs w:val="20"/>
          <w:color w:val="auto"/>
        </w:rPr>
      </w:pPr>
      <w:r>
        <w:rPr>
          <w:rFonts w:ascii="Times New Roman" w:cs="Times New Roman" w:eastAsia="Times New Roman" w:hAnsi="Times New Roman"/>
          <w:sz w:val="20"/>
          <w:szCs w:val="20"/>
          <w:color w:val="auto"/>
        </w:rPr>
        <w:t>Tel:</w:t>
      </w:r>
      <w:r>
        <w:rPr>
          <w:sz w:val="20"/>
          <w:szCs w:val="20"/>
          <w:color w:val="auto"/>
        </w:rPr>
        <w:tab/>
      </w:r>
      <w:r>
        <w:rPr>
          <w:rFonts w:ascii="Times New Roman" w:cs="Times New Roman" w:eastAsia="Times New Roman" w:hAnsi="Times New Roman"/>
          <w:sz w:val="20"/>
          <w:szCs w:val="20"/>
          <w:color w:val="auto"/>
        </w:rPr>
        <w:t>***</w:t>
      </w: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Hefei Haiheng:</w:t>
      </w:r>
    </w:p>
    <w:p>
      <w:pPr>
        <w:spacing w:after="0" w:line="12"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20"/>
          <w:szCs w:val="20"/>
          <w:color w:val="auto"/>
        </w:rPr>
        <w:t>***</w:t>
      </w:r>
    </w:p>
    <w:p>
      <w:pPr>
        <w:spacing w:after="0" w:line="232" w:lineRule="auto"/>
        <w:tabs>
          <w:tab w:leader="none" w:pos="18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XU Meng</w:t>
      </w:r>
    </w:p>
    <w:p>
      <w:pPr>
        <w:spacing w:after="0" w:line="232" w:lineRule="auto"/>
        <w:tabs>
          <w:tab w:leader="none" w:pos="1880" w:val="left"/>
        </w:tabs>
        <w:rPr>
          <w:sz w:val="20"/>
          <w:szCs w:val="20"/>
          <w:color w:val="auto"/>
        </w:rPr>
      </w:pPr>
      <w:r>
        <w:rPr>
          <w:rFonts w:ascii="Times New Roman" w:cs="Times New Roman" w:eastAsia="Times New Roman" w:hAnsi="Times New Roman"/>
          <w:sz w:val="20"/>
          <w:szCs w:val="20"/>
          <w:color w:val="auto"/>
        </w:rPr>
        <w:t>Tel:</w:t>
      </w:r>
      <w:r>
        <w:rPr>
          <w:sz w:val="20"/>
          <w:szCs w:val="20"/>
          <w:color w:val="auto"/>
        </w:rPr>
        <w:tab/>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Harmonious Fund:</w:t>
      </w:r>
    </w:p>
    <w:p>
      <w:pPr>
        <w:spacing w:after="0" w:line="12"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20"/>
          <w:szCs w:val="20"/>
          <w:color w:val="auto"/>
        </w:rPr>
        <w:t>***</w:t>
      </w:r>
    </w:p>
    <w:p>
      <w:pPr>
        <w:spacing w:after="0" w:line="232" w:lineRule="auto"/>
        <w:tabs>
          <w:tab w:leader="none" w:pos="18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LI Jing</w:t>
      </w:r>
    </w:p>
    <w:p>
      <w:pPr>
        <w:spacing w:after="0" w:line="232" w:lineRule="auto"/>
        <w:tabs>
          <w:tab w:leader="none" w:pos="1880" w:val="left"/>
        </w:tabs>
        <w:rPr>
          <w:sz w:val="20"/>
          <w:szCs w:val="20"/>
          <w:color w:val="auto"/>
        </w:rPr>
      </w:pPr>
      <w:r>
        <w:rPr>
          <w:rFonts w:ascii="Times New Roman" w:cs="Times New Roman" w:eastAsia="Times New Roman" w:hAnsi="Times New Roman"/>
          <w:sz w:val="20"/>
          <w:szCs w:val="20"/>
          <w:color w:val="auto"/>
        </w:rPr>
        <w:t>Tel:</w:t>
      </w:r>
      <w:r>
        <w:rPr>
          <w:sz w:val="20"/>
          <w:szCs w:val="20"/>
          <w:color w:val="auto"/>
        </w:rPr>
        <w:tab/>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158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40"/>
          </w:cols>
          <w:pgMar w:left="980" w:top="609" w:right="979" w:bottom="1440" w:gutter="0" w:footer="0" w:header="0"/>
        </w:sectPr>
      </w:pPr>
    </w:p>
    <w:bookmarkStart w:id="331" w:name="page332"/>
    <w:bookmarkEnd w:id="331"/>
    <w:p>
      <w:pPr>
        <w:jc w:val="right"/>
        <w:ind w:right="2759"/>
        <w:spacing w:after="0"/>
        <w:rPr>
          <w:sz w:val="20"/>
          <w:szCs w:val="20"/>
          <w:color w:val="auto"/>
        </w:rPr>
      </w:pPr>
      <w:r>
        <w:rPr>
          <w:rFonts w:ascii="Times New Roman" w:cs="Times New Roman" w:eastAsia="Times New Roman" w:hAnsi="Times New Roman"/>
          <w:sz w:val="19"/>
          <w:szCs w:val="19"/>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31063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ectPr>
          <w:pgSz w:w="11900" w:h="16838" w:orient="portrait"/>
          <w:cols w:equalWidth="0" w:num="1">
            <w:col w:w="9479"/>
          </w:cols>
          <w:pgMar w:left="980" w:top="609" w:right="1440"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OmniVision</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sectPr>
          <w:pgSz w:w="11900" w:h="16838" w:orient="portrait"/>
          <w:cols w:equalWidth="0" w:num="2">
            <w:col w:w="1020" w:space="720"/>
            <w:col w:w="7739"/>
          </w:cols>
          <w:pgMar w:left="980" w:top="60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Group:</w:t>
      </w:r>
    </w:p>
    <w:p>
      <w:pPr>
        <w:sectPr>
          <w:pgSz w:w="11900" w:h="16838" w:orient="portrait"/>
          <w:cols w:equalWidth="0" w:num="1">
            <w:col w:w="9479"/>
          </w:cols>
          <w:pgMar w:left="980" w:top="609" w:right="1440" w:bottom="1440" w:gutter="0" w:footer="0" w:header="0"/>
          <w:type w:val="continuous"/>
        </w:sectPr>
      </w:pPr>
    </w:p>
    <w:p>
      <w:pPr>
        <w:spacing w:after="0" w:line="222" w:lineRule="auto"/>
        <w:rPr>
          <w:sz w:val="20"/>
          <w:szCs w:val="20"/>
          <w:color w:val="auto"/>
        </w:rPr>
      </w:pPr>
      <w:r>
        <w:rPr>
          <w:rFonts w:ascii="Times New Roman" w:cs="Times New Roman" w:eastAsia="Times New Roman" w:hAnsi="Times New Roman"/>
          <w:sz w:val="20"/>
          <w:szCs w:val="20"/>
          <w:color w:val="auto"/>
        </w:rPr>
        <w:t>Address: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w:t>
      </w:r>
    </w:p>
    <w:p>
      <w:pPr>
        <w:spacing w:after="0" w:line="236" w:lineRule="auto"/>
        <w:rPr>
          <w:sz w:val="20"/>
          <w:szCs w:val="20"/>
          <w:color w:val="auto"/>
        </w:rPr>
      </w:pPr>
      <w:r>
        <w:rPr>
          <w:rFonts w:ascii="Times New Roman" w:cs="Times New Roman" w:eastAsia="Times New Roman" w:hAnsi="Times New Roman"/>
          <w:sz w:val="20"/>
          <w:szCs w:val="20"/>
          <w:color w:val="auto"/>
        </w:rPr>
        <w:t>Tel: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br w:type="column"/>
      </w:r>
    </w:p>
    <w:p>
      <w:pPr>
        <w:spacing w:after="0" w:line="222" w:lineRule="auto"/>
        <w:rPr>
          <w:sz w:val="20"/>
          <w:szCs w:val="20"/>
          <w:color w:val="auto"/>
        </w:rPr>
      </w:pP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XU Xing</w:t>
      </w:r>
    </w:p>
    <w:p>
      <w:pPr>
        <w:spacing w:after="0" w:line="236" w:lineRule="auto"/>
        <w:rPr>
          <w:sz w:val="20"/>
          <w:szCs w:val="20"/>
          <w:color w:val="auto"/>
        </w:rPr>
      </w:pP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ectPr>
          <w:pgSz w:w="11900" w:h="16838" w:orient="portrait"/>
          <w:cols w:equalWidth="0" w:num="2">
            <w:col w:w="1180" w:space="720"/>
            <w:col w:w="7579"/>
          </w:cols>
          <w:pgMar w:left="980" w:top="609" w:right="1440" w:bottom="1440" w:gutter="0" w:footer="0" w:header="0"/>
          <w:type w:val="continuous"/>
        </w:sectPr>
      </w:pPr>
    </w:p>
    <w:p>
      <w:pPr>
        <w:spacing w:after="0" w:line="2"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w w:val="99"/>
        </w:rPr>
        <w:t>Shanghai Keshi</w:t>
      </w:r>
      <w:r>
        <w:rPr>
          <w:rFonts w:ascii="MS PGothic" w:cs="MS PGothic" w:eastAsia="MS PGothic" w:hAnsi="MS PGothic"/>
          <w:sz w:val="20"/>
          <w:szCs w:val="20"/>
          <w:color w:val="auto"/>
          <w:w w:val="9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-98425</wp:posOffset>
            </wp:positionV>
            <wp:extent cx="44450" cy="946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8">
                      <a:extLst>
                        <a:ext uri="{28A0092B-C50C-407E-A947-70E740481C1C}"/>
                      </a:extLst>
                    </a:blip>
                    <a:srcRect/>
                    <a:stretch>
                      <a:fillRect/>
                    </a:stretch>
                  </pic:blipFill>
                  <pic:spPr bwMode="auto">
                    <a:xfrm>
                      <a:off x="0" y="0"/>
                      <a:ext cx="44450" cy="946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36" w:lineRule="auto"/>
        <w:rPr>
          <w:sz w:val="20"/>
          <w:szCs w:val="20"/>
          <w:color w:val="auto"/>
        </w:rPr>
      </w:pPr>
      <w:r>
        <w:rPr>
          <w:rFonts w:ascii="Times New Roman" w:cs="Times New Roman" w:eastAsia="Times New Roman" w:hAnsi="Times New Roman"/>
          <w:sz w:val="20"/>
          <w:szCs w:val="20"/>
          <w:color w:val="auto"/>
        </w:rPr>
        <w:t>Attention:</w:t>
      </w:r>
    </w:p>
    <w:p>
      <w:pPr>
        <w:spacing w:after="0" w:line="233" w:lineRule="auto"/>
        <w:rPr>
          <w:sz w:val="20"/>
          <w:szCs w:val="20"/>
          <w:color w:val="auto"/>
        </w:rPr>
      </w:pPr>
      <w:r>
        <w:rPr>
          <w:rFonts w:ascii="Times New Roman" w:cs="Times New Roman" w:eastAsia="Times New Roman" w:hAnsi="Times New Roman"/>
          <w:sz w:val="20"/>
          <w:szCs w:val="20"/>
          <w:color w:val="auto"/>
        </w:rPr>
        <w:t>Tel:</w:t>
      </w: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GUO Kun</w:t>
      </w:r>
    </w:p>
    <w:p>
      <w:pPr>
        <w:spacing w:after="0" w:line="236" w:lineRule="auto"/>
        <w:rPr>
          <w:sz w:val="20"/>
          <w:szCs w:val="20"/>
          <w:color w:val="auto"/>
        </w:rPr>
      </w:pP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0" w:lineRule="exact"/>
        <w:rPr>
          <w:sz w:val="20"/>
          <w:szCs w:val="20"/>
          <w:color w:val="auto"/>
        </w:rPr>
      </w:pPr>
    </w:p>
    <w:p>
      <w:pPr>
        <w:sectPr>
          <w:pgSz w:w="11900" w:h="16838" w:orient="portrait"/>
          <w:cols w:equalWidth="0" w:num="2">
            <w:col w:w="1520" w:space="380"/>
            <w:col w:w="7579"/>
          </w:cols>
          <w:pgMar w:left="980" w:top="60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Zhongxin Juyuan: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32" w:lineRule="auto"/>
        <w:rPr>
          <w:sz w:val="20"/>
          <w:szCs w:val="20"/>
          <w:color w:val="auto"/>
        </w:rPr>
      </w:pPr>
      <w:r>
        <w:rPr>
          <w:rFonts w:ascii="Times New Roman" w:cs="Times New Roman" w:eastAsia="Times New Roman" w:hAnsi="Times New Roman"/>
          <w:sz w:val="20"/>
          <w:szCs w:val="20"/>
          <w:color w:val="auto"/>
        </w:rPr>
        <w:t>Attention:</w:t>
      </w:r>
    </w:p>
    <w:p>
      <w:pPr>
        <w:spacing w:after="0" w:line="232" w:lineRule="auto"/>
        <w:rPr>
          <w:sz w:val="20"/>
          <w:szCs w:val="20"/>
          <w:color w:val="auto"/>
        </w:rPr>
      </w:pPr>
      <w:r>
        <w:rPr>
          <w:rFonts w:ascii="Times New Roman" w:cs="Times New Roman" w:eastAsia="Times New Roman" w:hAnsi="Times New Roman"/>
          <w:sz w:val="20"/>
          <w:szCs w:val="20"/>
          <w:color w:val="auto"/>
        </w:rPr>
        <w:t>Tel: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 Qiangqiang</w:t>
      </w:r>
    </w:p>
    <w:p>
      <w:pPr>
        <w:spacing w:after="0" w:line="236" w:lineRule="auto"/>
        <w:rPr>
          <w:sz w:val="20"/>
          <w:szCs w:val="20"/>
          <w:color w:val="auto"/>
        </w:rPr>
      </w:pP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ectPr>
          <w:pgSz w:w="11900" w:h="16838" w:orient="portrait"/>
          <w:cols w:equalWidth="0" w:num="2">
            <w:col w:w="1560" w:space="340"/>
            <w:col w:w="7579"/>
          </w:cols>
          <w:pgMar w:left="980" w:top="609" w:right="1440" w:bottom="1440" w:gutter="0" w:footer="0" w:header="0"/>
          <w:type w:val="continuous"/>
        </w:sectPr>
      </w:pPr>
    </w:p>
    <w:p>
      <w:pPr>
        <w:spacing w:after="0" w:line="2"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w w:val="99"/>
        </w:rPr>
        <w:t>Anhui Guokong</w:t>
      </w:r>
      <w:r>
        <w:rPr>
          <w:rFonts w:ascii="MS PGothic" w:cs="MS PGothic" w:eastAsia="MS PGothic" w:hAnsi="MS PGothic"/>
          <w:sz w:val="20"/>
          <w:szCs w:val="20"/>
          <w:color w:val="auto"/>
          <w:w w:val="9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-98425</wp:posOffset>
            </wp:positionV>
            <wp:extent cx="44450" cy="946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9">
                      <a:extLst>
                        <a:ext uri="{28A0092B-C50C-407E-A947-70E740481C1C}"/>
                      </a:extLst>
                    </a:blip>
                    <a:srcRect/>
                    <a:stretch>
                      <a:fillRect/>
                    </a:stretch>
                  </pic:blipFill>
                  <pic:spPr bwMode="auto">
                    <a:xfrm>
                      <a:off x="0" y="0"/>
                      <a:ext cx="44450" cy="946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36" w:lineRule="auto"/>
        <w:rPr>
          <w:sz w:val="20"/>
          <w:szCs w:val="20"/>
          <w:color w:val="auto"/>
        </w:rPr>
      </w:pPr>
      <w:r>
        <w:rPr>
          <w:rFonts w:ascii="Times New Roman" w:cs="Times New Roman" w:eastAsia="Times New Roman" w:hAnsi="Times New Roman"/>
          <w:sz w:val="20"/>
          <w:szCs w:val="20"/>
          <w:color w:val="auto"/>
        </w:rPr>
        <w:t>Attention:</w:t>
      </w:r>
    </w:p>
    <w:p>
      <w:pPr>
        <w:spacing w:after="0" w:line="233" w:lineRule="auto"/>
        <w:rPr>
          <w:sz w:val="20"/>
          <w:szCs w:val="20"/>
          <w:color w:val="auto"/>
        </w:rPr>
      </w:pPr>
      <w:r>
        <w:rPr>
          <w:rFonts w:ascii="Times New Roman" w:cs="Times New Roman" w:eastAsia="Times New Roman" w:hAnsi="Times New Roman"/>
          <w:sz w:val="20"/>
          <w:szCs w:val="20"/>
          <w:color w:val="auto"/>
        </w:rPr>
        <w:t>Tel:</w:t>
      </w: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 Danyang</w:t>
      </w:r>
    </w:p>
    <w:p>
      <w:pPr>
        <w:spacing w:after="0" w:line="236" w:lineRule="auto"/>
        <w:rPr>
          <w:sz w:val="20"/>
          <w:szCs w:val="20"/>
          <w:color w:val="auto"/>
        </w:rPr>
      </w:pP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0" w:lineRule="exact"/>
        <w:rPr>
          <w:sz w:val="20"/>
          <w:szCs w:val="20"/>
          <w:color w:val="auto"/>
        </w:rPr>
      </w:pPr>
    </w:p>
    <w:p>
      <w:pPr>
        <w:sectPr>
          <w:pgSz w:w="11900" w:h="16838" w:orient="portrait"/>
          <w:cols w:equalWidth="0" w:num="2">
            <w:col w:w="1560" w:space="340"/>
            <w:col w:w="7579"/>
          </w:cols>
          <w:pgMar w:left="980" w:top="60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Yuanhe Puhua: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32" w:lineRule="auto"/>
        <w:rPr>
          <w:sz w:val="20"/>
          <w:szCs w:val="20"/>
          <w:color w:val="auto"/>
        </w:rPr>
      </w:pPr>
      <w:r>
        <w:rPr>
          <w:rFonts w:ascii="Times New Roman" w:cs="Times New Roman" w:eastAsia="Times New Roman" w:hAnsi="Times New Roman"/>
          <w:sz w:val="20"/>
          <w:szCs w:val="20"/>
          <w:color w:val="auto"/>
        </w:rPr>
        <w:t>Attention:</w:t>
      </w:r>
    </w:p>
    <w:p>
      <w:pPr>
        <w:spacing w:after="0" w:line="232" w:lineRule="auto"/>
        <w:rPr>
          <w:sz w:val="20"/>
          <w:szCs w:val="20"/>
          <w:color w:val="auto"/>
        </w:rPr>
      </w:pPr>
      <w:r>
        <w:rPr>
          <w:rFonts w:ascii="Times New Roman" w:cs="Times New Roman" w:eastAsia="Times New Roman" w:hAnsi="Times New Roman"/>
          <w:sz w:val="20"/>
          <w:szCs w:val="20"/>
          <w:color w:val="auto"/>
        </w:rPr>
        <w:t>Tel: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CAO Xianda</w:t>
      </w:r>
    </w:p>
    <w:p>
      <w:pPr>
        <w:spacing w:after="0" w:line="236" w:lineRule="auto"/>
        <w:rPr>
          <w:sz w:val="20"/>
          <w:szCs w:val="20"/>
          <w:color w:val="auto"/>
        </w:rPr>
      </w:pP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0" w:lineRule="exact"/>
        <w:rPr>
          <w:sz w:val="20"/>
          <w:szCs w:val="20"/>
          <w:color w:val="auto"/>
        </w:rPr>
      </w:pPr>
    </w:p>
    <w:p>
      <w:pPr>
        <w:sectPr>
          <w:pgSz w:w="11900" w:h="16838" w:orient="portrait"/>
          <w:cols w:equalWidth="0" w:num="2">
            <w:col w:w="1300" w:space="600"/>
            <w:col w:w="7579"/>
          </w:cols>
          <w:pgMar w:left="980" w:top="60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Hefei Weilai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w:t>
      </w:r>
    </w:p>
    <w:p>
      <w:pPr>
        <w:spacing w:after="0" w:line="232" w:lineRule="auto"/>
        <w:rPr>
          <w:sz w:val="20"/>
          <w:szCs w:val="20"/>
          <w:color w:val="auto"/>
        </w:rPr>
      </w:pPr>
      <w:r>
        <w:rPr>
          <w:rFonts w:ascii="Times New Roman" w:cs="Times New Roman" w:eastAsia="Times New Roman" w:hAnsi="Times New Roman"/>
          <w:sz w:val="20"/>
          <w:szCs w:val="20"/>
          <w:color w:val="auto"/>
        </w:rPr>
        <w:t>Address:</w:t>
      </w:r>
    </w:p>
    <w:p>
      <w:pPr>
        <w:spacing w:after="0" w:line="232" w:lineRule="auto"/>
        <w:rPr>
          <w:sz w:val="20"/>
          <w:szCs w:val="20"/>
          <w:color w:val="auto"/>
        </w:rPr>
      </w:pPr>
      <w:r>
        <w:rPr>
          <w:rFonts w:ascii="Times New Roman" w:cs="Times New Roman" w:eastAsia="Times New Roman" w:hAnsi="Times New Roman"/>
          <w:sz w:val="20"/>
          <w:szCs w:val="20"/>
          <w:color w:val="auto"/>
        </w:rPr>
        <w:t>Attention:</w:t>
      </w:r>
    </w:p>
    <w:p>
      <w:pPr>
        <w:spacing w:after="0" w:line="233" w:lineRule="auto"/>
        <w:rPr>
          <w:sz w:val="20"/>
          <w:szCs w:val="20"/>
          <w:color w:val="auto"/>
        </w:rPr>
      </w:pPr>
      <w:r>
        <w:rPr>
          <w:rFonts w:ascii="Times New Roman" w:cs="Times New Roman" w:eastAsia="Times New Roman" w:hAnsi="Times New Roman"/>
          <w:sz w:val="20"/>
          <w:szCs w:val="20"/>
          <w:color w:val="auto"/>
        </w:rPr>
        <w:t>Tel:</w:t>
      </w: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LV Yuanxing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line="190" w:lineRule="exact"/>
        <w:rPr>
          <w:sz w:val="20"/>
          <w:szCs w:val="20"/>
          <w:color w:val="auto"/>
        </w:rPr>
      </w:pPr>
    </w:p>
    <w:p>
      <w:pPr>
        <w:sectPr>
          <w:pgSz w:w="11900" w:h="16838" w:orient="portrait"/>
          <w:cols w:equalWidth="0" w:num="2">
            <w:col w:w="1180" w:space="720"/>
            <w:col w:w="7579"/>
          </w:cols>
          <w:pgMar w:left="980" w:top="60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Jianxin Equity: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32" w:lineRule="auto"/>
        <w:rPr>
          <w:sz w:val="20"/>
          <w:szCs w:val="20"/>
          <w:color w:val="auto"/>
        </w:rPr>
      </w:pPr>
      <w:r>
        <w:rPr>
          <w:rFonts w:ascii="Times New Roman" w:cs="Times New Roman" w:eastAsia="Times New Roman" w:hAnsi="Times New Roman"/>
          <w:sz w:val="20"/>
          <w:szCs w:val="20"/>
          <w:color w:val="auto"/>
        </w:rPr>
        <w:t>Attention:</w:t>
      </w:r>
    </w:p>
    <w:p>
      <w:pPr>
        <w:spacing w:after="0"/>
        <w:rPr>
          <w:sz w:val="20"/>
          <w:szCs w:val="20"/>
          <w:color w:val="auto"/>
        </w:rPr>
      </w:pPr>
      <w:r>
        <w:rPr>
          <w:rFonts w:ascii="Times New Roman" w:cs="Times New Roman" w:eastAsia="Times New Roman" w:hAnsi="Times New Roman"/>
          <w:sz w:val="20"/>
          <w:szCs w:val="20"/>
          <w:color w:val="auto"/>
        </w:rPr>
        <w:t>Tel: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YANG Ming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ectPr>
          <w:pgSz w:w="11900" w:h="16838" w:orient="portrait"/>
          <w:cols w:equalWidth="0" w:num="2">
            <w:col w:w="1320" w:space="580"/>
            <w:col w:w="7579"/>
          </w:cols>
          <w:pgMar w:left="980" w:top="609" w:right="1440"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158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0">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479"/>
          </w:cols>
          <w:pgMar w:left="980" w:top="609" w:right="1440" w:bottom="1440" w:gutter="0" w:footer="0" w:header="0"/>
          <w:type w:val="continuous"/>
        </w:sectPr>
      </w:pPr>
    </w:p>
    <w:bookmarkStart w:id="332" w:name="page333"/>
    <w:bookmarkEnd w:id="332"/>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 ***</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Oriza Holdings:</w:t>
      </w:r>
    </w:p>
    <w:p>
      <w:pPr>
        <w:spacing w:after="0" w:line="1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20"/>
          <w:szCs w:val="20"/>
          <w:color w:val="auto"/>
        </w:rPr>
        <w:t>***</w:t>
      </w:r>
    </w:p>
    <w:p>
      <w:pPr>
        <w:spacing w:after="0" w:line="232" w:lineRule="auto"/>
        <w:tabs>
          <w:tab w:leader="none" w:pos="194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Tang Bin</w:t>
      </w:r>
    </w:p>
    <w:p>
      <w:pPr>
        <w:spacing w:after="0" w:line="232" w:lineRule="auto"/>
        <w:tabs>
          <w:tab w:leader="none" w:pos="1940" w:val="left"/>
        </w:tabs>
        <w:rPr>
          <w:sz w:val="20"/>
          <w:szCs w:val="20"/>
          <w:color w:val="auto"/>
        </w:rPr>
      </w:pPr>
      <w:r>
        <w:rPr>
          <w:rFonts w:ascii="Times New Roman" w:cs="Times New Roman" w:eastAsia="Times New Roman" w:hAnsi="Times New Roman"/>
          <w:sz w:val="20"/>
          <w:szCs w:val="20"/>
          <w:color w:val="auto"/>
        </w:rPr>
        <w:t>Tel:</w:t>
      </w:r>
      <w:r>
        <w:rPr>
          <w:sz w:val="20"/>
          <w:szCs w:val="20"/>
          <w:color w:val="auto"/>
        </w:rPr>
        <w:tab/>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Each notice, demand, or other communication given or served in accordance with the provisions of this Section 10 shall be deemed to have been duly served: (i) if sent by registered or certified mail, on the third (3rd) Business Day after the date when the relevant notice, demand, or communication addressed to the receiving Party at the above-mentioned address is deposited in the mail and a receipt therefor is obtained from the post office; (ii) if sent by courier or delivered by hand, at the time when the relevant notice, demand, or communication is delivered to the above-mentioned address of the receiving Party; and (iii) if sent by email, at the time when the relevant notice, demand, or communication is transmitted to the above-mentioned email address of the receiving Party (provided that the sender does not receive a notification of failed delivery).</w:t>
      </w:r>
    </w:p>
    <w:p>
      <w:pPr>
        <w:spacing w:after="0" w:line="110" w:lineRule="exact"/>
        <w:rPr>
          <w:sz w:val="20"/>
          <w:szCs w:val="20"/>
          <w:color w:val="auto"/>
        </w:rPr>
      </w:pPr>
    </w:p>
    <w:p>
      <w:pPr>
        <w:jc w:val="center"/>
        <w:ind w:left="2400"/>
        <w:spacing w:after="0"/>
        <w:tabs>
          <w:tab w:leader="none" w:pos="40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0"/>
          <w:szCs w:val="20"/>
          <w:b w:val="1"/>
          <w:bCs w:val="1"/>
          <w:color w:val="auto"/>
        </w:rPr>
        <w:t>GOVERNING LAW AND DISPUTE RESOLUTION</w:t>
      </w:r>
    </w:p>
    <w:p>
      <w:pPr>
        <w:spacing w:after="0" w:line="1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Governing Law</w:t>
      </w:r>
    </w:p>
    <w:p>
      <w:pPr>
        <w:spacing w:after="0" w:line="15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This Agreement shall be governed by the Laws of the People’s Republic of China (for the purpose of this Agreement, excluding the Laws of the Hong Kong Special Administrative Region, the Macao Special Administrative Region, and the Taiwan Region).</w:t>
      </w:r>
    </w:p>
    <w:p>
      <w:pPr>
        <w:spacing w:after="0" w:line="13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color w:val="auto"/>
        </w:rPr>
        <w:t>Arbitration</w:t>
      </w:r>
    </w:p>
    <w:p>
      <w:pPr>
        <w:spacing w:after="0" w:line="15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Any dispute arising out of or in connection with this Agreement shall be submitted to the Hefei Arbitration Commission for arbitration. The place of arbitration shall be Hefei. The arbitral award shall be final and binding upon all Parties. The arbitration fees shall be borne by the losing party.</w:t>
      </w:r>
    </w:p>
    <w:p>
      <w:pPr>
        <w:spacing w:after="0" w:line="11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Continuing Rights and Obligations</w:t>
      </w:r>
    </w:p>
    <w:p>
      <w:pPr>
        <w:spacing w:after="0" w:line="15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Upon occurrence of any dispute and during the arbitration of any dispute, except for the disputed matters, the Parties may continue to exercise their respective other rights and perform their respective other obligations under this Agreement.</w:t>
      </w:r>
    </w:p>
    <w:p>
      <w:pPr>
        <w:spacing w:after="0" w:line="115" w:lineRule="exact"/>
        <w:rPr>
          <w:sz w:val="20"/>
          <w:szCs w:val="20"/>
          <w:color w:val="auto"/>
        </w:rPr>
      </w:pPr>
    </w:p>
    <w:p>
      <w:pPr>
        <w:jc w:val="center"/>
        <w:ind w:left="3780"/>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0"/>
          <w:szCs w:val="20"/>
          <w:b w:val="1"/>
          <w:bCs w:val="1"/>
          <w:color w:val="auto"/>
        </w:rPr>
        <w:t>FORCE MAJEURE</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Force Majeure Event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 Force Majeure Event means any act or event that is unforeseeable, unavoidable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33" w:name="page334"/>
    <w:bookmarkEnd w:id="333"/>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600"/>
        <w:spacing w:after="0" w:line="239" w:lineRule="auto"/>
        <w:rPr>
          <w:sz w:val="20"/>
          <w:szCs w:val="20"/>
          <w:color w:val="auto"/>
        </w:rPr>
      </w:pPr>
      <w:r>
        <w:rPr>
          <w:rFonts w:ascii="Times New Roman" w:cs="Times New Roman" w:eastAsia="Times New Roman" w:hAnsi="Times New Roman"/>
          <w:sz w:val="20"/>
          <w:szCs w:val="20"/>
          <w:color w:val="auto"/>
        </w:rPr>
        <w:t>within a reasonable scope, and beyond the control of the affected Party, including but not limited to earthquake, typhoon, flood, tsunami, lightning, fire, plague, epidemic, war, terrorism, hostile acts, riot, strike, traffic interruption, interruption of major services, severe deterioration of economic conditions, or any other unforeseeable or unavoidable act or event recognized as force majeure under international business practices (any of the foregoing events being referred to as a “</w:t>
      </w:r>
      <w:r>
        <w:rPr>
          <w:rFonts w:ascii="Times New Roman" w:cs="Times New Roman" w:eastAsia="Times New Roman" w:hAnsi="Times New Roman"/>
          <w:sz w:val="20"/>
          <w:szCs w:val="20"/>
          <w:b w:val="1"/>
          <w:bCs w:val="1"/>
          <w:color w:val="auto"/>
        </w:rPr>
        <w:t>Force Majeure Event</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color w:val="auto"/>
        </w:rPr>
        <w:t>Occurrence of Force Majeure Event</w:t>
      </w:r>
    </w:p>
    <w:p>
      <w:pPr>
        <w:spacing w:after="0" w:line="154"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9"/>
          <w:szCs w:val="19"/>
          <w:color w:val="auto"/>
        </w:rPr>
        <w:t>If a Party is delayed in performing or fails to fully perform its obligations under this Agreement due to the occurrence of a Force Majeure Event, such Party shall not be deemed in breach of this Agreement; provided that such Party shall, immediately after becoming aware of being affected by the Force Majeure Event, notify the other Parties of such Force Majeure Event, and within thirty (30) days after notifying the other Parties, provide details of the event, the reasons for its inability to fully perform or delay in performing this Agreement, and the remedial measures it has taken or will take. The Parties shall consult with each other to decide whether to terminate or amend this Agreement based on the extent of the impact of such Force Majeure Event on the performance of this Agreement.</w:t>
      </w:r>
    </w:p>
    <w:p>
      <w:pPr>
        <w:spacing w:after="0" w:line="11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color w:val="auto"/>
        </w:rPr>
        <w:t>Exemption from Liability</w:t>
      </w:r>
    </w:p>
    <w:p>
      <w:pPr>
        <w:spacing w:after="0" w:line="154" w:lineRule="exact"/>
        <w:rPr>
          <w:sz w:val="20"/>
          <w:szCs w:val="20"/>
          <w:color w:val="auto"/>
        </w:rPr>
      </w:pPr>
    </w:p>
    <w:p>
      <w:pPr>
        <w:jc w:val="both"/>
        <w:ind w:left="600"/>
        <w:spacing w:after="0" w:line="238" w:lineRule="auto"/>
        <w:rPr>
          <w:sz w:val="20"/>
          <w:szCs w:val="20"/>
          <w:color w:val="auto"/>
        </w:rPr>
      </w:pPr>
      <w:r>
        <w:rPr>
          <w:rFonts w:ascii="Times New Roman" w:cs="Times New Roman" w:eastAsia="Times New Roman" w:hAnsi="Times New Roman"/>
          <w:sz w:val="20"/>
          <w:szCs w:val="20"/>
          <w:color w:val="auto"/>
        </w:rPr>
        <w:t>If a Force Majeure Event occurs, to the extent affected by the Force Majeure Event, no Party shall bear any liability for any damages, increased costs, or losses that any other Party may suffer due to the failure to perform or delay in performing any of its obligations under this Agreement, and such failure to perform or delay in performance shall not be deemed a breach of this Agreement. The Party claiming the occurrence of a Force Majeure Event shall take appropriate measures to reduce or eliminate the impact of the Force Majeure Event and shall endeavor to resume performance of the obligations affected by the Force Majeure Event within the shortest possible time.</w:t>
      </w:r>
    </w:p>
    <w:p>
      <w:pPr>
        <w:spacing w:after="0" w:line="14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color w:val="auto"/>
        </w:rPr>
        <w:t>Suspension of Performance</w:t>
      </w:r>
    </w:p>
    <w:p>
      <w:pPr>
        <w:spacing w:after="0" w:line="154" w:lineRule="exact"/>
        <w:rPr>
          <w:sz w:val="20"/>
          <w:szCs w:val="20"/>
          <w:color w:val="auto"/>
        </w:rPr>
      </w:pPr>
    </w:p>
    <w:p>
      <w:pPr>
        <w:jc w:val="both"/>
        <w:ind w:left="600"/>
        <w:spacing w:after="0" w:line="242" w:lineRule="auto"/>
        <w:rPr>
          <w:sz w:val="20"/>
          <w:szCs w:val="20"/>
          <w:color w:val="auto"/>
        </w:rPr>
      </w:pPr>
      <w:r>
        <w:rPr>
          <w:rFonts w:ascii="Times New Roman" w:cs="Times New Roman" w:eastAsia="Times New Roman" w:hAnsi="Times New Roman"/>
          <w:sz w:val="20"/>
          <w:szCs w:val="20"/>
          <w:color w:val="auto"/>
        </w:rPr>
        <w:t>The Party affected by the Force Majeure Event shall promptly notify the other Parties of the suspension of performance under this Agreement, stating the nature and cause of the suspension of performance, the remedial measures it has taken or will take, and the expected duration of the suspension. The affected Party shall resume performance of this Agreement as soon as reasonably possible.</w:t>
      </w:r>
    </w:p>
    <w:p>
      <w:pPr>
        <w:spacing w:after="0" w:line="120" w:lineRule="exact"/>
        <w:rPr>
          <w:sz w:val="20"/>
          <w:szCs w:val="20"/>
          <w:color w:val="auto"/>
        </w:rPr>
      </w:pPr>
    </w:p>
    <w:p>
      <w:pPr>
        <w:jc w:val="center"/>
        <w:ind w:left="3780"/>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20"/>
          <w:szCs w:val="20"/>
          <w:b w:val="1"/>
          <w:bCs w:val="1"/>
          <w:color w:val="auto"/>
        </w:rPr>
        <w:t>MISCELLANEOUS</w:t>
      </w:r>
    </w:p>
    <w:p>
      <w:pPr>
        <w:spacing w:after="0" w:line="1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Taxes and Expenses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34" w:name="page335"/>
    <w:bookmarkEnd w:id="334"/>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600"/>
        <w:spacing w:after="0" w:line="242" w:lineRule="auto"/>
        <w:rPr>
          <w:sz w:val="20"/>
          <w:szCs w:val="20"/>
          <w:color w:val="auto"/>
        </w:rPr>
      </w:pPr>
      <w:r>
        <w:rPr>
          <w:rFonts w:ascii="Times New Roman" w:cs="Times New Roman" w:eastAsia="Times New Roman" w:hAnsi="Times New Roman"/>
          <w:sz w:val="20"/>
          <w:szCs w:val="20"/>
          <w:color w:val="auto"/>
        </w:rPr>
        <w:t>Each Party shall bear all taxes payable by it in connection with the performance of this Agreement in accordance with the provisions of Applicable Laws. Regardless of whether the Transaction is completed, the expenses related to due diligence and the preparation, amendment, and execution of the Transaction Documents for the Transaction shall be borne by each Party respectively, unless otherwise agreed.</w:t>
      </w:r>
    </w:p>
    <w:p>
      <w:pPr>
        <w:spacing w:after="0" w:line="1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color w:val="auto"/>
        </w:rPr>
        <w:t>Assignment and Succession</w:t>
      </w:r>
    </w:p>
    <w:p>
      <w:pPr>
        <w:spacing w:after="0" w:line="154" w:lineRule="exact"/>
        <w:rPr>
          <w:sz w:val="20"/>
          <w:szCs w:val="20"/>
          <w:color w:val="auto"/>
        </w:rPr>
      </w:pPr>
    </w:p>
    <w:p>
      <w:pPr>
        <w:jc w:val="both"/>
        <w:ind w:left="1180" w:hanging="586"/>
        <w:spacing w:after="0" w:line="247" w:lineRule="auto"/>
        <w:tabs>
          <w:tab w:leader="none" w:pos="118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Investor shall have the right to assign its rights or obligations under this Agreement to its Affiliates after transferring all or part of its equity interests in the Target Company to such Affiliates in accordance with the Shareholders’ Agreement.</w:t>
      </w:r>
    </w:p>
    <w:p>
      <w:pPr>
        <w:spacing w:after="0" w:line="119"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this Agreement, no Party may assign its rights or obligations under this Agreement without the express prior written consent of the other Parties.</w:t>
      </w:r>
    </w:p>
    <w:p>
      <w:pPr>
        <w:spacing w:after="0" w:line="104" w:lineRule="exact"/>
        <w:rPr>
          <w:rFonts w:ascii="Times New Roman" w:cs="Times New Roman" w:eastAsia="Times New Roman" w:hAnsi="Times New Roman"/>
          <w:sz w:val="20"/>
          <w:szCs w:val="20"/>
          <w:color w:val="auto"/>
        </w:rPr>
      </w:pPr>
    </w:p>
    <w:p>
      <w:pPr>
        <w:jc w:val="both"/>
        <w:ind w:left="1180" w:hanging="586"/>
        <w:spacing w:after="0" w:line="242" w:lineRule="auto"/>
        <w:tabs>
          <w:tab w:leader="none" w:pos="118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Party assigning its rights or obligations under this Agreement shall ensure that its successor or assignee complies with and is subject to all representations, warranties, and covenants made by such Party under this Agreement and assumes all obligations of such Party under this Agreement; otherwise, no such assignment shall be permitted.</w:t>
      </w:r>
    </w:p>
    <w:p>
      <w:pPr>
        <w:spacing w:after="0" w:line="1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color w:val="auto"/>
        </w:rPr>
        <w:t>Waiver</w:t>
      </w:r>
    </w:p>
    <w:p>
      <w:pPr>
        <w:spacing w:after="0" w:line="154" w:lineRule="exact"/>
        <w:rPr>
          <w:sz w:val="20"/>
          <w:szCs w:val="20"/>
          <w:color w:val="auto"/>
        </w:rPr>
      </w:pPr>
    </w:p>
    <w:p>
      <w:pPr>
        <w:jc w:val="both"/>
        <w:ind w:left="600"/>
        <w:spacing w:after="0" w:line="242" w:lineRule="auto"/>
        <w:rPr>
          <w:sz w:val="20"/>
          <w:szCs w:val="20"/>
          <w:color w:val="auto"/>
        </w:rPr>
      </w:pPr>
      <w:r>
        <w:rPr>
          <w:rFonts w:ascii="Times New Roman" w:cs="Times New Roman" w:eastAsia="Times New Roman" w:hAnsi="Times New Roman"/>
          <w:sz w:val="20"/>
          <w:szCs w:val="20"/>
          <w:color w:val="auto"/>
        </w:rPr>
        <w:t>Any waiver by any Party of any right, power, or remedy under this Agreement shall be effective only upon the execution of a written document by such Party. No failure or delay by any Party in exercising any right, power, or remedy under this Agreement shall operate as a waiver thereof, nor shall any single or partial exercise of any such right, power, or remedy preclude any further exercise thereof or the exercise of any other right, power, or remedy.</w:t>
      </w:r>
    </w:p>
    <w:p>
      <w:pPr>
        <w:spacing w:after="0" w:line="1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19"/>
          <w:szCs w:val="19"/>
          <w:color w:val="auto"/>
        </w:rPr>
        <w:t>Amendment</w:t>
      </w:r>
    </w:p>
    <w:p>
      <w:pPr>
        <w:spacing w:after="0" w:line="154" w:lineRule="exact"/>
        <w:rPr>
          <w:sz w:val="20"/>
          <w:szCs w:val="20"/>
          <w:color w:val="auto"/>
        </w:rPr>
      </w:pPr>
    </w:p>
    <w:p>
      <w:pPr>
        <w:jc w:val="both"/>
        <w:ind w:left="600"/>
        <w:spacing w:after="0" w:line="262" w:lineRule="auto"/>
        <w:rPr>
          <w:sz w:val="20"/>
          <w:szCs w:val="20"/>
          <w:color w:val="auto"/>
        </w:rPr>
      </w:pPr>
      <w:r>
        <w:rPr>
          <w:rFonts w:ascii="Times New Roman" w:cs="Times New Roman" w:eastAsia="Times New Roman" w:hAnsi="Times New Roman"/>
          <w:sz w:val="20"/>
          <w:szCs w:val="20"/>
          <w:color w:val="auto"/>
        </w:rPr>
        <w:t>Any amendment to this Agreement shall be effective only upon execution of a written amendment agreement signed by all Parties.</w:t>
      </w:r>
    </w:p>
    <w:p>
      <w:pPr>
        <w:spacing w:after="0" w:line="11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color w:val="auto"/>
        </w:rPr>
        <w:t>Entire Agreement</w:t>
      </w:r>
    </w:p>
    <w:p>
      <w:pPr>
        <w:spacing w:after="0" w:line="154" w:lineRule="exact"/>
        <w:rPr>
          <w:sz w:val="20"/>
          <w:szCs w:val="20"/>
          <w:color w:val="auto"/>
        </w:rPr>
      </w:pPr>
    </w:p>
    <w:p>
      <w:pPr>
        <w:jc w:val="both"/>
        <w:ind w:left="600"/>
        <w:spacing w:after="0" w:line="242" w:lineRule="auto"/>
        <w:rPr>
          <w:sz w:val="20"/>
          <w:szCs w:val="20"/>
          <w:color w:val="auto"/>
        </w:rPr>
      </w:pPr>
      <w:r>
        <w:rPr>
          <w:rFonts w:ascii="Times New Roman" w:cs="Times New Roman" w:eastAsia="Times New Roman" w:hAnsi="Times New Roman"/>
          <w:sz w:val="20"/>
          <w:szCs w:val="20"/>
          <w:color w:val="auto"/>
        </w:rPr>
        <w:t>This Agreement (including the other Transaction Documents and other documents referenced in this Agreement or the other Transaction Documents) constitutes the entire agreement among the Parties with respect to the matters contemplated hereby and supersedes any prior letters of intent, agreements, or understandings with respect to such matters.</w:t>
      </w:r>
    </w:p>
    <w:p>
      <w:pPr>
        <w:spacing w:after="0" w:line="1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13.6</w:t>
      </w:r>
      <w:r>
        <w:rPr>
          <w:sz w:val="20"/>
          <w:szCs w:val="20"/>
          <w:color w:val="auto"/>
        </w:rPr>
        <w:tab/>
      </w:r>
      <w:r>
        <w:rPr>
          <w:rFonts w:ascii="Times New Roman" w:cs="Times New Roman" w:eastAsia="Times New Roman" w:hAnsi="Times New Roman"/>
          <w:sz w:val="19"/>
          <w:szCs w:val="19"/>
          <w:color w:val="auto"/>
        </w:rPr>
        <w:t>Severability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jc w:val="both"/>
        <w:ind w:left="600"/>
        <w:spacing w:after="0" w:line="239" w:lineRule="auto"/>
        <w:rPr>
          <w:sz w:val="20"/>
          <w:szCs w:val="20"/>
          <w:color w:val="auto"/>
        </w:rPr>
      </w:pPr>
      <w:r>
        <w:rPr>
          <w:rFonts w:ascii="Times New Roman" w:cs="Times New Roman" w:eastAsia="Times New Roman" w:hAnsi="Times New Roman"/>
          <w:sz w:val="20"/>
          <w:szCs w:val="20"/>
          <w:color w:val="auto"/>
        </w:rPr>
        <w:t>If any one or more provisions of this Agreement are held to be invalid, illegal, or unenforceable in any respect under Applicable Laws, the validity, legality, and enforceability of the remaining provisions of this Agreement shall not in any way be affected or impaired thereby. The Parties shall endeavor through good faith negotiations to replace such invalid, illegal, or unenforceable provisions with valid, legal, and enforceable provisions whose economic effect shall be as similar as possible to that of the invalid, illegal, or unenforceable provisions.</w:t>
      </w:r>
    </w:p>
    <w:p>
      <w:pPr>
        <w:spacing w:after="0" w:line="13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19"/>
          <w:szCs w:val="19"/>
          <w:color w:val="auto"/>
        </w:rPr>
        <w:t>Counterparts</w:t>
      </w:r>
    </w:p>
    <w:p>
      <w:pPr>
        <w:spacing w:after="0" w:line="15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This Agreement is executed in twenty-one (21) counterparts, with each Party holding one (1) counterpart and the remaining counterparts retained by the Target Company for the purpose of fulfilling necessary approval or filing and registration procedures.</w:t>
      </w:r>
    </w:p>
    <w:p>
      <w:pPr>
        <w:spacing w:after="0" w:line="11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19"/>
          <w:szCs w:val="19"/>
          <w:color w:val="auto"/>
        </w:rPr>
        <w:t>Governmental Form Documents</w:t>
      </w:r>
    </w:p>
    <w:p>
      <w:pPr>
        <w:spacing w:after="0" w:line="154" w:lineRule="exact"/>
        <w:rPr>
          <w:sz w:val="20"/>
          <w:szCs w:val="20"/>
          <w:color w:val="auto"/>
        </w:rPr>
      </w:pPr>
    </w:p>
    <w:p>
      <w:pPr>
        <w:jc w:val="both"/>
        <w:ind w:left="600"/>
        <w:spacing w:after="0" w:line="239" w:lineRule="auto"/>
        <w:rPr>
          <w:sz w:val="20"/>
          <w:szCs w:val="20"/>
          <w:color w:val="auto"/>
        </w:rPr>
      </w:pPr>
      <w:r>
        <w:rPr>
          <w:rFonts w:ascii="Times New Roman" w:cs="Times New Roman" w:eastAsia="Times New Roman" w:hAnsi="Times New Roman"/>
          <w:sz w:val="20"/>
          <w:szCs w:val="20"/>
          <w:color w:val="auto"/>
        </w:rPr>
        <w:t>If the Parties need to enter into a simplified version of the agreement for the Transaction to request a Governmental Authority to perform a specific act, this Agreement shall prevail over such simplified agreement in all respects, and such simplified agreement shall only be used for requesting such specific act from the Governmental Authority and shall not be used to establish or prove the rights and obligations of the relevant Parties with respect to the matters stipulated therein.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NIO Inc.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0">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807085</wp:posOffset>
            </wp:positionV>
            <wp:extent cx="6310630" cy="234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37" w:name="page338"/>
    <w:bookmarkEnd w:id="337"/>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2">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GeniTech Co., Ltd.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3">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807085</wp:posOffset>
            </wp:positionV>
            <wp:extent cx="6310630" cy="234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NIO Technology (Anhui) Co., Ltd.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6">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932815</wp:posOffset>
            </wp:positionV>
            <wp:extent cx="6310630" cy="158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7">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39" w:name="page340"/>
    <w:bookmarkEnd w:id="339"/>
    <w:p>
      <w:pPr>
        <w:jc w:val="center"/>
        <w:ind w:right="2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8">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Hefei Shenrui No.1 Enterprise Management Consulting Partnership (Limited Partnership)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8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/s/Authorized Signatory &amp; Company chop is affixed</w:t>
            </w: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Authorized Signatory</w:t>
            </w:r>
          </w:p>
        </w:tc>
        <w:tc>
          <w:tcPr>
            <w:tcW w:w="4240" w:type="dxa"/>
            <w:vAlign w:val="bottom"/>
          </w:tcPr>
          <w:p>
            <w:pPr>
              <w:spacing w:after="0"/>
              <w:rPr>
                <w:sz w:val="16"/>
                <w:szCs w:val="16"/>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1467"/>
        </w:trPr>
        <w:tc>
          <w:tcPr>
            <w:tcW w:w="9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09" w:right="979" w:bottom="1440" w:gutter="0" w:footer="0" w:header="0"/>
        </w:sectPr>
      </w:pPr>
    </w:p>
    <w:bookmarkStart w:id="340" w:name="page341"/>
    <w:bookmarkEnd w:id="340"/>
    <w:p>
      <w:pPr>
        <w:jc w:val="center"/>
        <w:ind w:right="2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Hefei Shenrui No.2 Enterprise Management Consulting Partnership (Limited Partnership)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8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/s/Authorized Signatory &amp; Company chop is affixed</w:t>
            </w: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Authorized Signatory</w:t>
            </w:r>
          </w:p>
        </w:tc>
        <w:tc>
          <w:tcPr>
            <w:tcW w:w="4240" w:type="dxa"/>
            <w:vAlign w:val="bottom"/>
          </w:tcPr>
          <w:p>
            <w:pPr>
              <w:spacing w:after="0"/>
              <w:rPr>
                <w:sz w:val="16"/>
                <w:szCs w:val="16"/>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1083"/>
        </w:trPr>
        <w:tc>
          <w:tcPr>
            <w:tcW w:w="9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09" w:right="979" w:bottom="1440" w:gutter="0" w:footer="0" w:header="0"/>
        </w:sectPr>
      </w:pPr>
    </w:p>
    <w:bookmarkStart w:id="341" w:name="page342"/>
    <w:bookmarkEnd w:id="341"/>
    <w:p>
      <w:pPr>
        <w:jc w:val="center"/>
        <w:ind w:right="2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0">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Hefei Shenrui No.3 Enterprise Management Consulting Partnership (Limited Partnership)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8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/s/Authorized Signatory &amp; Company chop is affixed</w:t>
            </w: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Authorized Signatory</w:t>
            </w:r>
          </w:p>
        </w:tc>
        <w:tc>
          <w:tcPr>
            <w:tcW w:w="4240" w:type="dxa"/>
            <w:vAlign w:val="bottom"/>
          </w:tcPr>
          <w:p>
            <w:pPr>
              <w:spacing w:after="0"/>
              <w:rPr>
                <w:sz w:val="16"/>
                <w:szCs w:val="16"/>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1083"/>
        </w:trPr>
        <w:tc>
          <w:tcPr>
            <w:tcW w:w="9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09" w:right="979" w:bottom="1440" w:gutter="0" w:footer="0" w:header="0"/>
        </w:sectPr>
      </w:pPr>
    </w:p>
    <w:bookmarkStart w:id="342" w:name="page343"/>
    <w:bookmarkEnd w:id="342"/>
    <w:p>
      <w:pPr>
        <w:jc w:val="center"/>
        <w:ind w:right="10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Hefei Jiantou Emerging Industry Equity Investment Fund Partnership Enterprise (Limited Partnership) </w:t>
      </w:r>
      <w:r>
        <w:rPr>
          <w:rFonts w:ascii="Times New Roman" w:cs="Times New Roman" w:eastAsia="Times New Roman" w:hAnsi="Times New Roman"/>
          <w:sz w:val="20"/>
          <w:szCs w:val="20"/>
          <w:color w:val="auto"/>
        </w:rPr>
        <w:t>(Company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Chop)</w:t>
      </w:r>
    </w:p>
    <w:p>
      <w:pPr>
        <w:spacing w:after="0" w:line="1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2">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681355</wp:posOffset>
            </wp:positionV>
            <wp:extent cx="6310630" cy="234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10020"/>
          </w:cols>
          <w:pgMar w:left="980" w:top="609" w:right="899" w:bottom="1440" w:gutter="0" w:footer="0" w:header="0"/>
        </w:sectPr>
      </w:pPr>
    </w:p>
    <w:bookmarkStart w:id="343" w:name="page344"/>
    <w:bookmarkEnd w:id="343"/>
    <w:p>
      <w:pPr>
        <w:jc w:val="center"/>
        <w:ind w:right="10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4">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Hefei Haiheng Emerging Industry Equity Investment Fund Partnership Enterprise (Limited Partnership) </w:t>
      </w:r>
      <w:r>
        <w:rPr>
          <w:rFonts w:ascii="Times New Roman" w:cs="Times New Roman" w:eastAsia="Times New Roman" w:hAnsi="Times New Roman"/>
          <w:sz w:val="20"/>
          <w:szCs w:val="20"/>
          <w:color w:val="auto"/>
        </w:rPr>
        <w:t>(Company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Chop)</w:t>
      </w:r>
    </w:p>
    <w:p>
      <w:pPr>
        <w:spacing w:after="0" w:line="1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5">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681355</wp:posOffset>
            </wp:positionV>
            <wp:extent cx="6310630" cy="234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10020"/>
          </w:cols>
          <w:pgMar w:left="980" w:top="609" w:right="899" w:bottom="1440" w:gutter="0" w:footer="0" w:header="0"/>
        </w:sectPr>
      </w:pPr>
    </w:p>
    <w:bookmarkStart w:id="344" w:name="page345"/>
    <w:bookmarkEnd w:id="344"/>
    <w:p>
      <w:pPr>
        <w:jc w:val="center"/>
        <w:ind w:right="10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Shenzhen Harmonious Growth Phase III Technology Development Equity Investment Fund Partnership (Limited Partnership) </w:t>
      </w:r>
      <w:r>
        <w:rPr>
          <w:rFonts w:ascii="Times New Roman" w:cs="Times New Roman" w:eastAsia="Times New Roman" w:hAnsi="Times New Roman"/>
          <w:sz w:val="20"/>
          <w:szCs w:val="20"/>
          <w:color w:val="auto"/>
        </w:rPr>
        <w:t>(Company Chop)</w:t>
      </w:r>
    </w:p>
    <w:p>
      <w:pPr>
        <w:spacing w:after="0" w:line="1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8">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681355</wp:posOffset>
            </wp:positionV>
            <wp:extent cx="6310630" cy="234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10020"/>
          </w:cols>
          <w:pgMar w:left="980" w:top="609" w:right="899" w:bottom="1440" w:gutter="0" w:footer="0" w:header="0"/>
        </w:sectPr>
      </w:pPr>
    </w:p>
    <w:bookmarkStart w:id="345" w:name="page346"/>
    <w:bookmarkEnd w:id="345"/>
    <w:p>
      <w:pPr>
        <w:jc w:val="center"/>
        <w:ind w:right="10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0">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Social Security Fund Yangtze River Delta Technology Innovation Equity Investment Fund (Shanghai) Partnership Enterprise (Limited Partnership) </w:t>
      </w:r>
      <w:r>
        <w:rPr>
          <w:rFonts w:ascii="Times New Roman" w:cs="Times New Roman" w:eastAsia="Times New Roman" w:hAnsi="Times New Roman"/>
          <w:sz w:val="20"/>
          <w:szCs w:val="20"/>
          <w:color w:val="auto"/>
        </w:rPr>
        <w:t>(Company Chop)</w:t>
      </w:r>
    </w:p>
    <w:p>
      <w:pPr>
        <w:spacing w:after="0" w:line="1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1">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681355</wp:posOffset>
            </wp:positionV>
            <wp:extent cx="6310630" cy="234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10020"/>
          </w:cols>
          <w:pgMar w:left="980" w:top="609" w:right="899" w:bottom="1440" w:gutter="0" w:footer="0" w:header="0"/>
        </w:sectPr>
      </w:pPr>
    </w:p>
    <w:bookmarkStart w:id="346" w:name="page347"/>
    <w:bookmarkEnd w:id="346"/>
    <w:p>
      <w:pPr>
        <w:jc w:val="center"/>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OmniVision Integrated Circuits Group, Inc.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4">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681355</wp:posOffset>
            </wp:positionV>
            <wp:extent cx="6310630" cy="234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47" w:name="page348"/>
    <w:bookmarkEnd w:id="347"/>
    <w:p>
      <w:pPr>
        <w:jc w:val="center"/>
        <w:ind w:right="2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6">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Shanghai Keshi Management Partnership (Limited Partnership)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8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/s/Authorized Signatory &amp; Company chop is affixed</w:t>
            </w: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Authorized Signatory</w:t>
            </w:r>
          </w:p>
        </w:tc>
        <w:tc>
          <w:tcPr>
            <w:tcW w:w="4240" w:type="dxa"/>
            <w:vAlign w:val="bottom"/>
          </w:tcPr>
          <w:p>
            <w:pPr>
              <w:spacing w:after="0"/>
              <w:rPr>
                <w:sz w:val="16"/>
                <w:szCs w:val="16"/>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1083"/>
        </w:trPr>
        <w:tc>
          <w:tcPr>
            <w:tcW w:w="9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09" w:right="979" w:bottom="1440" w:gutter="0" w:footer="0" w:header="0"/>
        </w:sectPr>
      </w:pPr>
    </w:p>
    <w:bookmarkStart w:id="348" w:name="page349"/>
    <w:bookmarkEnd w:id="348"/>
    <w:p>
      <w:pPr>
        <w:jc w:val="center"/>
        <w:ind w:right="10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Shenzhen  Juyuan  Xinchuang  Private  Equity  Investment  Fund  Partnership  Enterprise  (Limited  Partnership)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Chop)</w:t>
      </w:r>
    </w:p>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8">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681355</wp:posOffset>
            </wp:positionV>
            <wp:extent cx="6310630" cy="234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10020"/>
          </w:cols>
          <w:pgMar w:left="980" w:top="609" w:right="899" w:bottom="1440" w:gutter="0" w:footer="0" w:header="0"/>
        </w:sectPr>
      </w:pPr>
    </w:p>
    <w:bookmarkStart w:id="349" w:name="page350"/>
    <w:bookmarkEnd w:id="349"/>
    <w:p>
      <w:pPr>
        <w:jc w:val="center"/>
        <w:ind w:right="2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0">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Jiaxing Juyuan Zhiguang Equity Investment Partnership (Limited Partnership)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8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/s/Authorized Signatory &amp; Company chop is affixed</w:t>
            </w: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Authorized Signatory</w:t>
            </w:r>
          </w:p>
        </w:tc>
        <w:tc>
          <w:tcPr>
            <w:tcW w:w="4240" w:type="dxa"/>
            <w:vAlign w:val="bottom"/>
          </w:tcPr>
          <w:p>
            <w:pPr>
              <w:spacing w:after="0"/>
              <w:rPr>
                <w:sz w:val="16"/>
                <w:szCs w:val="16"/>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1083"/>
        </w:trPr>
        <w:tc>
          <w:tcPr>
            <w:tcW w:w="9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09" w:right="979" w:bottom="1440" w:gutter="0" w:footer="0" w:header="0"/>
        </w:sectPr>
      </w:pPr>
    </w:p>
    <w:bookmarkStart w:id="350" w:name="page351"/>
    <w:bookmarkEnd w:id="350"/>
    <w:p>
      <w:pPr>
        <w:jc w:val="center"/>
        <w:ind w:right="2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Anhui Guokong Growth Energy Investment Fund Partnership Enterprise (Limited Partnership)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8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/s/Authorized Signatory &amp; Company chop is affixed</w:t>
            </w: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Authorized Signatory</w:t>
            </w:r>
          </w:p>
        </w:tc>
        <w:tc>
          <w:tcPr>
            <w:tcW w:w="4240" w:type="dxa"/>
            <w:vAlign w:val="bottom"/>
          </w:tcPr>
          <w:p>
            <w:pPr>
              <w:spacing w:after="0"/>
              <w:rPr>
                <w:sz w:val="16"/>
                <w:szCs w:val="16"/>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1083"/>
        </w:trPr>
        <w:tc>
          <w:tcPr>
            <w:tcW w:w="9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09" w:right="979" w:bottom="1440" w:gutter="0" w:footer="0" w:header="0"/>
        </w:sectPr>
      </w:pPr>
    </w:p>
    <w:bookmarkStart w:id="351" w:name="page352"/>
    <w:bookmarkEnd w:id="351"/>
    <w:p>
      <w:pPr>
        <w:jc w:val="center"/>
        <w:ind w:right="10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2">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Anhui Gaoxin Yuanhe Puhua Private Equity Investment Fund Partnership Enterprise (Limited Partnership)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Chop)</w:t>
      </w:r>
    </w:p>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3">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681355</wp:posOffset>
            </wp:positionV>
            <wp:extent cx="6310630" cy="234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10020"/>
          </w:cols>
          <w:pgMar w:left="980" w:top="609" w:right="899" w:bottom="1440" w:gutter="0" w:footer="0" w:header="0"/>
        </w:sectPr>
      </w:pPr>
    </w:p>
    <w:bookmarkStart w:id="352" w:name="page353"/>
    <w:bookmarkEnd w:id="352"/>
    <w:p>
      <w:pPr>
        <w:jc w:val="center"/>
        <w:ind w:right="10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Hefei Weilai Industrial Development Equity Investment Partnership Enterprise (Limited Partnership) </w:t>
      </w:r>
      <w:r>
        <w:rPr>
          <w:rFonts w:ascii="Times New Roman" w:cs="Times New Roman" w:eastAsia="Times New Roman" w:hAnsi="Times New Roman"/>
          <w:sz w:val="20"/>
          <w:szCs w:val="20"/>
          <w:color w:val="auto"/>
        </w:rPr>
        <w:t>(Company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Chop)</w:t>
      </w:r>
    </w:p>
    <w:p>
      <w:pPr>
        <w:spacing w:after="0" w:line="1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6">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681355</wp:posOffset>
            </wp:positionV>
            <wp:extent cx="6310630" cy="234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10020"/>
          </w:cols>
          <w:pgMar w:left="980" w:top="609" w:right="899" w:bottom="1440" w:gutter="0" w:footer="0" w:header="0"/>
        </w:sectPr>
      </w:pPr>
    </w:p>
    <w:bookmarkStart w:id="353" w:name="page354"/>
    <w:bookmarkEnd w:id="353"/>
    <w:p>
      <w:pPr>
        <w:jc w:val="center"/>
        <w:ind w:right="10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8">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Chongqing Manufacturing Transformation and Upgrade Private Equity Investment Fund Partnership (Limited Partnership) </w:t>
      </w:r>
      <w:r>
        <w:rPr>
          <w:rFonts w:ascii="Times New Roman" w:cs="Times New Roman" w:eastAsia="Times New Roman" w:hAnsi="Times New Roman"/>
          <w:sz w:val="20"/>
          <w:szCs w:val="20"/>
          <w:color w:val="auto"/>
        </w:rPr>
        <w:t>(Company Chop)</w:t>
      </w:r>
    </w:p>
    <w:p>
      <w:pPr>
        <w:spacing w:after="0" w:line="1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2994025"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9">
                      <a:extLst>
                        <a:ext uri="{28A0092B-C50C-407E-A947-70E740481C1C}"/>
                      </a:extLst>
                    </a:blip>
                    <a:srcRect/>
                    <a:stretch>
                      <a:fillRect/>
                    </a:stretch>
                  </pic:blipFill>
                  <pic:spPr bwMode="auto">
                    <a:xfrm>
                      <a:off x="0" y="0"/>
                      <a:ext cx="2994025" cy="762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681355</wp:posOffset>
            </wp:positionV>
            <wp:extent cx="6310630" cy="234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10020"/>
          </w:cols>
          <w:pgMar w:left="980" w:top="609" w:right="899" w:bottom="1440" w:gutter="0" w:footer="0" w:header="0"/>
        </w:sectPr>
      </w:pPr>
    </w:p>
    <w:bookmarkStart w:id="354" w:name="page355"/>
    <w:bookmarkEnd w:id="354"/>
    <w:p>
      <w:pPr>
        <w:jc w:val="center"/>
        <w:ind w:right="2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Hubei Green Innovation Navigation Equity Investment Partnership (Limited Partnership)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8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/s/Authorized Signatory &amp; Company chop is affixed</w:t>
            </w: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Authorized Signatory</w:t>
            </w:r>
          </w:p>
        </w:tc>
        <w:tc>
          <w:tcPr>
            <w:tcW w:w="4240" w:type="dxa"/>
            <w:vAlign w:val="bottom"/>
          </w:tcPr>
          <w:p>
            <w:pPr>
              <w:spacing w:after="0"/>
              <w:rPr>
                <w:sz w:val="16"/>
                <w:szCs w:val="16"/>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1083"/>
        </w:trPr>
        <w:tc>
          <w:tcPr>
            <w:tcW w:w="9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09" w:right="979" w:bottom="1440" w:gutter="0" w:footer="0" w:header="0"/>
        </w:sectPr>
      </w:pPr>
    </w:p>
    <w:bookmarkStart w:id="355" w:name="page356"/>
    <w:bookmarkEnd w:id="355"/>
    <w:p>
      <w:pPr>
        <w:jc w:val="center"/>
        <w:ind w:right="20"/>
        <w:spacing w:after="0"/>
        <w:rPr>
          <w:sz w:val="20"/>
          <w:szCs w:val="20"/>
          <w:color w:val="auto"/>
        </w:rPr>
      </w:pPr>
      <w:r>
        <w:rPr>
          <w:rFonts w:ascii="Times New Roman" w:cs="Times New Roman" w:eastAsia="Times New Roman" w:hAnsi="Times New Roman"/>
          <w:sz w:val="20"/>
          <w:szCs w:val="20"/>
          <w:color w:val="auto"/>
        </w:rPr>
        <w:t>GeniTech Co., Ltd.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1063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2">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Kunshan Yuanhe Yucheng Venture Capital Partnership (Limited Partnership) </w:t>
      </w:r>
      <w:r>
        <w:rPr>
          <w:rFonts w:ascii="Times New Roman" w:cs="Times New Roman" w:eastAsia="Times New Roman" w:hAnsi="Times New Roman"/>
          <w:sz w:val="20"/>
          <w:szCs w:val="20"/>
          <w:color w:val="auto"/>
        </w:rPr>
        <w:t>(Company Chop)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8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/s/Authorized Signatory &amp; Company chop is affixed</w:t>
            </w: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Authorized Signatory</w:t>
            </w:r>
          </w:p>
        </w:tc>
        <w:tc>
          <w:tcPr>
            <w:tcW w:w="4240" w:type="dxa"/>
            <w:vAlign w:val="bottom"/>
          </w:tcPr>
          <w:p>
            <w:pPr>
              <w:spacing w:after="0"/>
              <w:rPr>
                <w:sz w:val="16"/>
                <w:szCs w:val="16"/>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898"/>
        </w:trPr>
        <w:tc>
          <w:tcPr>
            <w:tcW w:w="9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09" w:right="97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20"/>
          <w:szCs w:val="20"/>
          <w:b w:val="1"/>
          <w:bCs w:val="1"/>
          <w:color w:val="auto"/>
        </w:rPr>
        <w:t>Exhibit 4.54</w:t>
      </w:r>
    </w:p>
    <w:p>
      <w:pPr>
        <w:spacing w:after="0" w:line="1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GeniTech Co., Ltd.</w:t>
      </w:r>
    </w:p>
    <w:p>
      <w:pPr>
        <w:spacing w:after="0" w:line="21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Shareholders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734695</wp:posOffset>
            </wp:positionV>
            <wp:extent cx="6310630" cy="234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110" w:right="99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58"/>
        </w:trPr>
        <w:tc>
          <w:tcPr>
            <w:tcW w:w="260" w:type="dxa"/>
            <w:vAlign w:val="bottom"/>
          </w:tcPr>
          <w:p>
            <w:pPr>
              <w:spacing w:after="0"/>
              <w:rPr>
                <w:sz w:val="22"/>
                <w:szCs w:val="22"/>
                <w:color w:val="auto"/>
              </w:rPr>
            </w:pPr>
          </w:p>
        </w:tc>
        <w:tc>
          <w:tcPr>
            <w:tcW w:w="774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GeniTech Co., Ltd. Shareholders Agreement</w:t>
            </w:r>
          </w:p>
        </w:tc>
        <w:tc>
          <w:tcPr>
            <w:tcW w:w="1460" w:type="dxa"/>
            <w:vAlign w:val="bottom"/>
          </w:tcPr>
          <w:p>
            <w:pPr>
              <w:spacing w:after="0"/>
              <w:rPr>
                <w:sz w:val="22"/>
                <w:szCs w:val="22"/>
                <w:color w:val="auto"/>
              </w:rPr>
            </w:pPr>
          </w:p>
        </w:tc>
      </w:tr>
      <w:tr>
        <w:trPr>
          <w:trHeight w:val="384"/>
        </w:trPr>
        <w:tc>
          <w:tcPr>
            <w:tcW w:w="260" w:type="dxa"/>
            <w:vAlign w:val="bottom"/>
          </w:tcPr>
          <w:p>
            <w:pPr>
              <w:spacing w:after="0"/>
              <w:rPr>
                <w:sz w:val="24"/>
                <w:szCs w:val="24"/>
                <w:color w:val="auto"/>
              </w:rPr>
            </w:pPr>
          </w:p>
        </w:tc>
        <w:tc>
          <w:tcPr>
            <w:tcW w:w="7740" w:type="dxa"/>
            <w:vAlign w:val="bottom"/>
          </w:tcPr>
          <w:p>
            <w:pPr>
              <w:ind w:left="36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460" w:type="dxa"/>
            <w:vAlign w:val="bottom"/>
          </w:tcPr>
          <w:p>
            <w:pPr>
              <w:spacing w:after="0"/>
              <w:rPr>
                <w:sz w:val="24"/>
                <w:szCs w:val="24"/>
                <w:color w:val="auto"/>
              </w:rPr>
            </w:pPr>
          </w:p>
        </w:tc>
      </w:tr>
      <w:tr>
        <w:trPr>
          <w:trHeight w:val="433"/>
        </w:trPr>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1</w:t>
            </w:r>
          </w:p>
        </w:tc>
        <w:tc>
          <w:tcPr>
            <w:tcW w:w="7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DEFINITIONS AND INTERPRETATION</w:t>
            </w:r>
          </w:p>
        </w:tc>
        <w:tc>
          <w:tcPr>
            <w:tcW w:w="1460" w:type="dxa"/>
            <w:vAlign w:val="bottom"/>
          </w:tcPr>
          <w:p>
            <w:pPr>
              <w:jc w:val="center"/>
              <w:ind w:left="1141"/>
              <w:spacing w:after="0"/>
              <w:rPr>
                <w:sz w:val="20"/>
                <w:szCs w:val="20"/>
                <w:color w:val="auto"/>
              </w:rPr>
            </w:pPr>
            <w:r>
              <w:rPr>
                <w:rFonts w:ascii="Times New Roman" w:cs="Times New Roman" w:eastAsia="Times New Roman" w:hAnsi="Times New Roman"/>
                <w:sz w:val="20"/>
                <w:szCs w:val="20"/>
                <w:color w:val="auto"/>
                <w:w w:val="99"/>
              </w:rPr>
              <w:t>5</w:t>
            </w:r>
          </w:p>
        </w:tc>
      </w:tr>
      <w:tr>
        <w:trPr>
          <w:trHeight w:val="446"/>
        </w:trPr>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2</w:t>
            </w:r>
          </w:p>
        </w:tc>
        <w:tc>
          <w:tcPr>
            <w:tcW w:w="7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146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11</w:t>
            </w:r>
          </w:p>
        </w:tc>
      </w:tr>
      <w:tr>
        <w:trPr>
          <w:trHeight w:val="446"/>
        </w:trPr>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3</w:t>
            </w:r>
          </w:p>
        </w:tc>
        <w:tc>
          <w:tcPr>
            <w:tcW w:w="7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PRINCIPAL RIGHTS OF SHAREHOLDERS</w:t>
            </w:r>
          </w:p>
        </w:tc>
        <w:tc>
          <w:tcPr>
            <w:tcW w:w="146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12</w:t>
            </w:r>
          </w:p>
        </w:tc>
      </w:tr>
      <w:tr>
        <w:trPr>
          <w:trHeight w:val="446"/>
        </w:trPr>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4</w:t>
            </w:r>
          </w:p>
        </w:tc>
        <w:tc>
          <w:tcPr>
            <w:tcW w:w="7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RESTRICTIONS ON TRANSFER</w:t>
            </w:r>
          </w:p>
        </w:tc>
        <w:tc>
          <w:tcPr>
            <w:tcW w:w="146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31</w:t>
            </w:r>
          </w:p>
        </w:tc>
      </w:tr>
      <w:tr>
        <w:trPr>
          <w:trHeight w:val="446"/>
        </w:trPr>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5</w:t>
            </w:r>
          </w:p>
        </w:tc>
        <w:tc>
          <w:tcPr>
            <w:tcW w:w="7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COVENANTS</w:t>
            </w:r>
          </w:p>
        </w:tc>
        <w:tc>
          <w:tcPr>
            <w:tcW w:w="146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33</w:t>
            </w:r>
          </w:p>
        </w:tc>
      </w:tr>
      <w:tr>
        <w:trPr>
          <w:trHeight w:val="446"/>
        </w:trPr>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6</w:t>
            </w:r>
          </w:p>
        </w:tc>
        <w:tc>
          <w:tcPr>
            <w:tcW w:w="7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DEFAULT AND TERMINATION</w:t>
            </w:r>
          </w:p>
        </w:tc>
        <w:tc>
          <w:tcPr>
            <w:tcW w:w="146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35</w:t>
            </w:r>
          </w:p>
        </w:tc>
      </w:tr>
      <w:tr>
        <w:trPr>
          <w:trHeight w:val="446"/>
        </w:trPr>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7</w:t>
            </w:r>
          </w:p>
        </w:tc>
        <w:tc>
          <w:tcPr>
            <w:tcW w:w="7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GOVERNING LAW AND DISPUTE RESOLUTION</w:t>
            </w:r>
          </w:p>
        </w:tc>
        <w:tc>
          <w:tcPr>
            <w:tcW w:w="146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36</w:t>
            </w:r>
          </w:p>
        </w:tc>
      </w:tr>
      <w:tr>
        <w:trPr>
          <w:trHeight w:val="446"/>
        </w:trPr>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8</w:t>
            </w:r>
          </w:p>
        </w:tc>
        <w:tc>
          <w:tcPr>
            <w:tcW w:w="7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FORCE MAJEURE</w:t>
            </w:r>
          </w:p>
        </w:tc>
        <w:tc>
          <w:tcPr>
            <w:tcW w:w="146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36</w:t>
            </w:r>
          </w:p>
        </w:tc>
      </w:tr>
      <w:tr>
        <w:trPr>
          <w:trHeight w:val="446"/>
        </w:trPr>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9</w:t>
            </w:r>
          </w:p>
        </w:tc>
        <w:tc>
          <w:tcPr>
            <w:tcW w:w="7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MISCELLANEOUS</w:t>
            </w:r>
          </w:p>
        </w:tc>
        <w:tc>
          <w:tcPr>
            <w:tcW w:w="146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37</w:t>
            </w:r>
          </w:p>
        </w:tc>
      </w:tr>
    </w:tbl>
    <w:p>
      <w:pPr>
        <w:spacing w:after="0" w:line="199"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Exhibit 1</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Equity Structure Of The Company</w:t>
      </w:r>
    </w:p>
    <w:p>
      <w:pPr>
        <w:spacing w:after="0" w:line="253"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Exhibit 2</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List Of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593090</wp:posOffset>
            </wp:positionV>
            <wp:extent cx="6310630" cy="234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79"/>
          </w:cols>
          <w:pgMar w:left="980" w:top="609" w:right="1440" w:bottom="1440" w:gutter="0" w:footer="0" w:header="0"/>
        </w:sectPr>
      </w:pPr>
    </w:p>
    <w:bookmarkStart w:id="358" w:name="page359"/>
    <w:bookmarkEnd w:id="358"/>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GeniTech Co., Ltd. Shareholders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GeniTech Co., Ltd. Shareholders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on February 26, 2026 (the “</w:t>
      </w:r>
      <w:r>
        <w:rPr>
          <w:rFonts w:ascii="Times New Roman" w:cs="Times New Roman" w:eastAsia="Times New Roman" w:hAnsi="Times New Roman"/>
          <w:sz w:val="19"/>
          <w:szCs w:val="19"/>
          <w:b w:val="1"/>
          <w:bCs w:val="1"/>
          <w:color w:val="auto"/>
        </w:rPr>
        <w:t>Execution Date</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and among:</w:t>
      </w:r>
    </w:p>
    <w:p>
      <w:pPr>
        <w:spacing w:after="0" w:line="165" w:lineRule="exact"/>
        <w:rPr>
          <w:sz w:val="20"/>
          <w:szCs w:val="20"/>
          <w:color w:val="auto"/>
        </w:rPr>
      </w:pPr>
    </w:p>
    <w:p>
      <w:pPr>
        <w:jc w:val="both"/>
        <w:ind w:left="600" w:hanging="600"/>
        <w:spacing w:after="0"/>
        <w:tabs>
          <w:tab w:leader="none" w:pos="60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GeniTech Co., Ltd.</w:t>
      </w:r>
      <w:r>
        <w:rPr>
          <w:rFonts w:ascii="Times New Roman" w:cs="Times New Roman" w:eastAsia="Times New Roman" w:hAnsi="Times New Roman"/>
          <w:sz w:val="20"/>
          <w:szCs w:val="20"/>
          <w:color w:val="auto"/>
        </w:rPr>
        <w:t>, a limited liability company duly established and existing under the Laws of the People’s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Republic of China, holding a business license with unified social credit code of 91340111MAELWJFX30, and with its registered address at Building F, Hengchuang Intelligent Science and Technology Park, No. 3963, Susong Road, Economic and Technological Development Zone, Hefei City, Anhui Province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Target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600" w:hanging="600"/>
        <w:spacing w:after="0" w:line="266" w:lineRule="auto"/>
        <w:tabs>
          <w:tab w:leader="none" w:pos="60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NIO Inc.</w:t>
      </w:r>
      <w:r>
        <w:rPr>
          <w:rFonts w:ascii="Times New Roman" w:cs="Times New Roman" w:eastAsia="Times New Roman" w:hAnsi="Times New Roman"/>
          <w:sz w:val="20"/>
          <w:szCs w:val="20"/>
          <w:color w:val="auto"/>
        </w:rPr>
        <w:t>, a company duly organized and validly existing under the Laws of the Cayman Islands, and with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address at PO Box 309, Ugland House, Grand Cayman, KY1-1104, Cayman Islands (“</w:t>
      </w:r>
      <w:r>
        <w:rPr>
          <w:rFonts w:ascii="Times New Roman" w:cs="Times New Roman" w:eastAsia="Times New Roman" w:hAnsi="Times New Roman"/>
          <w:sz w:val="20"/>
          <w:szCs w:val="20"/>
          <w:b w:val="1"/>
          <w:bCs w:val="1"/>
          <w:color w:val="auto"/>
        </w:rPr>
        <w:t>NIO</w:t>
      </w:r>
      <w:r>
        <w:rPr>
          <w:rFonts w:ascii="Times New Roman" w:cs="Times New Roman" w:eastAsia="Times New Roman" w:hAnsi="Times New Roman"/>
          <w:sz w:val="20"/>
          <w:szCs w:val="20"/>
          <w:color w:val="auto"/>
        </w:rPr>
        <w:t>”);</w:t>
      </w:r>
    </w:p>
    <w:p>
      <w:pPr>
        <w:spacing w:after="0" w:line="133"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NIO Technology (Anhui) Co., Ltd.</w:t>
      </w:r>
      <w:r>
        <w:rPr>
          <w:rFonts w:ascii="Times New Roman" w:cs="Times New Roman" w:eastAsia="Times New Roman" w:hAnsi="Times New Roman"/>
          <w:sz w:val="20"/>
          <w:szCs w:val="20"/>
          <w:color w:val="auto"/>
        </w:rPr>
        <w:t>, a limited liability company duly established and existing under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People’s Republic of China, holding a business license with unified social credit code of 91340111MA2W48B2X6, and with its registered address at Building F, Hengchuang Intelligent Science and Technology Park, No. 3963, Susong Road, Economic and Technological Development Zone, Hefei City, Anhui Province (“</w:t>
      </w:r>
      <w:r>
        <w:rPr>
          <w:rFonts w:ascii="Times New Roman" w:cs="Times New Roman" w:eastAsia="Times New Roman" w:hAnsi="Times New Roman"/>
          <w:sz w:val="20"/>
          <w:szCs w:val="20"/>
          <w:b w:val="1"/>
          <w:bCs w:val="1"/>
          <w:color w:val="auto"/>
        </w:rPr>
        <w:t>Controlling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Hefei Shenrui No.1 Enterprise Management Consulting Partnership (Limited Partnership)</w:t>
      </w:r>
      <w:r>
        <w:rPr>
          <w:rFonts w:ascii="Times New Roman" w:cs="Times New Roman" w:eastAsia="Times New Roman" w:hAnsi="Times New Roman"/>
          <w:sz w:val="20"/>
          <w:szCs w:val="20"/>
          <w:color w:val="auto"/>
        </w:rPr>
        <w:t>, 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duly established and existing under the Laws of the People’s Republic of China, holding a business license with unified social credit code of 91340111MAK4BXLL2H, and with its registered address at Room 2001, 2/F, Building F, Hengchuang Intelligent Science and Technology Park, No. 3963, Susong Road, Economic and Technological Development Zone, Hefei City, Anhui Province (“</w:t>
      </w:r>
      <w:r>
        <w:rPr>
          <w:rFonts w:ascii="Times New Roman" w:cs="Times New Roman" w:eastAsia="Times New Roman" w:hAnsi="Times New Roman"/>
          <w:sz w:val="20"/>
          <w:szCs w:val="20"/>
          <w:b w:val="1"/>
          <w:bCs w:val="1"/>
          <w:color w:val="auto"/>
        </w:rPr>
        <w:t>Shenrui No.1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Hefei Shenrui No.2 Enterprise Management Consulting Partnership (Limited Partnership)</w:t>
      </w:r>
      <w:r>
        <w:rPr>
          <w:rFonts w:ascii="Times New Roman" w:cs="Times New Roman" w:eastAsia="Times New Roman" w:hAnsi="Times New Roman"/>
          <w:sz w:val="20"/>
          <w:szCs w:val="20"/>
          <w:color w:val="auto"/>
        </w:rPr>
        <w:t>, 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duly established and existing under the Laws of the People’s Republic of China, holding a business license with unified social credit code of 91340111MAK4C1DU3H, and with its registered address at Room 2002, 2/F, Building F, Hengchuang Intelligent Science and Technology Park, No. 3963, Susong Road, Economic and Technological Development Zone, Hefei City, Anhui Province (“</w:t>
      </w:r>
      <w:r>
        <w:rPr>
          <w:rFonts w:ascii="Times New Roman" w:cs="Times New Roman" w:eastAsia="Times New Roman" w:hAnsi="Times New Roman"/>
          <w:sz w:val="20"/>
          <w:szCs w:val="20"/>
          <w:b w:val="1"/>
          <w:bCs w:val="1"/>
          <w:color w:val="auto"/>
        </w:rPr>
        <w:t>Shenrui No.2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59" w:name="page360"/>
    <w:bookmarkEnd w:id="359"/>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0" w:lineRule="exact"/>
        <w:rPr>
          <w:sz w:val="20"/>
          <w:szCs w:val="20"/>
          <w:color w:val="auto"/>
        </w:rPr>
      </w:pPr>
    </w:p>
    <w:p>
      <w:pPr>
        <w:jc w:val="both"/>
        <w:ind w:left="600" w:hanging="600"/>
        <w:spacing w:after="0"/>
        <w:tabs>
          <w:tab w:leader="none" w:pos="60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Hefei Shenrui No.3 Enterprise Management Consulting Partnership (Limited Partnership)</w:t>
      </w:r>
      <w:r>
        <w:rPr>
          <w:rFonts w:ascii="Times New Roman" w:cs="Times New Roman" w:eastAsia="Times New Roman" w:hAnsi="Times New Roman"/>
          <w:sz w:val="20"/>
          <w:szCs w:val="20"/>
          <w:color w:val="auto"/>
        </w:rPr>
        <w:t>, 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duly established and existing under the Laws of the People’s Republic of China, holding a business license with unified social credit code of 91340111MAK3BJ489X, and with its registered address at Room 2003, 2/F, Building F, Hengchuang Intelligent Science and Technology Park, No. 3963, Susong Road, Economic and Technological Development Zone, Hefei City, Anhui Province (“</w:t>
      </w:r>
      <w:r>
        <w:rPr>
          <w:rFonts w:ascii="Times New Roman" w:cs="Times New Roman" w:eastAsia="Times New Roman" w:hAnsi="Times New Roman"/>
          <w:sz w:val="20"/>
          <w:szCs w:val="20"/>
          <w:b w:val="1"/>
          <w:bCs w:val="1"/>
          <w:color w:val="auto"/>
        </w:rPr>
        <w:t>Shenrui No.3</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Hefei Jiantou Emerging Industry Equity Investment Fund Partnership Enterprise (Limited Partnership)</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partnership duly established and existing under the Laws of the People’s Republic of China, holding a business license with unified social credit code of 91340111MAERNQ6CXM, and with its registered address at 4th Floor, Podium Building, Jiantou Building, No. 229 Wuhan Road, Yandun Subdistrict, Baohe District, Hefei, Anhui Province (“</w:t>
      </w:r>
      <w:r>
        <w:rPr>
          <w:rFonts w:ascii="Times New Roman" w:cs="Times New Roman" w:eastAsia="Times New Roman" w:hAnsi="Times New Roman"/>
          <w:sz w:val="20"/>
          <w:szCs w:val="20"/>
          <w:b w:val="1"/>
          <w:bCs w:val="1"/>
          <w:color w:val="auto"/>
        </w:rPr>
        <w:t>Emerging Industry Fund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Hefei Haiheng Emerging Industry Equity Investment Fund Partnership Enterprise (Limited Partnership)</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partnership duly established and existing under the Laws of the People’s Republic of China, holding a business license with unified social credit code of 91340111MADY33TD70, and with its registered address at Room 8025, 8th Floor, Building 9, Sino-German Innovation Park, No. 6155 Jinxiu Avenue, Linhu Community, Hefei Economic and Technological Development Zone, Hefei, Anhui Province (“</w:t>
      </w:r>
      <w:r>
        <w:rPr>
          <w:rFonts w:ascii="Times New Roman" w:cs="Times New Roman" w:eastAsia="Times New Roman" w:hAnsi="Times New Roman"/>
          <w:sz w:val="20"/>
          <w:szCs w:val="20"/>
          <w:b w:val="1"/>
          <w:bCs w:val="1"/>
          <w:color w:val="auto"/>
        </w:rPr>
        <w:t>Hefei Haiheng</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Shenzhen Harmonious Growth Phase III Technology Development Equity Investment Fund Partnership (Limited Partnership)</w:t>
      </w:r>
      <w:r>
        <w:rPr>
          <w:rFonts w:ascii="Times New Roman" w:cs="Times New Roman" w:eastAsia="Times New Roman" w:hAnsi="Times New Roman"/>
          <w:sz w:val="20"/>
          <w:szCs w:val="20"/>
          <w:color w:val="auto"/>
        </w:rPr>
        <w:t>, a limited partnership duly established and existing under the Laws of the People’s Republic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China, holding a business license with unified social credit code of 91440300MA5FHNP8XE, and with its registered address at Room 402-7, Building 1, Yujingwan Garden, Xin’an Sixth Road, Haiyu Community, Xin’an Street, Bao’an District, Shenzhen (“</w:t>
      </w:r>
      <w:r>
        <w:rPr>
          <w:rFonts w:ascii="Times New Roman" w:cs="Times New Roman" w:eastAsia="Times New Roman" w:hAnsi="Times New Roman"/>
          <w:sz w:val="20"/>
          <w:szCs w:val="20"/>
          <w:b w:val="1"/>
          <w:bCs w:val="1"/>
          <w:color w:val="auto"/>
        </w:rPr>
        <w:t>Harmonious Growth Fund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Social Security Fund Yangtze River Delta Technology Innovation Equity Investment Fund (Shanghai) Partnership Enterprise (Limited Partnership)</w:t>
      </w:r>
      <w:r>
        <w:rPr>
          <w:rFonts w:ascii="Times New Roman" w:cs="Times New Roman" w:eastAsia="Times New Roman" w:hAnsi="Times New Roman"/>
          <w:sz w:val="20"/>
          <w:szCs w:val="20"/>
          <w:color w:val="auto"/>
        </w:rPr>
        <w:t>, a limited partnership duly established and existing under the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People’s Republic of China, holding a business license with unified social credit code of 91310000MAD48PMF9G, and with its registered address at 180 South Urumqi Road, Xuhui District, Shanghai (“</w:t>
      </w:r>
      <w:r>
        <w:rPr>
          <w:rFonts w:ascii="Times New Roman" w:cs="Times New Roman" w:eastAsia="Times New Roman" w:hAnsi="Times New Roman"/>
          <w:sz w:val="20"/>
          <w:szCs w:val="20"/>
          <w:b w:val="1"/>
          <w:bCs w:val="1"/>
          <w:color w:val="auto"/>
        </w:rPr>
        <w:t>Social Security Yangtze River Delta Fund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60" w:name="page361"/>
    <w:bookmarkEnd w:id="360"/>
    <w:p>
      <w:pPr>
        <w:ind w:left="600" w:right="3180" w:firstLine="2603"/>
        <w:spacing w:after="0" w:line="439" w:lineRule="auto"/>
        <w:rPr>
          <w:sz w:val="20"/>
          <w:szCs w:val="20"/>
          <w:color w:val="auto"/>
        </w:rPr>
      </w:pPr>
      <w:r>
        <w:rPr>
          <w:rFonts w:ascii="Times New Roman" w:cs="Times New Roman" w:eastAsia="Times New Roman" w:hAnsi="Times New Roman"/>
          <w:sz w:val="19"/>
          <w:szCs w:val="19"/>
          <w:color w:val="auto"/>
        </w:rPr>
        <w:t>GeniTech Co., Ltd. Shareholders Agreement together with Harmonious Growth Fund, the “</w:t>
      </w:r>
      <w:r>
        <w:rPr>
          <w:rFonts w:ascii="Times New Roman" w:cs="Times New Roman" w:eastAsia="Times New Roman" w:hAnsi="Times New Roman"/>
          <w:sz w:val="19"/>
          <w:szCs w:val="19"/>
          <w:b w:val="1"/>
          <w:bCs w:val="1"/>
          <w:color w:val="auto"/>
        </w:rPr>
        <w:t>Harmonious Fund</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left="600" w:hanging="600"/>
        <w:spacing w:after="0" w:line="243" w:lineRule="auto"/>
        <w:tabs>
          <w:tab w:leader="none" w:pos="60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OmniVision Integrated Circuits Group, Inc.</w:t>
      </w:r>
      <w:r>
        <w:rPr>
          <w:rFonts w:ascii="Times New Roman" w:cs="Times New Roman" w:eastAsia="Times New Roman" w:hAnsi="Times New Roman"/>
          <w:sz w:val="20"/>
          <w:szCs w:val="20"/>
          <w:color w:val="auto"/>
        </w:rPr>
        <w:t>, a limited liability company duly established and existing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the People’s Republic of China, holding a business license with unified social credit code of 9131000066244468X3, and with its registered address at 7/F, Block C, Building 1, 3000 Longdong Avenue, China (Shanghai) Pilot Free Trade Zone (“</w:t>
      </w:r>
      <w:r>
        <w:rPr>
          <w:rFonts w:ascii="Times New Roman" w:cs="Times New Roman" w:eastAsia="Times New Roman" w:hAnsi="Times New Roman"/>
          <w:sz w:val="20"/>
          <w:szCs w:val="20"/>
          <w:b w:val="1"/>
          <w:bCs w:val="1"/>
          <w:color w:val="auto"/>
        </w:rPr>
        <w:t>OmniVision Group</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jc w:val="both"/>
        <w:ind w:left="600" w:hanging="600"/>
        <w:spacing w:after="0" w:line="243" w:lineRule="auto"/>
        <w:tabs>
          <w:tab w:leader="none" w:pos="60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Shanghai Keshi Management Partnership (Limited Partnership)</w:t>
      </w:r>
      <w:r>
        <w:rPr>
          <w:rFonts w:ascii="Times New Roman" w:cs="Times New Roman" w:eastAsia="Times New Roman" w:hAnsi="Times New Roman"/>
          <w:sz w:val="20"/>
          <w:szCs w:val="20"/>
          <w:color w:val="auto"/>
        </w:rPr>
        <w:t>, a limited partnership duly established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existing under the Laws of the People’s Republic of China, holding a business license with unified social credit code of 91310230MAK283X904, and with its registered address at Hongfeng Road No.33, Hengsha Township, Chongming District, Shanghai (Shanghai Hengtai Economic Development Zone) (“</w:t>
      </w:r>
      <w:r>
        <w:rPr>
          <w:rFonts w:ascii="Times New Roman" w:cs="Times New Roman" w:eastAsia="Times New Roman" w:hAnsi="Times New Roman"/>
          <w:sz w:val="20"/>
          <w:szCs w:val="20"/>
          <w:b w:val="1"/>
          <w:bCs w:val="1"/>
          <w:color w:val="auto"/>
        </w:rPr>
        <w:t>Shanghai Keshi</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Shenzhen Juyuan Xinchuang Private Equity Investment Fund Partnership Enterprise (Limited Partnership)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limited partnership duly established and existing under the Laws of the People’s Republic of China, holding a business license with unified social credit code of 91440300MA5GTXGA20, and with its registered address at Room 1007, Building 7, Phase II, Hongshan 6979, Daling Community, Minzhi Street, Longhua District, Shenzhen (“</w:t>
      </w:r>
      <w:r>
        <w:rPr>
          <w:rFonts w:ascii="Times New Roman" w:cs="Times New Roman" w:eastAsia="Times New Roman" w:hAnsi="Times New Roman"/>
          <w:sz w:val="20"/>
          <w:szCs w:val="20"/>
          <w:b w:val="1"/>
          <w:bCs w:val="1"/>
          <w:color w:val="auto"/>
        </w:rPr>
        <w:t>Juyuan Xinchuang</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00" w:hanging="600"/>
        <w:spacing w:after="0" w:line="233" w:lineRule="exact"/>
        <w:tabs>
          <w:tab w:leader="none" w:pos="60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Jiaxing Juyuan Zhiguang Equity Investment Partnership (Limited Partnership)</w:t>
      </w:r>
      <w:r>
        <w:rPr>
          <w:rFonts w:ascii="Times New Roman" w:cs="Times New Roman" w:eastAsia="Times New Roman" w:hAnsi="Times New Roman"/>
          <w:sz w:val="20"/>
          <w:szCs w:val="20"/>
          <w:color w:val="auto"/>
        </w:rPr>
        <w:t>, a limited partnership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established and existing under the Laws of the People’s Republic of China, holding a business license with unified social credit code of 91330402MAK4R5MN6Y, and with its registered address at Room 221-100, Building 1, Fund Town, No. 1856 Nanjiang Road, Dongzha Street, Nanhu District, Jiaxing City, Zhejiang Province (“</w:t>
      </w:r>
      <w:r>
        <w:rPr>
          <w:rFonts w:ascii="Times New Roman" w:cs="Times New Roman" w:eastAsia="Times New Roman" w:hAnsi="Times New Roman"/>
          <w:sz w:val="20"/>
          <w:szCs w:val="20"/>
          <w:b w:val="1"/>
          <w:bCs w:val="1"/>
          <w:color w:val="auto"/>
        </w:rPr>
        <w:t>Juyuan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Zhiguang</w:t>
      </w:r>
      <w:r>
        <w:rPr>
          <w:rFonts w:ascii="Times New Roman" w:cs="Times New Roman" w:eastAsia="Times New Roman" w:hAnsi="Times New Roman"/>
          <w:sz w:val="20"/>
          <w:szCs w:val="20"/>
          <w:color w:val="auto"/>
        </w:rPr>
        <w:t>”, together with Juyuan Xinchuang, the “</w:t>
      </w:r>
      <w:r>
        <w:rPr>
          <w:rFonts w:ascii="Times New Roman" w:cs="Times New Roman" w:eastAsia="Times New Roman" w:hAnsi="Times New Roman"/>
          <w:sz w:val="20"/>
          <w:szCs w:val="20"/>
          <w:b w:val="1"/>
          <w:bCs w:val="1"/>
          <w:color w:val="auto"/>
        </w:rPr>
        <w:t>Zhongxin Juyuan</w:t>
      </w:r>
      <w:r>
        <w:rPr>
          <w:rFonts w:ascii="Times New Roman" w:cs="Times New Roman" w:eastAsia="Times New Roman" w:hAnsi="Times New Roman"/>
          <w:sz w:val="20"/>
          <w:szCs w:val="20"/>
          <w:color w:val="auto"/>
        </w:rPr>
        <w:t>”)</w:t>
      </w:r>
      <w:r>
        <w:rPr>
          <w:rFonts w:ascii="MS PGothic" w:cs="MS PGothic" w:eastAsia="MS PGothic" w:hAnsi="MS PGothic"/>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600" w:hanging="600"/>
        <w:spacing w:after="0" w:line="243" w:lineRule="auto"/>
        <w:tabs>
          <w:tab w:leader="none" w:pos="60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Anhui Guokong Growth Energy Investment Fund Partnership Enterprise (Limited Partnership)</w:t>
      </w:r>
      <w:r>
        <w:rPr>
          <w:rFonts w:ascii="Times New Roman" w:cs="Times New Roman" w:eastAsia="Times New Roman" w:hAnsi="Times New Roman"/>
          <w:sz w:val="20"/>
          <w:szCs w:val="20"/>
          <w:color w:val="auto"/>
        </w:rPr>
        <w:t>, 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duly established and existing under the Laws of the People’s Republic of China, holding a business license with unified social credit code of 91340111MA2WCKDQ5B, and with its registered address at BH333, Binhu Financial Town, No. 8 Heilongjiang Road, Baohe District, Hefei City (“</w:t>
      </w:r>
      <w:r>
        <w:rPr>
          <w:rFonts w:ascii="Times New Roman" w:cs="Times New Roman" w:eastAsia="Times New Roman" w:hAnsi="Times New Roman"/>
          <w:sz w:val="20"/>
          <w:szCs w:val="20"/>
          <w:b w:val="1"/>
          <w:bCs w:val="1"/>
          <w:color w:val="auto"/>
        </w:rPr>
        <w:t>Anhui Guokong</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ind w:left="600" w:hanging="600"/>
        <w:spacing w:after="0" w:line="266" w:lineRule="auto"/>
        <w:tabs>
          <w:tab w:leader="none" w:pos="60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Anhui Gaoxin Yuanhe Puhua Private Equity Investment Fund Partnership Enterprise (Limited Partnership)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limited partnership duly established and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61" w:name="page362"/>
    <w:bookmarkEnd w:id="361"/>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600"/>
        <w:spacing w:after="0" w:line="242" w:lineRule="auto"/>
        <w:rPr>
          <w:sz w:val="20"/>
          <w:szCs w:val="20"/>
          <w:color w:val="auto"/>
        </w:rPr>
      </w:pPr>
      <w:r>
        <w:rPr>
          <w:rFonts w:ascii="Times New Roman" w:cs="Times New Roman" w:eastAsia="Times New Roman" w:hAnsi="Times New Roman"/>
          <w:sz w:val="20"/>
          <w:szCs w:val="20"/>
          <w:color w:val="auto"/>
        </w:rPr>
        <w:t>existing under the Laws of the People’s Republic of China, holding a business license with unified social credit code of 91341171MADX2642XG, and with its registered address at Room 407-5, Suzhou-Chuzhou International Business Center, No. 1999 Huizhou South Road, Dawang Subdistrict, China-Singapore Suzhou-Chuzhou High-tech Industrial Development Zone, Chuzhou City, Anhui Province (“</w:t>
      </w:r>
      <w:r>
        <w:rPr>
          <w:rFonts w:ascii="Times New Roman" w:cs="Times New Roman" w:eastAsia="Times New Roman" w:hAnsi="Times New Roman"/>
          <w:sz w:val="20"/>
          <w:szCs w:val="20"/>
          <w:b w:val="1"/>
          <w:bCs w:val="1"/>
          <w:color w:val="auto"/>
        </w:rPr>
        <w:t>Yuanhe Puhua</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left="600" w:hanging="600"/>
        <w:spacing w:after="0" w:line="239" w:lineRule="auto"/>
        <w:tabs>
          <w:tab w:leader="none" w:pos="60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Hefei Weilai Industrial Development Equity Investment Partnership Enterprise (Limited Partnership)</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partnership duly established and existing under the Laws of the People’s Republic of China, holding a business license with unified social credit code of 91340121MA8NGPNUXW, and with its registered address at Shuangfeng Zhigu Innovation and Entrepreneurship Technology Park, Intersection of Meichonghu Road and Wenming Road, Shuangfeng Industrial Zone, Changfeng County, Hefei City, Anhui Province (“</w:t>
      </w:r>
      <w:r>
        <w:rPr>
          <w:rFonts w:ascii="Times New Roman" w:cs="Times New Roman" w:eastAsia="Times New Roman" w:hAnsi="Times New Roman"/>
          <w:sz w:val="20"/>
          <w:szCs w:val="20"/>
          <w:b w:val="1"/>
          <w:bCs w:val="1"/>
          <w:color w:val="auto"/>
        </w:rPr>
        <w:t>Hefei Weilai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Investment</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600" w:hanging="600"/>
        <w:spacing w:after="0"/>
        <w:tabs>
          <w:tab w:leader="none" w:pos="60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Chongqing Manufacturing Transformation and Upgrade Private Equity Investment Fund Partnership (Limited Partnership)</w:t>
      </w:r>
      <w:r>
        <w:rPr>
          <w:rFonts w:ascii="Times New Roman" w:cs="Times New Roman" w:eastAsia="Times New Roman" w:hAnsi="Times New Roman"/>
          <w:sz w:val="20"/>
          <w:szCs w:val="20"/>
          <w:color w:val="auto"/>
        </w:rPr>
        <w:t>, a limited partnership duly established and existing under the Laws of the People’s Republic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China, holding a business license with unified social credit code of 91500151MA7F7WCR6C, and with its registered address at 15/F, Financial Building, No. 505 Jinlong Avenue, Dongcheng Subdistrict, Tongliang District, Chongqing (“</w:t>
      </w:r>
      <w:r>
        <w:rPr>
          <w:rFonts w:ascii="Times New Roman" w:cs="Times New Roman" w:eastAsia="Times New Roman" w:hAnsi="Times New Roman"/>
          <w:sz w:val="20"/>
          <w:szCs w:val="20"/>
          <w:b w:val="1"/>
          <w:bCs w:val="1"/>
          <w:color w:val="auto"/>
        </w:rPr>
        <w:t>Chongqing Manufacturing Fund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00" w:hanging="600"/>
        <w:spacing w:after="0" w:line="239" w:lineRule="auto"/>
        <w:tabs>
          <w:tab w:leader="none" w:pos="60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Hubei Green Innovation Navigation Equity Investment Partnership (Limited Partnership)</w:t>
      </w:r>
      <w:r>
        <w:rPr>
          <w:rFonts w:ascii="Times New Roman" w:cs="Times New Roman" w:eastAsia="Times New Roman" w:hAnsi="Times New Roman"/>
          <w:sz w:val="20"/>
          <w:szCs w:val="20"/>
          <w:color w:val="auto"/>
        </w:rPr>
        <w:t>, 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duly established and existing under the Laws of the People’s Republic of China, holding a business license with unified social credit code of 91420106MAEL9FK33A, and with its registered address at Room 3206, New Commercial Service Facility (Tietou Carbon Hub), No. 223 Zhongbei Road, Wuchang District, Wuhan City, Hubei Province (“</w:t>
      </w:r>
      <w:r>
        <w:rPr>
          <w:rFonts w:ascii="Times New Roman" w:cs="Times New Roman" w:eastAsia="Times New Roman" w:hAnsi="Times New Roman"/>
          <w:sz w:val="20"/>
          <w:szCs w:val="20"/>
          <w:b w:val="1"/>
          <w:bCs w:val="1"/>
          <w:color w:val="auto"/>
        </w:rPr>
        <w:t>Hubei Green Innovation Fund</w:t>
      </w:r>
      <w:r>
        <w:rPr>
          <w:rFonts w:ascii="Times New Roman" w:cs="Times New Roman" w:eastAsia="Times New Roman" w:hAnsi="Times New Roman"/>
          <w:sz w:val="20"/>
          <w:szCs w:val="20"/>
          <w:color w:val="auto"/>
        </w:rPr>
        <w:t>”, together with Chongqing Manufacturing Fund, the “</w:t>
      </w:r>
      <w:r>
        <w:rPr>
          <w:rFonts w:ascii="Times New Roman" w:cs="Times New Roman" w:eastAsia="Times New Roman" w:hAnsi="Times New Roman"/>
          <w:sz w:val="20"/>
          <w:szCs w:val="20"/>
          <w:b w:val="1"/>
          <w:bCs w:val="1"/>
          <w:color w:val="auto"/>
        </w:rPr>
        <w:t>Jianxin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Equity</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jc w:val="both"/>
        <w:ind w:left="600" w:hanging="600"/>
        <w:spacing w:after="0" w:line="260" w:lineRule="auto"/>
        <w:tabs>
          <w:tab w:leader="none" w:pos="60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Kunshan Yuanhe Yucheng Venture Capital Partnership (Limited Partnership)</w:t>
      </w:r>
      <w:r>
        <w:rPr>
          <w:rFonts w:ascii="Times New Roman" w:cs="Times New Roman" w:eastAsia="Times New Roman" w:hAnsi="Times New Roman"/>
          <w:sz w:val="19"/>
          <w:szCs w:val="19"/>
          <w:color w:val="auto"/>
        </w:rPr>
        <w:t>, a limited partnership duly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established and existing under the Laws of the People’s Republic of China, holding a business license with unified social credit code of 91320583MAD0U3MTX7, and with its registered address at Room 702, Building 1, Huijin Fortune Plaza, No. 258 Dengyun Road, Yushan Town, Kunshan City, Suzhou, Jiangsu Province (“</w:t>
      </w:r>
      <w:r>
        <w:rPr>
          <w:rFonts w:ascii="Times New Roman" w:cs="Times New Roman" w:eastAsia="Times New Roman" w:hAnsi="Times New Roman"/>
          <w:sz w:val="19"/>
          <w:szCs w:val="19"/>
          <w:b w:val="1"/>
          <w:bCs w:val="1"/>
          <w:color w:val="auto"/>
        </w:rPr>
        <w:t>Oriza Holdings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62" w:name="page363"/>
    <w:bookmarkEnd w:id="362"/>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Shenrui No.1, Shenrui No.2 and Shenrui No.3 are hereinafter individually or collectively referred to as the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Shareholding Platforms</w:t>
      </w:r>
      <w:r>
        <w:rPr>
          <w:rFonts w:ascii="Times New Roman" w:cs="Times New Roman" w:eastAsia="Times New Roman" w:hAnsi="Times New Roman"/>
          <w:sz w:val="20"/>
          <w:szCs w:val="20"/>
          <w:color w:val="auto"/>
        </w:rPr>
        <w:t>”. The Company, Controlling Shareholder, NIO and the Employee Shareholding Platforms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hereinafter individually referred to as a “</w:t>
      </w:r>
      <w:r>
        <w:rPr>
          <w:rFonts w:ascii="Times New Roman" w:cs="Times New Roman" w:eastAsia="Times New Roman" w:hAnsi="Times New Roman"/>
          <w:sz w:val="20"/>
          <w:szCs w:val="20"/>
          <w:b w:val="1"/>
          <w:bCs w:val="1"/>
          <w:color w:val="auto"/>
        </w:rPr>
        <w:t>Company 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Company Parties</w:t>
      </w:r>
      <w:r>
        <w:rPr>
          <w:rFonts w:ascii="Times New Roman" w:cs="Times New Roman" w:eastAsia="Times New Roman" w:hAnsi="Times New Roman"/>
          <w:sz w:val="20"/>
          <w:szCs w:val="20"/>
          <w:color w:val="auto"/>
        </w:rPr>
        <w:t>”. Emerging Industry Fund, Hefei Haiheng, Harmonious Growth Fund, Social Security Yangtze River Delta Fund, OmniVision Group, Shanghai Keshi, Juyuan Xinchuang, Juyuan Zhiguang, Anhui Guokong, Yuanhe Puhua, Hefei Weilai Investment, Chongqing Manufacturing Fund, Hubei Green Innovation Fund and Oriza Holdings are hereinafter individually referred to as an “</w:t>
      </w:r>
      <w:r>
        <w:rPr>
          <w:rFonts w:ascii="Times New Roman" w:cs="Times New Roman" w:eastAsia="Times New Roman" w:hAnsi="Times New Roman"/>
          <w:sz w:val="20"/>
          <w:szCs w:val="20"/>
          <w:b w:val="1"/>
          <w:bCs w:val="1"/>
          <w:color w:val="auto"/>
        </w:rPr>
        <w:t>Investor</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Investors</w:t>
      </w:r>
      <w:r>
        <w:rPr>
          <w:rFonts w:ascii="Times New Roman" w:cs="Times New Roman" w:eastAsia="Times New Roman" w:hAnsi="Times New Roman"/>
          <w:sz w:val="20"/>
          <w:szCs w:val="20"/>
          <w:color w:val="auto"/>
        </w:rPr>
        <w:t>”. The parties entering into this Agreement are hereinafter referred to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left="600" w:hanging="599"/>
        <w:spacing w:after="0" w:line="243" w:lineRule="auto"/>
        <w:tabs>
          <w:tab w:leader="none" w:pos="58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20"/>
          <w:szCs w:val="20"/>
          <w:color w:val="auto"/>
        </w:rPr>
        <w:t>On the Execution Date, the Parties entered into a GeniTech Co., Ltd. Subscription Agreement (the “</w:t>
      </w:r>
      <w:r>
        <w:rPr>
          <w:rFonts w:ascii="Times New Roman" w:cs="Times New Roman" w:eastAsia="Times New Roman" w:hAnsi="Times New Roman"/>
          <w:sz w:val="20"/>
          <w:szCs w:val="20"/>
          <w:b w:val="1"/>
          <w:bCs w:val="1"/>
          <w:color w:val="auto"/>
        </w:rPr>
        <w:t>Subscription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Pursuant to the Subscription Agreement, the Investors shall subscribe for an aggregate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RMB28,322,075.85 of the registered capital of the Company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xml:space="preserve">”). Upon the completion of the Transaction, the equity structure of the Company on a Fully-Diluted Basis shall be as set forth in </w:t>
      </w:r>
      <w:r>
        <w:rPr>
          <w:rFonts w:ascii="Times New Roman" w:cs="Times New Roman" w:eastAsia="Times New Roman" w:hAnsi="Times New Roman"/>
          <w:sz w:val="20"/>
          <w:szCs w:val="20"/>
          <w:u w:val="single" w:color="auto"/>
          <w:color w:val="auto"/>
        </w:rPr>
        <w:t>Exhibit 1</w:t>
      </w:r>
      <w:r>
        <w:rPr>
          <w:rFonts w:ascii="Times New Roman" w:cs="Times New Roman" w:eastAsia="Times New Roman" w:hAnsi="Times New Roman"/>
          <w:sz w:val="20"/>
          <w:szCs w:val="20"/>
          <w:color w:val="auto"/>
        </w:rPr>
        <w:t xml:space="preserve"> hereto;</w:t>
      </w:r>
    </w:p>
    <w:p>
      <w:pPr>
        <w:spacing w:after="0" w:line="162" w:lineRule="exact"/>
        <w:rPr>
          <w:sz w:val="20"/>
          <w:szCs w:val="20"/>
          <w:color w:val="auto"/>
        </w:rPr>
      </w:pPr>
    </w:p>
    <w:p>
      <w:pPr>
        <w:jc w:val="both"/>
        <w:ind w:left="600" w:hanging="599"/>
        <w:spacing w:after="0" w:line="262" w:lineRule="auto"/>
        <w:tabs>
          <w:tab w:leader="none" w:pos="58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20"/>
          <w:szCs w:val="20"/>
          <w:color w:val="auto"/>
        </w:rPr>
        <w:t>Pursuant to the Subscription Agreement, the execution of this Agreement is one of the conditions precedent to the completion of the Transaction under the Subscription Agreement;</w:t>
      </w:r>
    </w:p>
    <w:p>
      <w:pPr>
        <w:spacing w:after="0" w:line="1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9"/>
          <w:szCs w:val="19"/>
          <w:color w:val="auto"/>
        </w:rPr>
        <w:t>(3)</w:t>
      </w:r>
      <w:r>
        <w:rPr>
          <w:sz w:val="20"/>
          <w:szCs w:val="20"/>
          <w:color w:val="auto"/>
        </w:rPr>
        <w:tab/>
      </w:r>
      <w:r>
        <w:rPr>
          <w:rFonts w:ascii="Times New Roman" w:cs="Times New Roman" w:eastAsia="Times New Roman" w:hAnsi="Times New Roman"/>
          <w:sz w:val="19"/>
          <w:szCs w:val="19"/>
          <w:color w:val="auto"/>
        </w:rPr>
        <w:t>The Parties intend to set forth certain rights enjoyed by and obligations assumed by the shareholders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the parties hereto have agreed as follows:</w:t>
      </w:r>
    </w:p>
    <w:p>
      <w:pPr>
        <w:spacing w:after="0" w:line="187" w:lineRule="exact"/>
        <w:rPr>
          <w:sz w:val="20"/>
          <w:szCs w:val="20"/>
          <w:color w:val="auto"/>
        </w:rPr>
      </w:pPr>
    </w:p>
    <w:p>
      <w:pPr>
        <w:ind w:left="2860"/>
        <w:spacing w:after="0"/>
        <w:tabs>
          <w:tab w:leader="none" w:pos="34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20"/>
          <w:szCs w:val="20"/>
          <w:b w:val="1"/>
          <w:bCs w:val="1"/>
          <w:color w:val="auto"/>
        </w:rPr>
        <w:t>DEFINITIONS AND INTERPRETATION</w:t>
      </w:r>
    </w:p>
    <w:p>
      <w:pPr>
        <w:spacing w:after="0" w:line="19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DEFINITIONS</w:t>
      </w:r>
    </w:p>
    <w:p>
      <w:pPr>
        <w:spacing w:after="0" w:line="1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Unless otherwise specified in this Agreement, the following terms shall have the following meanings:</w:t>
      </w:r>
    </w:p>
    <w:p>
      <w:pPr>
        <w:sectPr>
          <w:pgSz w:w="11900" w:h="16838" w:orient="portrait"/>
          <w:cols w:equalWidth="0" w:num="1">
            <w:col w:w="9920"/>
          </w:cols>
          <w:pgMar w:left="980" w:top="609" w:right="999" w:bottom="1440" w:gutter="0" w:footer="0" w:header="0"/>
        </w:sectPr>
      </w:pPr>
    </w:p>
    <w:p>
      <w:pPr>
        <w:spacing w:after="0" w:line="1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Target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means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as set forth in the Subscription Agreement.</w:t>
      </w:r>
    </w:p>
    <w:p>
      <w:pPr>
        <w:spacing w:after="0" w:line="40" w:lineRule="exact"/>
        <w:rPr>
          <w:sz w:val="20"/>
          <w:szCs w:val="20"/>
          <w:color w:val="auto"/>
        </w:rPr>
      </w:pPr>
    </w:p>
    <w:p>
      <w:pPr>
        <w:sectPr>
          <w:pgSz w:w="11900" w:h="16838" w:orient="portrait"/>
          <w:cols w:equalWidth="0" w:num="4">
            <w:col w:w="1840" w:space="720"/>
            <w:col w:w="940" w:space="180"/>
            <w:col w:w="500" w:space="180"/>
            <w:col w:w="5560"/>
          </w:cols>
          <w:pgMar w:left="980" w:top="609" w:right="99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9"/>
          <w:szCs w:val="19"/>
          <w:b w:val="1"/>
          <w:bCs w:val="1"/>
          <w:color w:val="auto"/>
        </w:rPr>
        <w:t>Property</w:t>
      </w:r>
      <w:r>
        <w:rPr>
          <w:rFonts w:ascii="Times New Roman" w:cs="Times New Roman" w:eastAsia="Times New Roman" w:hAnsi="Times New Roman"/>
          <w:sz w:val="19"/>
          <w:szCs w:val="19"/>
          <w:color w:val="auto"/>
        </w:rPr>
        <w:t>”</w:t>
      </w:r>
    </w:p>
    <w:p>
      <w:pPr>
        <w:sectPr>
          <w:pgSz w:w="11900" w:h="16838" w:orient="portrait"/>
          <w:cols w:equalWidth="0" w:num="1">
            <w:col w:w="9920"/>
          </w:cols>
          <w:pgMar w:left="980" w:top="609"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type w:val="continuous"/>
        </w:sectPr>
      </w:pPr>
    </w:p>
    <w:bookmarkStart w:id="363" w:name="page364"/>
    <w:bookmarkEnd w:id="363"/>
    <w:p>
      <w:pPr>
        <w:jc w:val="center"/>
        <w:ind w:right="19"/>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Fully-Diluted Basis</w:t>
            </w:r>
            <w:r>
              <w:rPr>
                <w:rFonts w:ascii="Times New Roman" w:cs="Times New Roman" w:eastAsia="Times New Roman" w:hAnsi="Times New Roman"/>
                <w:sz w:val="20"/>
                <w:szCs w:val="20"/>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including all issued or contractually committed equity</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interests upon completion of the Closing, encompassing</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w w:val="99"/>
              </w:rPr>
              <w:t>all equity interests, option arrangements (if any), warrant</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arrangements  (if  any),  various  convertible  equity</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instruments  (if  any),  and  effects  arising  from  anti-</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dilution provisions (if any) that may exist due to prior</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financing  rounds.  If  such  arrangements  exist,  the</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registered capital of the Company shall be calculated</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based on the outcome after full implementation of the</w:t>
            </w:r>
          </w:p>
        </w:tc>
      </w:tr>
      <w:tr>
        <w:trPr>
          <w:trHeight w:val="258"/>
        </w:trPr>
        <w:tc>
          <w:tcPr>
            <w:tcW w:w="2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relevant arrangements.</w:t>
            </w:r>
          </w:p>
        </w:tc>
      </w:tr>
      <w:tr>
        <w:trPr>
          <w:trHeight w:val="385"/>
        </w:trPr>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 Event</w:t>
            </w:r>
            <w:r>
              <w:rPr>
                <w:rFonts w:ascii="Times New Roman" w:cs="Times New Roman" w:eastAsia="Times New Roman" w:hAnsi="Times New Roman"/>
                <w:sz w:val="20"/>
                <w:szCs w:val="20"/>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any of the following events: (a) the Company is merged</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or consolidated with or into any other entity, as a result</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of which the shareholders of the Company immediately</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w w:val="98"/>
              </w:rPr>
              <w:t>prior to such merger, consolidation or amalgamation hold</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w w:val="99"/>
              </w:rPr>
              <w:t>less than fifty percent (50%) of the equity interests in the</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w w:val="99"/>
              </w:rPr>
              <w:t>surviving company or entity after such transaction; or (b)</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the sale, transfer, mortgage, pledge or other form of</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disposal of all or substantially all of the assets of the</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Group Companies (including the sale or exclusive out-</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licensing to a third party of all or substantially all of the</w:t>
            </w:r>
          </w:p>
        </w:tc>
      </w:tr>
      <w:tr>
        <w:trPr>
          <w:trHeight w:val="258"/>
        </w:trPr>
        <w:tc>
          <w:tcPr>
            <w:tcW w:w="2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intellectual property rights of the Group Companies).</w:t>
            </w:r>
          </w:p>
        </w:tc>
      </w:tr>
      <w:tr>
        <w:trPr>
          <w:trHeight w:val="385"/>
        </w:trPr>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Majority Investors</w:t>
            </w:r>
            <w:r>
              <w:rPr>
                <w:rFonts w:ascii="Times New Roman" w:cs="Times New Roman" w:eastAsia="Times New Roman" w:hAnsi="Times New Roman"/>
                <w:sz w:val="20"/>
                <w:szCs w:val="20"/>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shareholders holding more than two-thirds (2/3) of</w:t>
            </w:r>
          </w:p>
        </w:tc>
      </w:tr>
      <w:tr>
        <w:trPr>
          <w:trHeight w:val="258"/>
        </w:trPr>
        <w:tc>
          <w:tcPr>
            <w:tcW w:w="2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voting rights held by all the Investors.</w:t>
            </w:r>
          </w:p>
        </w:tc>
      </w:tr>
      <w:tr>
        <w:trPr>
          <w:trHeight w:val="385"/>
        </w:trPr>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Independent Auditor</w:t>
            </w:r>
            <w:r>
              <w:rPr>
                <w:rFonts w:ascii="Times New Roman" w:cs="Times New Roman" w:eastAsia="Times New Roman" w:hAnsi="Times New Roman"/>
                <w:sz w:val="20"/>
                <w:szCs w:val="20"/>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independent auditor of any member of the Group</w:t>
            </w:r>
          </w:p>
        </w:tc>
      </w:tr>
      <w:tr>
        <w:trPr>
          <w:trHeight w:val="223"/>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Companies, which shall be an accounting firm duly</w:t>
            </w:r>
          </w:p>
        </w:tc>
      </w:tr>
      <w:tr>
        <w:trPr>
          <w:trHeight w:val="258"/>
        </w:trPr>
        <w:tc>
          <w:tcPr>
            <w:tcW w:w="2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established in China and authorized to practice in China.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364" w:name="page365"/>
    <w:bookmarkEnd w:id="364"/>
    <w:tbl>
      <w:tblPr>
        <w:tblLayout w:type="fixed"/>
        <w:tblInd w:w="540" w:type="dxa"/>
        <w:tblCellMar>
          <w:top w:w="0" w:type="dxa"/>
          <w:left w:w="0" w:type="dxa"/>
          <w:bottom w:w="0" w:type="dxa"/>
          <w:right w:w="0" w:type="dxa"/>
        </w:tblCellMar>
      </w:tblPr>
      <w:tr>
        <w:trPr>
          <w:trHeight w:val="258"/>
        </w:trPr>
        <w:tc>
          <w:tcPr>
            <w:tcW w:w="2140" w:type="dxa"/>
            <w:vAlign w:val="bottom"/>
          </w:tcPr>
          <w:p>
            <w:pPr>
              <w:spacing w:after="0"/>
              <w:rPr>
                <w:sz w:val="22"/>
                <w:szCs w:val="22"/>
                <w:color w:val="auto"/>
              </w:rPr>
            </w:pPr>
          </w:p>
        </w:tc>
        <w:tc>
          <w:tcPr>
            <w:tcW w:w="5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GeniTech Co., Ltd. Shareholders Agreement</w:t>
            </w:r>
          </w:p>
        </w:tc>
      </w:tr>
      <w:tr>
        <w:trPr>
          <w:trHeight w:val="360"/>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Liabilities</w:t>
            </w:r>
            <w:r>
              <w:rPr>
                <w:rFonts w:ascii="Times New Roman" w:cs="Times New Roman" w:eastAsia="Times New Roman" w:hAnsi="Times New Roman"/>
                <w:sz w:val="20"/>
                <w:szCs w:val="20"/>
                <w:color w:val="auto"/>
              </w:rPr>
              <w:t>”</w:t>
            </w:r>
          </w:p>
        </w:tc>
        <w:tc>
          <w:tcPr>
            <w:tcW w:w="11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with respect to any person, all debts and other liabilities</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of whatever nature actually incurred or which may be</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w w:val="98"/>
              </w:rPr>
              <w:t>incurred by such person, whether or not they are required</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to be disclosed in the accounts of such person by their</w:t>
            </w:r>
          </w:p>
        </w:tc>
      </w:tr>
      <w:tr>
        <w:trPr>
          <w:trHeight w:val="258"/>
        </w:trPr>
        <w:tc>
          <w:tcPr>
            <w:tcW w:w="2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nature.</w:t>
            </w:r>
          </w:p>
        </w:tc>
      </w:tr>
      <w:tr>
        <w:trPr>
          <w:trHeight w:val="385"/>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w:t>
            </w:r>
          </w:p>
        </w:tc>
        <w:tc>
          <w:tcPr>
            <w:tcW w:w="11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any day other than a Saturday, Sunday, statutory holiday,</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or any other day on which commercial banks are closed</w:t>
            </w:r>
          </w:p>
        </w:tc>
      </w:tr>
      <w:tr>
        <w:trPr>
          <w:trHeight w:val="258"/>
        </w:trPr>
        <w:tc>
          <w:tcPr>
            <w:tcW w:w="2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 business in China.</w:t>
            </w:r>
          </w:p>
        </w:tc>
      </w:tr>
      <w:tr>
        <w:trPr>
          <w:trHeight w:val="385"/>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Articles of Association</w:t>
            </w:r>
            <w:r>
              <w:rPr>
                <w:rFonts w:ascii="Times New Roman" w:cs="Times New Roman" w:eastAsia="Times New Roman" w:hAnsi="Times New Roman"/>
                <w:sz w:val="20"/>
                <w:szCs w:val="20"/>
                <w:color w:val="auto"/>
              </w:rPr>
              <w:t>”</w:t>
            </w:r>
          </w:p>
        </w:tc>
        <w:tc>
          <w:tcPr>
            <w:tcW w:w="11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GeniTech Co., Ltd. Articles of Association of the Target</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Company  as  amended  pursuant  to  the  Subscription</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Agreement, including any revised version thereof as</w:t>
            </w:r>
          </w:p>
        </w:tc>
      </w:tr>
      <w:tr>
        <w:trPr>
          <w:trHeight w:val="258"/>
        </w:trPr>
        <w:tc>
          <w:tcPr>
            <w:tcW w:w="2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amended from time to time after the Closing Date.</w:t>
            </w:r>
          </w:p>
        </w:tc>
      </w:tr>
      <w:tr>
        <w:trPr>
          <w:trHeight w:val="385"/>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Incentive Plan</w:t>
            </w:r>
            <w:r>
              <w:rPr>
                <w:rFonts w:ascii="Times New Roman" w:cs="Times New Roman" w:eastAsia="Times New Roman" w:hAnsi="Times New Roman"/>
                <w:sz w:val="20"/>
                <w:szCs w:val="20"/>
                <w:color w:val="auto"/>
              </w:rPr>
              <w:t>”</w:t>
            </w:r>
          </w:p>
        </w:tc>
        <w:tc>
          <w:tcPr>
            <w:tcW w:w="578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means  the  equity  incentive  plan  for  the  management/key</w:t>
            </w:r>
          </w:p>
        </w:tc>
      </w:tr>
      <w:tr>
        <w:trPr>
          <w:trHeight w:val="258"/>
        </w:trPr>
        <w:tc>
          <w:tcPr>
            <w:tcW w:w="2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employees of the Target Company.</w:t>
            </w:r>
          </w:p>
        </w:tc>
      </w:tr>
      <w:tr>
        <w:trPr>
          <w:trHeight w:val="385"/>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Securities</w:t>
            </w:r>
            <w:r>
              <w:rPr>
                <w:rFonts w:ascii="Times New Roman" w:cs="Times New Roman" w:eastAsia="Times New Roman" w:hAnsi="Times New Roman"/>
                <w:sz w:val="20"/>
                <w:szCs w:val="20"/>
                <w:color w:val="auto"/>
              </w:rPr>
              <w:t>”</w:t>
            </w:r>
          </w:p>
        </w:tc>
        <w:tc>
          <w:tcPr>
            <w:tcW w:w="11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with respect to any person, the equity, shares, preferred</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shares,  shareholder’s  equity,  partnership  interests,</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registered  capital,  joint  venture  interests  or  other</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w w:val="99"/>
              </w:rPr>
              <w:t>ownership interests of such person, and options, warrants</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or other rights or securities that are directly or indirectly</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w w:val="99"/>
              </w:rPr>
              <w:t>convertible into, exercisable for, or exchangeable for any</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of the foregoing. In this Agreement, any reference to a</w:t>
            </w:r>
          </w:p>
        </w:tc>
      </w:tr>
      <w:tr>
        <w:trPr>
          <w:trHeight w:val="223"/>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person’s “equity” shall include Equity Securities, unless</w:t>
            </w:r>
          </w:p>
        </w:tc>
      </w:tr>
      <w:tr>
        <w:trPr>
          <w:trHeight w:val="258"/>
        </w:trPr>
        <w:tc>
          <w:tcPr>
            <w:tcW w:w="2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context clearly requires otherwise.</w:t>
            </w:r>
          </w:p>
        </w:tc>
      </w:tr>
      <w:tr>
        <w:trPr>
          <w:trHeight w:val="421"/>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Team</w:t>
            </w:r>
            <w:r>
              <w:rPr>
                <w:rFonts w:ascii="Times New Roman" w:cs="Times New Roman" w:eastAsia="Times New Roman" w:hAnsi="Times New Roman"/>
                <w:sz w:val="20"/>
                <w:szCs w:val="20"/>
                <w:color w:val="auto"/>
              </w:rPr>
              <w:t>”</w:t>
            </w:r>
          </w:p>
        </w:tc>
        <w:tc>
          <w:tcPr>
            <w:tcW w:w="11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the definition as set forth in the Subscription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365" w:name="page366"/>
    <w:bookmarkEnd w:id="365"/>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IPO</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66" w:lineRule="exact"/>
        <w:rPr>
          <w:sz w:val="20"/>
          <w:szCs w:val="20"/>
          <w:color w:val="auto"/>
        </w:rPr>
      </w:pPr>
    </w:p>
    <w:p>
      <w:pPr>
        <w:ind w:left="480"/>
        <w:spacing w:after="0"/>
        <w:tabs>
          <w:tab w:leader="none" w:pos="1140" w:val="left"/>
        </w:tabs>
        <w:rPr>
          <w:sz w:val="20"/>
          <w:szCs w:val="20"/>
          <w:color w:val="auto"/>
        </w:rPr>
      </w:pPr>
      <w:r>
        <w:rPr>
          <w:rFonts w:ascii="Times New Roman" w:cs="Times New Roman" w:eastAsia="Times New Roman" w:hAnsi="Times New Roman"/>
          <w:sz w:val="20"/>
          <w:szCs w:val="20"/>
          <w:color w:val="auto"/>
        </w:rPr>
        <w:t>means</w:t>
        <w:tab/>
        <w:t>(i) where such person is not a natural person, any other</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person that directly or indirectly Controls, is Controlled</w:t>
      </w:r>
    </w:p>
    <w:p>
      <w:pPr>
        <w:jc w:val="right"/>
        <w:ind w:right="559"/>
        <w:spacing w:after="0" w:line="232" w:lineRule="auto"/>
        <w:rPr>
          <w:sz w:val="20"/>
          <w:szCs w:val="20"/>
          <w:color w:val="auto"/>
        </w:rPr>
      </w:pPr>
      <w:r>
        <w:rPr>
          <w:rFonts w:ascii="Times New Roman" w:cs="Times New Roman" w:eastAsia="Times New Roman" w:hAnsi="Times New Roman"/>
          <w:sz w:val="20"/>
          <w:szCs w:val="20"/>
          <w:color w:val="auto"/>
        </w:rPr>
        <w:t>by, or is under common Control with such person; (ii)</w:t>
      </w:r>
    </w:p>
    <w:p>
      <w:pPr>
        <w:ind w:left="1160"/>
        <w:spacing w:after="0" w:line="232" w:lineRule="auto"/>
        <w:rPr>
          <w:sz w:val="20"/>
          <w:szCs w:val="20"/>
          <w:color w:val="auto"/>
        </w:rPr>
      </w:pPr>
      <w:r>
        <w:rPr>
          <w:rFonts w:ascii="Times New Roman" w:cs="Times New Roman" w:eastAsia="Times New Roman" w:hAnsi="Times New Roman"/>
          <w:sz w:val="20"/>
          <w:szCs w:val="20"/>
          <w:color w:val="auto"/>
        </w:rPr>
        <w:t>where such person is a natural person, any other person</w:t>
      </w:r>
    </w:p>
    <w:p>
      <w:pPr>
        <w:ind w:left="1160"/>
        <w:spacing w:after="0" w:line="233" w:lineRule="auto"/>
        <w:rPr>
          <w:sz w:val="20"/>
          <w:szCs w:val="20"/>
          <w:color w:val="auto"/>
        </w:rPr>
      </w:pPr>
      <w:r>
        <w:rPr>
          <w:rFonts w:ascii="Times New Roman" w:cs="Times New Roman" w:eastAsia="Times New Roman" w:hAnsi="Times New Roman"/>
          <w:sz w:val="20"/>
          <w:szCs w:val="20"/>
          <w:color w:val="auto"/>
        </w:rPr>
        <w:t>directly or indirectly Controlled by such person, or any</w:t>
      </w:r>
    </w:p>
    <w:p>
      <w:pPr>
        <w:ind w:left="1160"/>
        <w:spacing w:after="0" w:line="232" w:lineRule="auto"/>
        <w:rPr>
          <w:sz w:val="20"/>
          <w:szCs w:val="20"/>
          <w:color w:val="auto"/>
        </w:rPr>
      </w:pPr>
      <w:r>
        <w:rPr>
          <w:rFonts w:ascii="Times New Roman" w:cs="Times New Roman" w:eastAsia="Times New Roman" w:hAnsi="Times New Roman"/>
          <w:sz w:val="20"/>
          <w:szCs w:val="20"/>
          <w:color w:val="auto"/>
        </w:rPr>
        <w:t>Immediate Family Member of such person, or any other</w:t>
      </w:r>
    </w:p>
    <w:p>
      <w:pPr>
        <w:ind w:left="1160"/>
        <w:spacing w:after="0"/>
        <w:tabs>
          <w:tab w:leader="none" w:pos="1840" w:val="left"/>
          <w:tab w:leader="none" w:pos="2640" w:val="left"/>
          <w:tab w:leader="none" w:pos="2980" w:val="left"/>
          <w:tab w:leader="none" w:pos="3920" w:val="left"/>
          <w:tab w:leader="none" w:pos="4960" w:val="left"/>
          <w:tab w:leader="none" w:pos="5340" w:val="left"/>
        </w:tabs>
        <w:rPr>
          <w:sz w:val="20"/>
          <w:szCs w:val="20"/>
          <w:color w:val="auto"/>
        </w:rPr>
      </w:pPr>
      <w:r>
        <w:rPr>
          <w:rFonts w:ascii="Times New Roman" w:cs="Times New Roman" w:eastAsia="Times New Roman" w:hAnsi="Times New Roman"/>
          <w:sz w:val="20"/>
          <w:szCs w:val="20"/>
          <w:color w:val="auto"/>
        </w:rPr>
        <w:t>person</w:t>
        <w:tab/>
        <w:t>directly</w:t>
        <w:tab/>
        <w:t>or</w:t>
        <w:tab/>
        <w:t>indirectly</w:t>
        <w:tab/>
        <w:t>Controlled</w:t>
        <w:tab/>
        <w:t>by</w:t>
      </w:r>
      <w:r>
        <w:rPr>
          <w:sz w:val="20"/>
          <w:szCs w:val="20"/>
          <w:color w:val="auto"/>
        </w:rPr>
        <w:tab/>
      </w:r>
      <w:r>
        <w:rPr>
          <w:rFonts w:ascii="Times New Roman" w:cs="Times New Roman" w:eastAsia="Times New Roman" w:hAnsi="Times New Roman"/>
          <w:sz w:val="19"/>
          <w:szCs w:val="19"/>
          <w:color w:val="auto"/>
        </w:rPr>
        <w:t>such</w:t>
      </w:r>
    </w:p>
    <w:p>
      <w:pPr>
        <w:ind w:left="1160"/>
        <w:spacing w:after="0"/>
        <w:rPr>
          <w:sz w:val="20"/>
          <w:szCs w:val="20"/>
          <w:color w:val="auto"/>
        </w:rPr>
      </w:pPr>
      <w:r>
        <w:rPr>
          <w:rFonts w:ascii="Times New Roman" w:cs="Times New Roman" w:eastAsia="Times New Roman" w:hAnsi="Times New Roman"/>
          <w:sz w:val="19"/>
          <w:szCs w:val="19"/>
          <w:color w:val="auto"/>
        </w:rPr>
        <w:t>Immediate Family Members; and (iii) any other affiliated</w:t>
      </w:r>
    </w:p>
    <w:p>
      <w:pPr>
        <w:ind w:left="1160"/>
        <w:spacing w:after="0" w:line="236" w:lineRule="auto"/>
        <w:rPr>
          <w:sz w:val="20"/>
          <w:szCs w:val="20"/>
          <w:color w:val="auto"/>
        </w:rPr>
      </w:pPr>
      <w:r>
        <w:rPr>
          <w:rFonts w:ascii="Times New Roman" w:cs="Times New Roman" w:eastAsia="Times New Roman" w:hAnsi="Times New Roman"/>
          <w:sz w:val="20"/>
          <w:szCs w:val="20"/>
          <w:color w:val="auto"/>
        </w:rPr>
        <w:t>party  determined  solely  based  on  the  definition  of</w:t>
      </w:r>
    </w:p>
    <w:p>
      <w:pPr>
        <w:ind w:left="1160"/>
        <w:spacing w:after="0" w:line="233" w:lineRule="auto"/>
        <w:rPr>
          <w:sz w:val="20"/>
          <w:szCs w:val="20"/>
          <w:color w:val="auto"/>
        </w:rPr>
      </w:pPr>
      <w:r>
        <w:rPr>
          <w:rFonts w:ascii="Times New Roman" w:cs="Times New Roman" w:eastAsia="Times New Roman" w:hAnsi="Times New Roman"/>
          <w:sz w:val="20"/>
          <w:szCs w:val="20"/>
          <w:color w:val="auto"/>
        </w:rPr>
        <w:t xml:space="preserve">“Control” or “Common Control” pursuant to </w:t>
      </w:r>
      <w:r>
        <w:rPr>
          <w:rFonts w:ascii="Times New Roman" w:cs="Times New Roman" w:eastAsia="Times New Roman" w:hAnsi="Times New Roman"/>
          <w:sz w:val="20"/>
          <w:szCs w:val="20"/>
          <w:i w:val="1"/>
          <w:iCs w:val="1"/>
          <w:color w:val="auto"/>
        </w:rPr>
        <w:t>Accounting</w:t>
      </w:r>
    </w:p>
    <w:p>
      <w:pPr>
        <w:ind w:left="1160"/>
        <w:spacing w:after="0" w:line="232" w:lineRule="auto"/>
        <w:rPr>
          <w:sz w:val="20"/>
          <w:szCs w:val="20"/>
          <w:color w:val="auto"/>
        </w:rPr>
      </w:pPr>
      <w:r>
        <w:rPr>
          <w:rFonts w:ascii="Times New Roman" w:cs="Times New Roman" w:eastAsia="Times New Roman" w:hAnsi="Times New Roman"/>
          <w:sz w:val="20"/>
          <w:szCs w:val="20"/>
          <w:i w:val="1"/>
          <w:iCs w:val="1"/>
          <w:color w:val="auto"/>
        </w:rPr>
        <w:t>Standards  for  Enterprises  No.  36  –  Related  Party</w:t>
      </w:r>
    </w:p>
    <w:p>
      <w:pPr>
        <w:ind w:left="1160"/>
        <w:spacing w:after="0" w:line="233" w:lineRule="auto"/>
        <w:rPr>
          <w:sz w:val="20"/>
          <w:szCs w:val="20"/>
          <w:color w:val="auto"/>
        </w:rPr>
      </w:pPr>
      <w:r>
        <w:rPr>
          <w:rFonts w:ascii="Times New Roman" w:cs="Times New Roman" w:eastAsia="Times New Roman" w:hAnsi="Times New Roman"/>
          <w:sz w:val="20"/>
          <w:szCs w:val="20"/>
          <w:i w:val="1"/>
          <w:iCs w:val="1"/>
          <w:color w:val="auto"/>
        </w:rPr>
        <w:t>Disclosure</w:t>
      </w:r>
      <w:r>
        <w:rPr>
          <w:rFonts w:ascii="Times New Roman" w:cs="Times New Roman" w:eastAsia="Times New Roman" w:hAnsi="Times New Roman"/>
          <w:sz w:val="20"/>
          <w:szCs w:val="20"/>
          <w:color w:val="auto"/>
        </w:rPr>
        <w:t>. For the avoidance of doubt, none of the</w:t>
      </w:r>
    </w:p>
    <w:p>
      <w:pPr>
        <w:ind w:left="1160"/>
        <w:spacing w:after="0"/>
        <w:rPr>
          <w:sz w:val="20"/>
          <w:szCs w:val="20"/>
          <w:color w:val="auto"/>
        </w:rPr>
      </w:pPr>
      <w:r>
        <w:rPr>
          <w:rFonts w:ascii="Times New Roman" w:cs="Times New Roman" w:eastAsia="Times New Roman" w:hAnsi="Times New Roman"/>
          <w:sz w:val="20"/>
          <w:szCs w:val="20"/>
          <w:color w:val="auto"/>
        </w:rPr>
        <w:t>Investors shall be deemed an Affiliate of NIO Group.</w:t>
      </w:r>
    </w:p>
    <w:p>
      <w:pPr>
        <w:spacing w:after="0" w:line="169" w:lineRule="exact"/>
        <w:rPr>
          <w:sz w:val="20"/>
          <w:szCs w:val="20"/>
          <w:color w:val="auto"/>
        </w:rPr>
      </w:pPr>
    </w:p>
    <w:p>
      <w:pPr>
        <w:ind w:left="480"/>
        <w:spacing w:after="0"/>
        <w:tabs>
          <w:tab w:leader="none" w:pos="1140" w:val="left"/>
        </w:tabs>
        <w:rPr>
          <w:sz w:val="20"/>
          <w:szCs w:val="20"/>
          <w:color w:val="auto"/>
        </w:rPr>
      </w:pPr>
      <w:r>
        <w:rPr>
          <w:rFonts w:ascii="Times New Roman" w:cs="Times New Roman" w:eastAsia="Times New Roman" w:hAnsi="Times New Roman"/>
          <w:sz w:val="20"/>
          <w:szCs w:val="20"/>
          <w:color w:val="auto"/>
        </w:rPr>
        <w:t>means</w:t>
        <w:tab/>
        <w:t>the initial public offering and listing of the Company’s</w:t>
      </w:r>
    </w:p>
    <w:p>
      <w:pPr>
        <w:spacing w:after="0" w:line="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shares on the Shanghai Stock Exchange, Shenzhen Stock</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Exchange, Hong Kong Stock Exchange, New York Stock</w:t>
      </w:r>
    </w:p>
    <w:p>
      <w:pPr>
        <w:ind w:left="1160"/>
        <w:spacing w:after="0" w:line="236" w:lineRule="auto"/>
        <w:tabs>
          <w:tab w:leader="none" w:pos="2140" w:val="left"/>
          <w:tab w:leader="none" w:pos="3120" w:val="left"/>
          <w:tab w:leader="none" w:pos="3720" w:val="left"/>
          <w:tab w:leader="none" w:pos="4520" w:val="left"/>
          <w:tab w:leader="none" w:pos="4840" w:val="left"/>
          <w:tab w:leader="none" w:pos="5280" w:val="left"/>
        </w:tabs>
        <w:rPr>
          <w:sz w:val="20"/>
          <w:szCs w:val="20"/>
          <w:color w:val="auto"/>
        </w:rPr>
      </w:pPr>
      <w:r>
        <w:rPr>
          <w:rFonts w:ascii="Times New Roman" w:cs="Times New Roman" w:eastAsia="Times New Roman" w:hAnsi="Times New Roman"/>
          <w:sz w:val="20"/>
          <w:szCs w:val="20"/>
          <w:color w:val="auto"/>
        </w:rPr>
        <w:t>Exchange,</w:t>
        <w:tab/>
        <w:t>NASDAQ</w:t>
        <w:tab/>
        <w:t>Stock</w:t>
        <w:tab/>
        <w:t>Market,</w:t>
        <w:tab/>
        <w:t>or</w:t>
        <w:tab/>
        <w:t>any</w:t>
        <w:tab/>
        <w:t>other</w:t>
      </w:r>
    </w:p>
    <w:p>
      <w:pPr>
        <w:ind w:left="1160"/>
        <w:spacing w:after="0" w:line="233" w:lineRule="auto"/>
        <w:rPr>
          <w:sz w:val="20"/>
          <w:szCs w:val="20"/>
          <w:color w:val="auto"/>
        </w:rPr>
      </w:pPr>
      <w:r>
        <w:rPr>
          <w:rFonts w:ascii="Times New Roman" w:cs="Times New Roman" w:eastAsia="Times New Roman" w:hAnsi="Times New Roman"/>
          <w:sz w:val="20"/>
          <w:szCs w:val="20"/>
          <w:color w:val="auto"/>
        </w:rPr>
        <w:t>domestic or overseas stock exchange as resolved by the</w:t>
      </w:r>
    </w:p>
    <w:p>
      <w:pPr>
        <w:ind w:left="1160"/>
        <w:spacing w:after="0" w:line="232" w:lineRule="auto"/>
        <w:rPr>
          <w:sz w:val="20"/>
          <w:szCs w:val="20"/>
          <w:color w:val="auto"/>
        </w:rPr>
      </w:pPr>
      <w:r>
        <w:rPr>
          <w:rFonts w:ascii="Times New Roman" w:cs="Times New Roman" w:eastAsia="Times New Roman" w:hAnsi="Times New Roman"/>
          <w:sz w:val="20"/>
          <w:szCs w:val="20"/>
          <w:color w:val="auto"/>
        </w:rPr>
        <w:t>shareholders’ meeting, or the realization of partial or full</w:t>
      </w:r>
    </w:p>
    <w:p>
      <w:pPr>
        <w:ind w:left="1160"/>
        <w:spacing w:after="0" w:line="233" w:lineRule="auto"/>
        <w:rPr>
          <w:sz w:val="20"/>
          <w:szCs w:val="20"/>
          <w:color w:val="auto"/>
        </w:rPr>
      </w:pPr>
      <w:r>
        <w:rPr>
          <w:rFonts w:ascii="Times New Roman" w:cs="Times New Roman" w:eastAsia="Times New Roman" w:hAnsi="Times New Roman"/>
          <w:sz w:val="20"/>
          <w:szCs w:val="20"/>
          <w:color w:val="auto"/>
        </w:rPr>
        <w:t>restructuring  and  listing  of  the  equity  interests  and</w:t>
      </w:r>
    </w:p>
    <w:p>
      <w:pPr>
        <w:ind w:left="1160"/>
        <w:spacing w:after="0" w:line="232" w:lineRule="auto"/>
        <w:rPr>
          <w:sz w:val="20"/>
          <w:szCs w:val="20"/>
          <w:color w:val="auto"/>
        </w:rPr>
      </w:pPr>
      <w:r>
        <w:rPr>
          <w:rFonts w:ascii="Times New Roman" w:cs="Times New Roman" w:eastAsia="Times New Roman" w:hAnsi="Times New Roman"/>
          <w:sz w:val="20"/>
          <w:szCs w:val="20"/>
          <w:color w:val="auto"/>
        </w:rPr>
        <w:t>business of the Company through a backdoor listing,</w:t>
      </w:r>
    </w:p>
    <w:p>
      <w:pPr>
        <w:ind w:left="1160"/>
        <w:spacing w:after="0" w:line="233" w:lineRule="auto"/>
        <w:rPr>
          <w:sz w:val="20"/>
          <w:szCs w:val="20"/>
          <w:color w:val="auto"/>
        </w:rPr>
      </w:pPr>
      <w:r>
        <w:rPr>
          <w:rFonts w:ascii="Times New Roman" w:cs="Times New Roman" w:eastAsia="Times New Roman" w:hAnsi="Times New Roman"/>
          <w:sz w:val="20"/>
          <w:szCs w:val="20"/>
          <w:color w:val="auto"/>
        </w:rPr>
        <w:t>merger, share exchange, acquisition by a listed company</w:t>
      </w:r>
    </w:p>
    <w:p>
      <w:pPr>
        <w:ind w:left="1160"/>
        <w:spacing w:after="0"/>
        <w:rPr>
          <w:sz w:val="20"/>
          <w:szCs w:val="20"/>
          <w:color w:val="auto"/>
        </w:rPr>
      </w:pPr>
      <w:r>
        <w:rPr>
          <w:rFonts w:ascii="Times New Roman" w:cs="Times New Roman" w:eastAsia="Times New Roman" w:hAnsi="Times New Roman"/>
          <w:sz w:val="20"/>
          <w:szCs w:val="20"/>
          <w:color w:val="auto"/>
        </w:rPr>
        <w:t>via share exchange, or other similar methods.</w:t>
      </w:r>
    </w:p>
    <w:p>
      <w:pPr>
        <w:spacing w:after="0" w:line="169" w:lineRule="exact"/>
        <w:rPr>
          <w:sz w:val="20"/>
          <w:szCs w:val="20"/>
          <w:color w:val="auto"/>
        </w:rPr>
      </w:pPr>
    </w:p>
    <w:p>
      <w:pPr>
        <w:ind w:left="480"/>
        <w:spacing w:after="0"/>
        <w:tabs>
          <w:tab w:leader="none" w:pos="1140" w:val="left"/>
        </w:tabs>
        <w:rPr>
          <w:sz w:val="20"/>
          <w:szCs w:val="20"/>
          <w:color w:val="auto"/>
        </w:rPr>
      </w:pPr>
      <w:r>
        <w:rPr>
          <w:rFonts w:ascii="Times New Roman" w:cs="Times New Roman" w:eastAsia="Times New Roman" w:hAnsi="Times New Roman"/>
          <w:sz w:val="20"/>
          <w:szCs w:val="20"/>
          <w:color w:val="auto"/>
        </w:rPr>
        <w:t>means</w:t>
      </w:r>
      <w:r>
        <w:rPr>
          <w:sz w:val="20"/>
          <w:szCs w:val="20"/>
          <w:color w:val="auto"/>
        </w:rPr>
        <w:tab/>
      </w:r>
      <w:r>
        <w:rPr>
          <w:rFonts w:ascii="Times New Roman" w:cs="Times New Roman" w:eastAsia="Times New Roman" w:hAnsi="Times New Roman"/>
          <w:sz w:val="19"/>
          <w:szCs w:val="19"/>
          <w:color w:val="auto"/>
        </w:rPr>
        <w:t>the definition as set forth in the Subscription Agreement.</w:t>
      </w:r>
    </w:p>
    <w:p>
      <w:pPr>
        <w:spacing w:after="0" w:line="191" w:lineRule="exact"/>
        <w:rPr>
          <w:sz w:val="20"/>
          <w:szCs w:val="20"/>
          <w:color w:val="auto"/>
        </w:rPr>
      </w:pPr>
    </w:p>
    <w:p>
      <w:pPr>
        <w:ind w:left="480"/>
        <w:spacing w:after="0"/>
        <w:tabs>
          <w:tab w:leader="none" w:pos="1140" w:val="left"/>
        </w:tabs>
        <w:rPr>
          <w:sz w:val="20"/>
          <w:szCs w:val="20"/>
          <w:color w:val="auto"/>
        </w:rPr>
      </w:pPr>
      <w:r>
        <w:rPr>
          <w:rFonts w:ascii="Times New Roman" w:cs="Times New Roman" w:eastAsia="Times New Roman" w:hAnsi="Times New Roman"/>
          <w:sz w:val="20"/>
          <w:szCs w:val="20"/>
          <w:color w:val="auto"/>
        </w:rPr>
        <w:t>means</w:t>
      </w:r>
      <w:r>
        <w:rPr>
          <w:sz w:val="20"/>
          <w:szCs w:val="20"/>
          <w:color w:val="auto"/>
        </w:rPr>
        <w:tab/>
      </w:r>
      <w:r>
        <w:rPr>
          <w:rFonts w:ascii="Times New Roman" w:cs="Times New Roman" w:eastAsia="Times New Roman" w:hAnsi="Times New Roman"/>
          <w:sz w:val="19"/>
          <w:szCs w:val="19"/>
          <w:color w:val="auto"/>
        </w:rPr>
        <w:t>the definition as set forth in the Subscription Agreement.</w:t>
      </w:r>
    </w:p>
    <w:p>
      <w:pPr>
        <w:spacing w:after="0" w:line="187" w:lineRule="exact"/>
        <w:rPr>
          <w:sz w:val="20"/>
          <w:szCs w:val="20"/>
          <w:color w:val="auto"/>
        </w:rPr>
      </w:pPr>
    </w:p>
    <w:p>
      <w:pPr>
        <w:sectPr>
          <w:pgSz w:w="11900" w:h="16838" w:orient="portrait"/>
          <w:cols w:equalWidth="0" w:num="2">
            <w:col w:w="2020" w:space="720"/>
            <w:col w:w="6279"/>
          </w:cols>
          <w:pgMar w:left="1440" w:top="609" w:right="1440" w:bottom="1440" w:gutter="0" w:footer="0" w:header="0"/>
        </w:sectPr>
      </w:pPr>
    </w:p>
    <w:p>
      <w:pPr>
        <w:ind w:left="540"/>
        <w:spacing w:after="0"/>
        <w:tabs>
          <w:tab w:leader="none" w:pos="3200" w:val="left"/>
          <w:tab w:leader="none" w:pos="38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 Member</w:t>
      </w:r>
      <w:r>
        <w:rPr>
          <w:rFonts w:ascii="Times New Roman" w:cs="Times New Roman" w:eastAsia="Times New Roman" w:hAnsi="Times New Roman"/>
          <w:sz w:val="20"/>
          <w:szCs w:val="20"/>
          <w:color w:val="auto"/>
        </w:rPr>
        <w:t>”</w:t>
        <w:tab/>
        <w:t>means</w:t>
      </w:r>
      <w:r>
        <w:rPr>
          <w:sz w:val="20"/>
          <w:szCs w:val="20"/>
          <w:color w:val="auto"/>
        </w:rPr>
        <w:tab/>
      </w:r>
      <w:r>
        <w:rPr>
          <w:rFonts w:ascii="Times New Roman" w:cs="Times New Roman" w:eastAsia="Times New Roman" w:hAnsi="Times New Roman"/>
          <w:sz w:val="19"/>
          <w:szCs w:val="19"/>
          <w:color w:val="auto"/>
        </w:rPr>
        <w:t>such person’s spouse, children and their spouses, parents,</w:t>
      </w:r>
    </w:p>
    <w:p>
      <w:pPr>
        <w:spacing w:after="0" w:line="12"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20"/>
          <w:szCs w:val="20"/>
          <w:color w:val="auto"/>
        </w:rPr>
        <w:t>spouse’s parents, siblings and their spouses, spouse’s</w:t>
      </w:r>
    </w:p>
    <w:p>
      <w:pPr>
        <w:ind w:left="3900"/>
        <w:spacing w:after="0" w:line="232" w:lineRule="auto"/>
        <w:tabs>
          <w:tab w:leader="none" w:pos="4740" w:val="left"/>
          <w:tab w:leader="none" w:pos="5260" w:val="left"/>
          <w:tab w:leader="none" w:pos="5860" w:val="left"/>
          <w:tab w:leader="none" w:pos="6760" w:val="left"/>
          <w:tab w:leader="none" w:pos="8140" w:val="left"/>
        </w:tabs>
        <w:rPr>
          <w:sz w:val="20"/>
          <w:szCs w:val="20"/>
          <w:color w:val="auto"/>
        </w:rPr>
      </w:pPr>
      <w:r>
        <w:rPr>
          <w:rFonts w:ascii="Times New Roman" w:cs="Times New Roman" w:eastAsia="Times New Roman" w:hAnsi="Times New Roman"/>
          <w:sz w:val="20"/>
          <w:szCs w:val="20"/>
          <w:color w:val="auto"/>
        </w:rPr>
        <w:t>siblings</w:t>
        <w:tab/>
        <w:t>and</w:t>
        <w:tab/>
        <w:t>their</w:t>
        <w:tab/>
        <w:t>spouses,</w:t>
        <w:tab/>
        <w:t>grandchildren,</w:t>
        <w:tab/>
        <w:t>and</w:t>
      </w:r>
    </w:p>
    <w:p>
      <w:pPr>
        <w:ind w:left="3900"/>
        <w:spacing w:after="0"/>
        <w:rPr>
          <w:sz w:val="20"/>
          <w:szCs w:val="20"/>
          <w:color w:val="auto"/>
        </w:rPr>
      </w:pPr>
      <w:r>
        <w:rPr>
          <w:rFonts w:ascii="Times New Roman" w:cs="Times New Roman" w:eastAsia="Times New Roman" w:hAnsi="Times New Roman"/>
          <w:sz w:val="20"/>
          <w:szCs w:val="20"/>
          <w:color w:val="auto"/>
        </w:rPr>
        <w:t>grandparents.</w:t>
      </w:r>
    </w:p>
    <w:p>
      <w:pPr>
        <w:spacing w:after="0" w:line="165" w:lineRule="exact"/>
        <w:rPr>
          <w:sz w:val="20"/>
          <w:szCs w:val="20"/>
          <w:color w:val="auto"/>
        </w:rPr>
      </w:pPr>
    </w:p>
    <w:p>
      <w:pPr>
        <w:ind w:left="540"/>
        <w:spacing w:after="0"/>
        <w:tabs>
          <w:tab w:leader="none" w:pos="3200" w:val="left"/>
          <w:tab w:leader="none" w:pos="38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Cornerstone Investors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w:t>
      </w:r>
      <w:r>
        <w:rPr>
          <w:sz w:val="20"/>
          <w:szCs w:val="20"/>
          <w:color w:val="auto"/>
        </w:rPr>
        <w:tab/>
      </w:r>
      <w:r>
        <w:rPr>
          <w:rFonts w:ascii="Times New Roman" w:cs="Times New Roman" w:eastAsia="Times New Roman" w:hAnsi="Times New Roman"/>
          <w:sz w:val="19"/>
          <w:szCs w:val="19"/>
          <w:color w:val="auto"/>
        </w:rPr>
        <w:t>Emerging Industry Fund and Hefei Haiheng.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type w:val="continuous"/>
        </w:sectPr>
      </w:pPr>
    </w:p>
    <w:bookmarkStart w:id="366" w:name="page367"/>
    <w:bookmarkEnd w:id="366"/>
    <w:tbl>
      <w:tblPr>
        <w:tblLayout w:type="fixed"/>
        <w:tblInd w:w="540" w:type="dxa"/>
        <w:tblCellMar>
          <w:top w:w="0" w:type="dxa"/>
          <w:left w:w="0" w:type="dxa"/>
          <w:bottom w:w="0" w:type="dxa"/>
          <w:right w:w="0" w:type="dxa"/>
        </w:tblCellMar>
      </w:tblPr>
      <w:tr>
        <w:trPr>
          <w:trHeight w:val="258"/>
        </w:trPr>
        <w:tc>
          <w:tcPr>
            <w:tcW w:w="2200" w:type="dxa"/>
            <w:vAlign w:val="bottom"/>
          </w:tcPr>
          <w:p>
            <w:pPr>
              <w:spacing w:after="0"/>
              <w:rPr>
                <w:sz w:val="22"/>
                <w:szCs w:val="22"/>
                <w:color w:val="auto"/>
              </w:rPr>
            </w:pPr>
          </w:p>
        </w:tc>
        <w:tc>
          <w:tcPr>
            <w:tcW w:w="35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GeniTech Co., Ltd. Shareholders Agreement</w:t>
            </w:r>
          </w:p>
        </w:tc>
        <w:tc>
          <w:tcPr>
            <w:tcW w:w="7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6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 Companies</w:t>
            </w:r>
            <w:r>
              <w:rPr>
                <w:rFonts w:ascii="Times New Roman" w:cs="Times New Roman" w:eastAsia="Times New Roman" w:hAnsi="Times New Roman"/>
                <w:sz w:val="20"/>
                <w:szCs w:val="20"/>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the Company and any other persons (if any) currently or</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in the future directly or indirectly controlled by the</w:t>
            </w:r>
          </w:p>
        </w:tc>
      </w:tr>
      <w:tr>
        <w:trPr>
          <w:trHeight w:val="258"/>
        </w:trPr>
        <w:tc>
          <w:tcPr>
            <w:tcW w:w="2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Company.</w:t>
            </w: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21"/>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color w:val="auto"/>
                <w:w w:val="98"/>
              </w:rPr>
              <w:t>Transaction Documents</w:t>
            </w:r>
            <w:r>
              <w:rPr>
                <w:rFonts w:ascii="Times New Roman" w:cs="Times New Roman" w:eastAsia="Times New Roman" w:hAnsi="Times New Roman"/>
                <w:sz w:val="20"/>
                <w:szCs w:val="20"/>
                <w:color w:val="auto"/>
                <w:w w:val="98"/>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w w:val="99"/>
              </w:rPr>
              <w:t>the definition as set forth in the Subscription Agreement.</w:t>
            </w:r>
          </w:p>
        </w:tc>
      </w:tr>
      <w:tr>
        <w:trPr>
          <w:trHeight w:val="421"/>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Competitor</w:t>
            </w:r>
            <w:r>
              <w:rPr>
                <w:rFonts w:ascii="Times New Roman" w:cs="Times New Roman" w:eastAsia="Times New Roman" w:hAnsi="Times New Roman"/>
                <w:sz w:val="20"/>
                <w:szCs w:val="20"/>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means</w:t>
            </w:r>
          </w:p>
        </w:tc>
        <w:tc>
          <w:tcPr>
            <w:tcW w:w="31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the entities listed in Exhibit 2 hereto.</w:t>
            </w:r>
          </w:p>
        </w:tc>
        <w:tc>
          <w:tcPr>
            <w:tcW w:w="1480" w:type="dxa"/>
            <w:vAlign w:val="bottom"/>
          </w:tcPr>
          <w:p>
            <w:pPr>
              <w:spacing w:after="0"/>
              <w:rPr>
                <w:sz w:val="24"/>
                <w:szCs w:val="24"/>
                <w:color w:val="auto"/>
              </w:rPr>
            </w:pPr>
          </w:p>
        </w:tc>
      </w:tr>
      <w:tr>
        <w:trPr>
          <w:trHeight w:val="385"/>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 holding more than 50% of the issued shares or other</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equity interests or registered capital of such person; or</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(ii) the power to determine the management or policies</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of such person, whether through the holding of more</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w w:val="99"/>
              </w:rPr>
              <w:t>than 50% of the voting rights of such person, through the</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holding of proxies representing more than 50% of the</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voting rights of such person, through the right to appoint</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the majority of members to the board of directors or</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similar  governing  body  of  such  person,  through</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contractual arrangements, or through any other means.</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The term “person” used in this definition shall not</w:t>
            </w:r>
          </w:p>
        </w:tc>
      </w:tr>
      <w:tr>
        <w:trPr>
          <w:trHeight w:val="258"/>
        </w:trPr>
        <w:tc>
          <w:tcPr>
            <w:tcW w:w="2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include a natural person.</w:t>
            </w:r>
          </w:p>
        </w:tc>
        <w:tc>
          <w:tcPr>
            <w:tcW w:w="7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85"/>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Encumbrance</w:t>
            </w:r>
            <w:r>
              <w:rPr>
                <w:rFonts w:ascii="Times New Roman" w:cs="Times New Roman" w:eastAsia="Times New Roman" w:hAnsi="Times New Roman"/>
                <w:sz w:val="20"/>
                <w:szCs w:val="20"/>
                <w:color w:val="auto"/>
              </w:rPr>
              <w:t>”</w:t>
            </w:r>
          </w:p>
        </w:tc>
        <w:tc>
          <w:tcPr>
            <w:tcW w:w="186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means  whether</w:t>
            </w:r>
          </w:p>
        </w:tc>
        <w:tc>
          <w:tcPr>
            <w:tcW w:w="1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granted  to</w:t>
            </w:r>
          </w:p>
        </w:tc>
        <w:tc>
          <w:tcPr>
            <w:tcW w:w="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any</w:t>
            </w:r>
          </w:p>
        </w:tc>
        <w:tc>
          <w:tcPr>
            <w:tcW w:w="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person</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or  arising  from</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contractual  or  statutory  reasons:  (i)  any  mortgage,</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pledge, lien, other security interest, priority right, voting</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rights  entrustment,  or  restriction  on  transfer  over  a</w:t>
            </w:r>
          </w:p>
        </w:tc>
      </w:tr>
      <w:tr>
        <w:trPr>
          <w:trHeight w:val="223"/>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rPr>
              <w:t>specific property; (ii) any compulsory measures such as</w:t>
            </w:r>
          </w:p>
        </w:tc>
      </w:tr>
      <w:tr>
        <w:trPr>
          <w:trHeight w:val="245"/>
        </w:trPr>
        <w:tc>
          <w:tcPr>
            <w:tcW w:w="2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seizure,</w:t>
            </w:r>
          </w:p>
        </w:tc>
        <w:tc>
          <w:tcPr>
            <w:tcW w:w="12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impoundment,</w:t>
            </w: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or</w:t>
            </w: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freezing</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over  a  specific</w:t>
            </w:r>
          </w:p>
        </w:tc>
      </w:tr>
    </w:tbl>
    <w:p>
      <w:pPr>
        <w:jc w:val="both"/>
        <w:ind w:left="3900" w:right="559"/>
        <w:spacing w:after="0" w:line="237" w:lineRule="auto"/>
        <w:rPr>
          <w:sz w:val="20"/>
          <w:szCs w:val="20"/>
          <w:color w:val="auto"/>
        </w:rPr>
      </w:pPr>
      <w:r>
        <w:rPr>
          <w:rFonts w:ascii="Times New Roman" w:cs="Times New Roman" w:eastAsia="Times New Roman" w:hAnsi="Times New Roman"/>
          <w:sz w:val="20"/>
          <w:szCs w:val="20"/>
          <w:color w:val="auto"/>
        </w:rPr>
        <w:t>property; and (iii) any claims regarding the ownership, possession, use, disposal, or proceeds attached to a specific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367" w:name="page368"/>
    <w:bookmarkEnd w:id="367"/>
    <w:p>
      <w:pPr>
        <w:jc w:val="center"/>
        <w:ind w:right="19"/>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w:t>
            </w:r>
          </w:p>
        </w:tc>
        <w:tc>
          <w:tcPr>
            <w:tcW w:w="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with respect to any person, any publicly effective and</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applicable treaty, law, administrative regulation, local</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decree, rule, judicial interpretation, judgment, ruling,</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arbitral  award,  and  other  normative  documents</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applicable to such person or binding on such person or</w:t>
            </w:r>
          </w:p>
        </w:tc>
      </w:tr>
      <w:tr>
        <w:trPr>
          <w:trHeight w:val="258"/>
        </w:trPr>
        <w:tc>
          <w:tcPr>
            <w:tcW w:w="2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its property.</w:t>
            </w:r>
          </w:p>
        </w:tc>
      </w:tr>
      <w:tr>
        <w:trPr>
          <w:trHeight w:val="38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w:t>
            </w:r>
          </w:p>
        </w:tc>
        <w:tc>
          <w:tcPr>
            <w:tcW w:w="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various  forms  of  taxes  and  similar  charges  levied,</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withheld, or assessed by the central or local government</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w w:val="99"/>
              </w:rPr>
              <w:t>of China or any other jurisdiction with authority, and any</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interest, fines, surcharges, or penalties related to the</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foregoing. Unless otherwise specified, terms such as</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“tax”, “taxes”, “taxation”, or “tax-related” used in this</w:t>
            </w:r>
          </w:p>
        </w:tc>
      </w:tr>
      <w:tr>
        <w:trPr>
          <w:trHeight w:val="258"/>
        </w:trPr>
        <w:tc>
          <w:tcPr>
            <w:tcW w:w="2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Agreement shall have the same meaning as Tax.</w:t>
            </w:r>
          </w:p>
        </w:tc>
      </w:tr>
      <w:tr>
        <w:trPr>
          <w:trHeight w:val="38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w:t>
            </w:r>
          </w:p>
        </w:tc>
        <w:tc>
          <w:tcPr>
            <w:tcW w:w="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any claim, lawsuit, demand, audit, inquiry, investigation,</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request, hearing, notice of violation, litigation, action,</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proceeding,  or  arbitration,  whether  civil,  criminal,</w:t>
            </w:r>
          </w:p>
        </w:tc>
      </w:tr>
      <w:tr>
        <w:trPr>
          <w:trHeight w:val="258"/>
        </w:trPr>
        <w:tc>
          <w:tcPr>
            <w:tcW w:w="2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administrative, or otherwise in nature.</w:t>
            </w:r>
          </w:p>
        </w:tc>
      </w:tr>
      <w:tr>
        <w:trPr>
          <w:trHeight w:val="421"/>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NIO Group</w:t>
            </w:r>
            <w:r>
              <w:rPr>
                <w:rFonts w:ascii="Times New Roman" w:cs="Times New Roman" w:eastAsia="Times New Roman" w:hAnsi="Times New Roman"/>
                <w:sz w:val="20"/>
                <w:szCs w:val="20"/>
                <w:color w:val="auto"/>
              </w:rPr>
              <w:t>”</w:t>
            </w:r>
          </w:p>
        </w:tc>
        <w:tc>
          <w:tcPr>
            <w:tcW w:w="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the definition as set forth in the Subscription Agreement.</w:t>
            </w:r>
          </w:p>
        </w:tc>
      </w:tr>
      <w:tr>
        <w:trPr>
          <w:trHeight w:val="38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Assets</w:t>
            </w:r>
            <w:r>
              <w:rPr>
                <w:rFonts w:ascii="Times New Roman" w:cs="Times New Roman" w:eastAsia="Times New Roman" w:hAnsi="Times New Roman"/>
                <w:sz w:val="20"/>
                <w:szCs w:val="20"/>
                <w:color w:val="auto"/>
              </w:rPr>
              <w:t>”</w:t>
            </w:r>
          </w:p>
        </w:tc>
        <w:tc>
          <w:tcPr>
            <w:tcW w:w="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tangible or intangible assets, rights, and privileges of any</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nature (including rights related to intellectual property</w:t>
            </w:r>
          </w:p>
        </w:tc>
      </w:tr>
      <w:tr>
        <w:trPr>
          <w:trHeight w:val="258"/>
        </w:trPr>
        <w:tc>
          <w:tcPr>
            <w:tcW w:w="2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rights).</w:t>
            </w:r>
          </w:p>
        </w:tc>
      </w:tr>
      <w:tr>
        <w:trPr>
          <w:trHeight w:val="38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w:t>
            </w:r>
          </w:p>
        </w:tc>
        <w:tc>
          <w:tcPr>
            <w:tcW w:w="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the competent government or any of its subdivisions, any</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department of the government or any of its subdivisions,</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w w:val="98"/>
              </w:rPr>
              <w:t>any court or arbitral tribunal, and the regulatory authority</w:t>
            </w:r>
          </w:p>
        </w:tc>
      </w:tr>
      <w:tr>
        <w:trPr>
          <w:trHeight w:val="258"/>
        </w:trPr>
        <w:tc>
          <w:tcPr>
            <w:tcW w:w="2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of any stock exchange.</w:t>
            </w:r>
          </w:p>
        </w:tc>
      </w:tr>
      <w:tr>
        <w:trPr>
          <w:trHeight w:val="38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Approval</w:t>
            </w:r>
            <w:r>
              <w:rPr>
                <w:rFonts w:ascii="Times New Roman" w:cs="Times New Roman" w:eastAsia="Times New Roman" w:hAnsi="Times New Roman"/>
                <w:sz w:val="20"/>
                <w:szCs w:val="20"/>
                <w:color w:val="auto"/>
              </w:rPr>
              <w:t>”</w:t>
            </w:r>
          </w:p>
        </w:tc>
        <w:tc>
          <w:tcPr>
            <w:tcW w:w="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any right, license, permit, approval, exemption, consent,</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and authorization granted by a Governmental Authority,</w:t>
            </w:r>
          </w:p>
        </w:tc>
      </w:tr>
      <w:tr>
        <w:trPr>
          <w:trHeight w:val="223"/>
        </w:trPr>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as  well  as  any  registration  and  filing  with  a</w:t>
            </w:r>
          </w:p>
        </w:tc>
      </w:tr>
      <w:tr>
        <w:trPr>
          <w:trHeight w:val="258"/>
        </w:trPr>
        <w:tc>
          <w:tcPr>
            <w:tcW w:w="2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Governmental Authority.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368" w:name="page369"/>
    <w:bookmarkEnd w:id="368"/>
    <w:tbl>
      <w:tblPr>
        <w:tblLayout w:type="fixed"/>
        <w:tblInd w:w="1000" w:type="dxa"/>
        <w:tblCellMar>
          <w:top w:w="0" w:type="dxa"/>
          <w:left w:w="0" w:type="dxa"/>
          <w:bottom w:w="0" w:type="dxa"/>
          <w:right w:w="0" w:type="dxa"/>
        </w:tblCellMar>
      </w:tblPr>
      <w:tr>
        <w:trPr>
          <w:trHeight w:val="258"/>
        </w:trPr>
        <w:tc>
          <w:tcPr>
            <w:tcW w:w="1760" w:type="dxa"/>
            <w:vAlign w:val="bottom"/>
          </w:tcPr>
          <w:p>
            <w:pPr>
              <w:spacing w:after="0"/>
              <w:rPr>
                <w:sz w:val="22"/>
                <w:szCs w:val="22"/>
                <w:color w:val="auto"/>
              </w:rPr>
            </w:pP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w w:val="99"/>
              </w:rPr>
              <w:t>GeniTech Co., Ltd. Shareholders Agreement</w:t>
            </w: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348"/>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China</w:t>
            </w:r>
            <w:r>
              <w:rPr>
                <w:rFonts w:ascii="Times New Roman" w:cs="Times New Roman" w:eastAsia="Times New Roman" w:hAnsi="Times New Roman"/>
                <w:sz w:val="20"/>
                <w:szCs w:val="20"/>
                <w:color w:val="auto"/>
              </w:rPr>
              <w:t>”</w:t>
            </w: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the People’s Republic of China; for the purposes of this</w:t>
            </w:r>
          </w:p>
        </w:tc>
      </w:tr>
      <w:tr>
        <w:trPr>
          <w:trHeight w:val="223"/>
        </w:trPr>
        <w:tc>
          <w:tcPr>
            <w:tcW w:w="1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4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20"/>
                <w:szCs w:val="20"/>
                <w:color w:val="auto"/>
                <w:w w:val="99"/>
              </w:rPr>
              <w:t>Agreement only, China excludes the Hong Kong Special</w:t>
            </w:r>
          </w:p>
        </w:tc>
      </w:tr>
      <w:tr>
        <w:trPr>
          <w:trHeight w:val="223"/>
        </w:trPr>
        <w:tc>
          <w:tcPr>
            <w:tcW w:w="1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Administrative</w:t>
            </w:r>
          </w:p>
        </w:tc>
        <w:tc>
          <w:tcPr>
            <w:tcW w:w="108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Region,</w:t>
            </w:r>
          </w:p>
        </w:tc>
        <w:tc>
          <w:tcPr>
            <w:tcW w:w="54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the</w:t>
            </w:r>
          </w:p>
        </w:tc>
        <w:tc>
          <w:tcPr>
            <w:tcW w:w="82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rPr>
              <w:t>Macao</w:t>
            </w:r>
          </w:p>
        </w:tc>
        <w:tc>
          <w:tcPr>
            <w:tcW w:w="76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w w:val="95"/>
              </w:rPr>
              <w:t>Special</w:t>
            </w:r>
          </w:p>
        </w:tc>
      </w:tr>
      <w:tr>
        <w:trPr>
          <w:trHeight w:val="258"/>
        </w:trPr>
        <w:tc>
          <w:tcPr>
            <w:tcW w:w="17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Administrative Region, and Taiwan.</w:t>
            </w: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421"/>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Principal Business</w:t>
            </w:r>
            <w:r>
              <w:rPr>
                <w:rFonts w:ascii="Times New Roman" w:cs="Times New Roman" w:eastAsia="Times New Roman" w:hAnsi="Times New Roman"/>
                <w:sz w:val="20"/>
                <w:szCs w:val="20"/>
                <w:color w:val="auto"/>
                <w:w w:val="99"/>
              </w:rPr>
              <w:t>”</w:t>
            </w: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means</w:t>
            </w:r>
          </w:p>
        </w:tc>
        <w:tc>
          <w:tcPr>
            <w:tcW w:w="46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w w:val="99"/>
              </w:rPr>
              <w:t>the definition as set forth in the Subscription Agreement.</w:t>
            </w:r>
          </w:p>
        </w:tc>
      </w:tr>
      <w:tr>
        <w:trPr>
          <w:trHeight w:val="381"/>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w:t>
            </w: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 xml:space="preserve">Increase  </w:t>
            </w:r>
            <w:r>
              <w:rPr>
                <w:rFonts w:ascii="Times New Roman" w:cs="Times New Roman" w:eastAsia="Times New Roman" w:hAnsi="Times New Roman"/>
                <w:sz w:val="20"/>
                <w:szCs w:val="20"/>
                <w:color w:val="auto"/>
              </w:rPr>
              <w:t>means</w:t>
            </w:r>
          </w:p>
        </w:tc>
        <w:tc>
          <w:tcPr>
            <w:tcW w:w="46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w w:val="99"/>
              </w:rPr>
              <w:t>the definition as set forth in the Subscription Agreement.</w:t>
            </w:r>
          </w:p>
        </w:tc>
      </w:tr>
      <w:tr>
        <w:trPr>
          <w:trHeight w:val="262"/>
        </w:trPr>
        <w:tc>
          <w:tcPr>
            <w:tcW w:w="17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w:t>
            </w:r>
          </w:p>
        </w:tc>
        <w:tc>
          <w:tcPr>
            <w:tcW w:w="1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38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Interpretation</w:t>
      </w:r>
    </w:p>
    <w:p>
      <w:pPr>
        <w:spacing w:after="0" w:line="191" w:lineRule="exact"/>
        <w:rPr>
          <w:sz w:val="20"/>
          <w:szCs w:val="20"/>
          <w:color w:val="auto"/>
        </w:rPr>
      </w:pPr>
    </w:p>
    <w:p>
      <w:pPr>
        <w:ind w:left="1180" w:hanging="586"/>
        <w:spacing w:after="0" w:line="262" w:lineRule="auto"/>
        <w:tabs>
          <w:tab w:leader="none" w:pos="118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phrase “directly or indirectly” means either directly or indirectly through Affiliates or by contract or other arrangements; the phrase “direct or indirect” shall have a corresponding meaning.</w:t>
      </w:r>
    </w:p>
    <w:p>
      <w:pPr>
        <w:spacing w:after="0" w:line="141" w:lineRule="exact"/>
        <w:rPr>
          <w:rFonts w:ascii="Times New Roman" w:cs="Times New Roman" w:eastAsia="Times New Roman" w:hAnsi="Times New Roman"/>
          <w:sz w:val="20"/>
          <w:szCs w:val="20"/>
          <w:color w:val="auto"/>
        </w:rPr>
      </w:pPr>
    </w:p>
    <w:p>
      <w:pPr>
        <w:ind w:left="1180" w:hanging="586"/>
        <w:spacing w:after="0"/>
        <w:tabs>
          <w:tab w:leader="none" w:pos="118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Headings are for convenience only and shall not affect the interpretation of this Agreement.</w:t>
      </w:r>
    </w:p>
    <w:p>
      <w:pPr>
        <w:spacing w:after="0" w:line="190" w:lineRule="exact"/>
        <w:rPr>
          <w:rFonts w:ascii="Times New Roman" w:cs="Times New Roman" w:eastAsia="Times New Roman" w:hAnsi="Times New Roman"/>
          <w:sz w:val="20"/>
          <w:szCs w:val="20"/>
          <w:color w:val="auto"/>
        </w:rPr>
      </w:pPr>
    </w:p>
    <w:p>
      <w:pPr>
        <w:ind w:left="1180" w:hanging="586"/>
        <w:spacing w:after="0"/>
        <w:tabs>
          <w:tab w:leader="none" w:pos="118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and similar expressions shall be construed as “including without limitation”.</w:t>
      </w:r>
    </w:p>
    <w:p>
      <w:pPr>
        <w:spacing w:after="0" w:line="190"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this Agreement shall be deemed to include the schedules and appendices hereto, which form an integral part hereof.</w:t>
      </w:r>
    </w:p>
    <w:p>
      <w:pPr>
        <w:spacing w:after="0" w:line="141"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specifically provided or indicated in this Agreement, the definitions used in the Subscription Agreement shall have the same meanings in this Agreement.</w:t>
      </w:r>
    </w:p>
    <w:p>
      <w:pPr>
        <w:spacing w:after="0" w:line="137" w:lineRule="exact"/>
        <w:rPr>
          <w:sz w:val="20"/>
          <w:szCs w:val="20"/>
          <w:color w:val="auto"/>
        </w:rPr>
      </w:pPr>
    </w:p>
    <w:p>
      <w:pPr>
        <w:ind w:left="3360" w:hanging="587"/>
        <w:spacing w:after="0"/>
        <w:tabs>
          <w:tab w:leader="none" w:pos="3360"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Party hereby makes the following representations and warranties to the other Parties as of the date of this Agreement:</w:t>
      </w:r>
    </w:p>
    <w:p>
      <w:pPr>
        <w:spacing w:after="0" w:line="19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Such Party has full power and authority to execute and perform this Agreement.</w:t>
      </w:r>
    </w:p>
    <w:p>
      <w:pPr>
        <w:spacing w:after="0" w:line="191" w:lineRule="exact"/>
        <w:rPr>
          <w:sz w:val="20"/>
          <w:szCs w:val="20"/>
          <w:color w:val="auto"/>
        </w:rPr>
      </w:pPr>
    </w:p>
    <w:p>
      <w:pPr>
        <w:ind w:left="600" w:hanging="593"/>
        <w:spacing w:after="0" w:line="262" w:lineRule="auto"/>
        <w:tabs>
          <w:tab w:leader="none" w:pos="5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The execution and performance of this Agreement by such Party does not violate any Applicable Law or any contract or document legally binding on it.</w:t>
      </w:r>
    </w:p>
    <w:p>
      <w:pPr>
        <w:spacing w:after="0" w:line="141" w:lineRule="exact"/>
        <w:rPr>
          <w:sz w:val="20"/>
          <w:szCs w:val="20"/>
          <w:color w:val="auto"/>
        </w:rPr>
      </w:pPr>
    </w:p>
    <w:p>
      <w:pPr>
        <w:ind w:left="600" w:hanging="593"/>
        <w:spacing w:after="0" w:line="262" w:lineRule="auto"/>
        <w:tabs>
          <w:tab w:leader="none" w:pos="5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Assuming due authorization, execution, and delivery of this Agreement by the other Parties, this Agreement constitutes a legal, valid, and binding obligation of such Party, enforceable against it in accordance with its terms.</w:t>
      </w:r>
    </w:p>
    <w:p>
      <w:pPr>
        <w:spacing w:after="0" w:line="141" w:lineRule="exact"/>
        <w:rPr>
          <w:sz w:val="20"/>
          <w:szCs w:val="20"/>
          <w:color w:val="auto"/>
        </w:rPr>
      </w:pPr>
    </w:p>
    <w:p>
      <w:pPr>
        <w:ind w:left="600" w:hanging="593"/>
        <w:spacing w:after="0" w:line="262" w:lineRule="auto"/>
        <w:tabs>
          <w:tab w:leader="none" w:pos="5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Such Party has obtained relevant Governmental Approvals or third-party consents required for the execution and performance of this Agreement.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69" w:name="page370"/>
    <w:bookmarkEnd w:id="369"/>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ind w:left="600" w:hanging="593"/>
        <w:spacing w:after="0" w:line="262" w:lineRule="auto"/>
        <w:tabs>
          <w:tab w:leader="none" w:pos="5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0"/>
          <w:szCs w:val="20"/>
          <w:color w:val="auto"/>
        </w:rPr>
        <w:t>There is no material litigation or other material dispute pending that affects such Party’s execution or performance of this Agreement.</w:t>
      </w:r>
    </w:p>
    <w:p>
      <w:pPr>
        <w:spacing w:after="0" w:line="137" w:lineRule="exact"/>
        <w:rPr>
          <w:sz w:val="20"/>
          <w:szCs w:val="20"/>
          <w:color w:val="auto"/>
        </w:rPr>
      </w:pPr>
    </w:p>
    <w:p>
      <w:pPr>
        <w:ind w:left="3300" w:hanging="598"/>
        <w:spacing w:after="0"/>
        <w:tabs>
          <w:tab w:leader="none" w:pos="3300"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PRINCIPAL RIGHTS OF SHAREHOLDERS</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From the Closing Date, each Investor shall enjoy the following rights. If any of the rights set forth below cannot be realized due to restrictions under Chinese Laws and regulations, the Target Company and the Controlling Shareholder shall be obligated to use their best efforts to seek alternative solutions to realize such rights in compliance with Chinese Laws:</w:t>
      </w:r>
    </w:p>
    <w:p>
      <w:pPr>
        <w:spacing w:after="0" w:line="1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Pre-emptive Rights</w:t>
      </w:r>
    </w:p>
    <w:p>
      <w:pPr>
        <w:spacing w:after="0" w:line="191" w:lineRule="exact"/>
        <w:rPr>
          <w:sz w:val="20"/>
          <w:szCs w:val="20"/>
          <w:color w:val="auto"/>
        </w:rPr>
      </w:pPr>
    </w:p>
    <w:p>
      <w:pPr>
        <w:jc w:val="both"/>
        <w:ind w:left="1180" w:hanging="586"/>
        <w:spacing w:after="0" w:line="236" w:lineRule="auto"/>
        <w:tabs>
          <w:tab w:leader="none" w:pos="118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Date, if the shareholders’ meeting of the Company resolves, prior to the Qualified IPO of the Company, to increase the registered capital or issue any equity interests or securities convertible into the Company’s equity (the “</w:t>
      </w:r>
      <w:r>
        <w:rPr>
          <w:rFonts w:ascii="Times New Roman" w:cs="Times New Roman" w:eastAsia="Times New Roman" w:hAnsi="Times New Roman"/>
          <w:sz w:val="20"/>
          <w:szCs w:val="20"/>
          <w:b w:val="1"/>
          <w:bCs w:val="1"/>
          <w:color w:val="auto"/>
        </w:rPr>
        <w:t>New Equity</w:t>
      </w:r>
      <w:r>
        <w:rPr>
          <w:rFonts w:ascii="Times New Roman" w:cs="Times New Roman" w:eastAsia="Times New Roman" w:hAnsi="Times New Roman"/>
          <w:sz w:val="20"/>
          <w:szCs w:val="20"/>
          <w:color w:val="auto"/>
        </w:rPr>
        <w:t>”) to any person (the “</w:t>
      </w:r>
      <w:r>
        <w:rPr>
          <w:rFonts w:ascii="Times New Roman" w:cs="Times New Roman" w:eastAsia="Times New Roman" w:hAnsi="Times New Roman"/>
          <w:sz w:val="20"/>
          <w:szCs w:val="20"/>
          <w:b w:val="1"/>
          <w:bCs w:val="1"/>
          <w:color w:val="auto"/>
        </w:rPr>
        <w:t>Proposed Subscriber</w:t>
      </w:r>
      <w:r>
        <w:rPr>
          <w:rFonts w:ascii="Times New Roman" w:cs="Times New Roman" w:eastAsia="Times New Roman" w:hAnsi="Times New Roman"/>
          <w:sz w:val="20"/>
          <w:szCs w:val="20"/>
          <w:color w:val="auto"/>
        </w:rPr>
        <w:t>”) for subscription, then before issuing such New Equity to the Proposed Subscriber, the Company shall first make an offer to the Controlling Shareholder and the Investors in accordance with this section (the “</w:t>
      </w:r>
      <w:r>
        <w:rPr>
          <w:rFonts w:ascii="Times New Roman" w:cs="Times New Roman" w:eastAsia="Times New Roman" w:hAnsi="Times New Roman"/>
          <w:sz w:val="20"/>
          <w:szCs w:val="20"/>
          <w:b w:val="1"/>
          <w:bCs w:val="1"/>
          <w:color w:val="auto"/>
        </w:rPr>
        <w:t>New Equity Notice</w:t>
      </w:r>
      <w:r>
        <w:rPr>
          <w:rFonts w:ascii="Times New Roman" w:cs="Times New Roman" w:eastAsia="Times New Roman" w:hAnsi="Times New Roman"/>
          <w:sz w:val="20"/>
          <w:szCs w:val="20"/>
          <w:color w:val="auto"/>
        </w:rPr>
        <w:t>”). The Controlling Shareholder and the Investors (collectively or individually hereinafter referred to as the “</w:t>
      </w:r>
      <w:r>
        <w:rPr>
          <w:rFonts w:ascii="Times New Roman" w:cs="Times New Roman" w:eastAsia="Times New Roman" w:hAnsi="Times New Roman"/>
          <w:sz w:val="20"/>
          <w:szCs w:val="20"/>
          <w:b w:val="1"/>
          <w:bCs w:val="1"/>
          <w:color w:val="auto"/>
        </w:rPr>
        <w:t>Pre-emptive Right Holders</w:t>
      </w:r>
      <w:r>
        <w:rPr>
          <w:rFonts w:ascii="Times New Roman" w:cs="Times New Roman" w:eastAsia="Times New Roman" w:hAnsi="Times New Roman"/>
          <w:sz w:val="20"/>
          <w:szCs w:val="20"/>
          <w:color w:val="auto"/>
        </w:rPr>
        <w:t>”) shall have the right to subscribe for such New Equity in cash on the same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conditions and at the same unit price, in proportion to their then-current shareholding percentages in the Company (the “</w:t>
      </w:r>
      <w:r>
        <w:rPr>
          <w:rFonts w:ascii="Times New Roman" w:cs="Times New Roman" w:eastAsia="Times New Roman" w:hAnsi="Times New Roman"/>
          <w:sz w:val="20"/>
          <w:szCs w:val="20"/>
          <w:b w:val="1"/>
          <w:bCs w:val="1"/>
          <w:color w:val="auto"/>
        </w:rPr>
        <w:t>Pre-emptive Right</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Equity Notice shall specify the type, quantity, subscription price, payment date and method for the subscription price of such New Equity, as well as the basic information of the Proposed Subscriber.</w:t>
      </w:r>
    </w:p>
    <w:p>
      <w:pPr>
        <w:spacing w:after="0" w:line="141" w:lineRule="exact"/>
        <w:rPr>
          <w:rFonts w:ascii="Times New Roman" w:cs="Times New Roman" w:eastAsia="Times New Roman" w:hAnsi="Times New Roman"/>
          <w:sz w:val="20"/>
          <w:szCs w:val="20"/>
          <w:color w:val="auto"/>
        </w:rPr>
      </w:pPr>
    </w:p>
    <w:p>
      <w:pPr>
        <w:jc w:val="both"/>
        <w:ind w:left="1180" w:hanging="586"/>
        <w:spacing w:after="0" w:line="238" w:lineRule="auto"/>
        <w:tabs>
          <w:tab w:leader="none" w:pos="118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fifteen (15) Business Days after the Company delivers the New Equity Notice to the Pre-emptive Right Holders (the “</w:t>
      </w:r>
      <w:r>
        <w:rPr>
          <w:rFonts w:ascii="Times New Roman" w:cs="Times New Roman" w:eastAsia="Times New Roman" w:hAnsi="Times New Roman"/>
          <w:sz w:val="20"/>
          <w:szCs w:val="20"/>
          <w:b w:val="1"/>
          <w:bCs w:val="1"/>
          <w:color w:val="auto"/>
        </w:rPr>
        <w:t>Pre-emptive Rights Exercise Period</w:t>
      </w:r>
      <w:r>
        <w:rPr>
          <w:rFonts w:ascii="Times New Roman" w:cs="Times New Roman" w:eastAsia="Times New Roman" w:hAnsi="Times New Roman"/>
          <w:sz w:val="20"/>
          <w:szCs w:val="20"/>
          <w:color w:val="auto"/>
        </w:rPr>
        <w:t>”), if a Pre-emptive Right Holder chooses to exercise its Pre-emptive Right, it shall submit a written notice to the Company specifying the number of New Equity it intends to subscribe for. Failure of a Pre-emptive Right Holder to submit a written notice to the Company within the Pre-emptive Rights Exercise Period shall be deemed as a waiver of its Pre-emptive Right with respect to such New Equity.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70" w:name="page371"/>
    <w:bookmarkEnd w:id="370"/>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720" w:hanging="586"/>
        <w:spacing w:after="0" w:line="234" w:lineRule="auto"/>
        <w:tabs>
          <w:tab w:leader="none" w:pos="7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part of the Pre-emptive Right Holders do not subscribe or do not fully subscribe for the New Equity within the Pre-emptive Rights Exercise Period, the Company shall, within three (3) Business Days after the expiration of the Pre-emptive Rights Exercise Period, deliver a written notice (the “</w:t>
      </w:r>
      <w:r>
        <w:rPr>
          <w:rFonts w:ascii="Times New Roman" w:cs="Times New Roman" w:eastAsia="Times New Roman" w:hAnsi="Times New Roman"/>
          <w:sz w:val="20"/>
          <w:szCs w:val="20"/>
          <w:b w:val="1"/>
          <w:bCs w:val="1"/>
          <w:color w:val="auto"/>
        </w:rPr>
        <w:t>Oversubscription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to the shareholders who have fully exercised their Pre-emptive Rights (the “</w:t>
      </w:r>
      <w:r>
        <w:rPr>
          <w:rFonts w:ascii="Times New Roman" w:cs="Times New Roman" w:eastAsia="Times New Roman" w:hAnsi="Times New Roman"/>
          <w:sz w:val="20"/>
          <w:szCs w:val="20"/>
          <w:b w:val="1"/>
          <w:bCs w:val="1"/>
          <w:color w:val="auto"/>
        </w:rPr>
        <w:t>Exercising Pre-emptive Parties</w:t>
      </w:r>
      <w:r>
        <w:rPr>
          <w:rFonts w:ascii="Times New Roman" w:cs="Times New Roman" w:eastAsia="Times New Roman" w:hAnsi="Times New Roman"/>
          <w:sz w:val="20"/>
          <w:szCs w:val="20"/>
          <w:color w:val="auto"/>
        </w:rPr>
        <w:t>”), informing such Exercising Pre-emptive Parties of the remaining New Equity not subscribed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Remaining New Equity</w:t>
      </w:r>
      <w:r>
        <w:rPr>
          <w:rFonts w:ascii="Times New Roman" w:cs="Times New Roman" w:eastAsia="Times New Roman" w:hAnsi="Times New Roman"/>
          <w:sz w:val="20"/>
          <w:szCs w:val="20"/>
          <w:color w:val="auto"/>
        </w:rPr>
        <w:t>”). The Exercising Pre-emptive Parties shall have the right (but not the obligation) to issue a written notice (the “</w:t>
      </w:r>
      <w:r>
        <w:rPr>
          <w:rFonts w:ascii="Times New Roman" w:cs="Times New Roman" w:eastAsia="Times New Roman" w:hAnsi="Times New Roman"/>
          <w:sz w:val="20"/>
          <w:szCs w:val="20"/>
          <w:b w:val="1"/>
          <w:bCs w:val="1"/>
          <w:color w:val="auto"/>
        </w:rPr>
        <w:t>Second Subscription Notice</w:t>
      </w:r>
      <w:r>
        <w:rPr>
          <w:rFonts w:ascii="Times New Roman" w:cs="Times New Roman" w:eastAsia="Times New Roman" w:hAnsi="Times New Roman"/>
          <w:sz w:val="20"/>
          <w:szCs w:val="20"/>
          <w:color w:val="auto"/>
        </w:rPr>
        <w:t>”) to the Company within five (5) Business Days after receiving the Oversubscription Notice (the “</w:t>
      </w:r>
      <w:r>
        <w:rPr>
          <w:rFonts w:ascii="Times New Roman" w:cs="Times New Roman" w:eastAsia="Times New Roman" w:hAnsi="Times New Roman"/>
          <w:sz w:val="20"/>
          <w:szCs w:val="20"/>
          <w:b w:val="1"/>
          <w:bCs w:val="1"/>
          <w:color w:val="auto"/>
        </w:rPr>
        <w:t>Oversubscription Period</w:t>
      </w:r>
      <w:r>
        <w:rPr>
          <w:rFonts w:ascii="Times New Roman" w:cs="Times New Roman" w:eastAsia="Times New Roman" w:hAnsi="Times New Roman"/>
          <w:sz w:val="20"/>
          <w:szCs w:val="20"/>
          <w:color w:val="auto"/>
        </w:rPr>
        <w:t>”), indicating their intention to subscribe for the Remaining New Equity on a priority basis according to the price, terms, and conditions set forth in the New Equity Notice and the quantity of Remaining New Equity they intend to purchase (such right being the “</w:t>
      </w:r>
      <w:r>
        <w:rPr>
          <w:rFonts w:ascii="Times New Roman" w:cs="Times New Roman" w:eastAsia="Times New Roman" w:hAnsi="Times New Roman"/>
          <w:sz w:val="20"/>
          <w:szCs w:val="20"/>
          <w:b w:val="1"/>
          <w:bCs w:val="1"/>
          <w:color w:val="auto"/>
        </w:rPr>
        <w:t>Oversubscription Right</w:t>
      </w:r>
      <w:r>
        <w:rPr>
          <w:rFonts w:ascii="Times New Roman" w:cs="Times New Roman" w:eastAsia="Times New Roman" w:hAnsi="Times New Roman"/>
          <w:sz w:val="20"/>
          <w:szCs w:val="20"/>
          <w:color w:val="auto"/>
        </w:rPr>
        <w:t>”, and such shareholders exercising the Oversubscription Right being the “</w:t>
      </w:r>
      <w:r>
        <w:rPr>
          <w:rFonts w:ascii="Times New Roman" w:cs="Times New Roman" w:eastAsia="Times New Roman" w:hAnsi="Times New Roman"/>
          <w:sz w:val="20"/>
          <w:szCs w:val="20"/>
          <w:b w:val="1"/>
          <w:bCs w:val="1"/>
          <w:color w:val="auto"/>
        </w:rPr>
        <w:t>Oversubscribing Parties</w:t>
      </w:r>
      <w:r>
        <w:rPr>
          <w:rFonts w:ascii="Times New Roman" w:cs="Times New Roman" w:eastAsia="Times New Roman" w:hAnsi="Times New Roman"/>
          <w:sz w:val="20"/>
          <w:szCs w:val="20"/>
          <w:color w:val="auto"/>
        </w:rPr>
        <w:t>”). However, if the total quantity of New Equity that all Oversubscribing Parties intend to subscribe for exceeds the quantity of Remaining New Equity, the quantity of New Equity that such shareholders may subscribe for by exercising the Oversubscription Right shall be the lower of: (1) the quantity intended to be subscribed for as stated in such Oversubscribing Party’s Second Subscription Notice; (2) the product calculated by multiplying the quantity of Remaining New Equity by a fraction, the numerator of which is the registered capital of the Target Company held by such Oversubscribing Party at such time, and the denominator of which is the registered capital of the Target Company held by all Oversubscribing Parties at such time.</w:t>
      </w:r>
    </w:p>
    <w:p>
      <w:pPr>
        <w:spacing w:after="0" w:line="170" w:lineRule="exact"/>
        <w:rPr>
          <w:rFonts w:ascii="Times New Roman" w:cs="Times New Roman" w:eastAsia="Times New Roman" w:hAnsi="Times New Roman"/>
          <w:sz w:val="20"/>
          <w:szCs w:val="20"/>
          <w:color w:val="auto"/>
        </w:rPr>
      </w:pPr>
    </w:p>
    <w:p>
      <w:pPr>
        <w:jc w:val="both"/>
        <w:ind w:left="720" w:hanging="586"/>
        <w:spacing w:after="0" w:line="238" w:lineRule="auto"/>
        <w:tabs>
          <w:tab w:leader="none" w:pos="7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Pre-emptive Right Holders do not exercise or do not fully exercise their Pre-emptive Rights and Oversubscription Rights, then with respect to the New Equity for which the Pre-emptive Right Holders have waived or not fully exercised their Pre-emptive Rights and Oversubscription Rights, the Company shall have the right, within one hundred and eighty (180) days after the expiration of the Oversubscription Period, to offer such New Equity for subscription to a Proposed Subscriber at the same or higher price and on non-price terms no less favorable (to the Company) than those set forth in the New</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71" w:name="page372"/>
    <w:bookmarkEnd w:id="371"/>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720"/>
        <w:spacing w:after="0" w:line="239" w:lineRule="auto"/>
        <w:rPr>
          <w:sz w:val="20"/>
          <w:szCs w:val="20"/>
          <w:color w:val="auto"/>
        </w:rPr>
      </w:pPr>
      <w:r>
        <w:rPr>
          <w:rFonts w:ascii="Times New Roman" w:cs="Times New Roman" w:eastAsia="Times New Roman" w:hAnsi="Times New Roman"/>
          <w:sz w:val="20"/>
          <w:szCs w:val="20"/>
          <w:color w:val="auto"/>
        </w:rPr>
        <w:t>Equity Notice. If the Target Company fails to complete the capital increase transaction with the Proposed Subscriber for the New Equity not subscribed for under the Pre-emptive Rights and Oversubscription Rights within one hundred and eighty (180) days after the expiration of the Oversubscription Period, the Target Company must repeat the procedures set forth in Sections 3.1(1) to 3.1(4) before continuing the transaction with the Proposed Subscriber for such New Equity.</w:t>
      </w:r>
    </w:p>
    <w:p>
      <w:pPr>
        <w:spacing w:after="0" w:line="167" w:lineRule="exact"/>
        <w:rPr>
          <w:sz w:val="20"/>
          <w:szCs w:val="20"/>
          <w:color w:val="auto"/>
        </w:rPr>
      </w:pPr>
    </w:p>
    <w:p>
      <w:pPr>
        <w:jc w:val="both"/>
        <w:ind w:left="720" w:hanging="586"/>
        <w:spacing w:after="0" w:line="235" w:lineRule="auto"/>
        <w:tabs>
          <w:tab w:leader="none" w:pos="72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this section, New Equity shall not include: (i) Equity Securities issued by the Company pursuant to an Equity Incentive Plan approved by the shareholders’ meeting in accordance with this Agreement; (ii) Equity Securities issued by the Company in its IPO; (iii) increases in registered capital arising from the capitalization of profits or capital reserves to increase registered capital or share capital, respectively, approved by the shareholders’ meeting of the Company in accordance with this Agreement and the Articles of Association, in proportion to the parties’ paid-in capital contributions to the Company; (iv) the new registered capital of the Company subscribed for by the Investors under this Transaction; (v) increases in registered capital arising from the conversion, exercise, or exchange of Equity Securities duly issued by the Company in accordance with this Agreement (or, after the Company is converted into a joint stock limited company, shares issued by the Company upon conversion of Equity Securities duly issued in accordance with this Agreement); and (vi) increases in registered capital issued to the Investors pursuant to Section 3.4 (Anti-dilution) of this Agreement.</w:t>
      </w:r>
    </w:p>
    <w:p>
      <w:pPr>
        <w:spacing w:after="0" w:line="169" w:lineRule="exact"/>
        <w:rPr>
          <w:rFonts w:ascii="Times New Roman" w:cs="Times New Roman" w:eastAsia="Times New Roman" w:hAnsi="Times New Roman"/>
          <w:sz w:val="20"/>
          <w:szCs w:val="20"/>
          <w:color w:val="auto"/>
        </w:rPr>
      </w:pPr>
    </w:p>
    <w:p>
      <w:pPr>
        <w:jc w:val="both"/>
        <w:ind w:left="720" w:hanging="586"/>
        <w:spacing w:after="0" w:line="242" w:lineRule="auto"/>
        <w:tabs>
          <w:tab w:leader="none" w:pos="72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Pre-emptive Right Holder chooses to exercise its Pre-emptive Right and Oversubscription Right (if applicable), such Pre-emptive Right Holder and the Company shall enter into an agreement regarding such Pre-emptive Right Holder’s subscription for the new registered capital within twenty (20) Business Days after the date of issuance of the Second Subscription Notice set forth in Section 3.1(4).</w:t>
      </w:r>
    </w:p>
    <w:p>
      <w:pPr>
        <w:spacing w:after="0" w:line="161" w:lineRule="exact"/>
        <w:rPr>
          <w:rFonts w:ascii="Times New Roman" w:cs="Times New Roman" w:eastAsia="Times New Roman" w:hAnsi="Times New Roman"/>
          <w:sz w:val="20"/>
          <w:szCs w:val="20"/>
          <w:color w:val="auto"/>
        </w:rPr>
      </w:pPr>
    </w:p>
    <w:p>
      <w:pPr>
        <w:jc w:val="both"/>
        <w:ind w:left="720" w:hanging="586"/>
        <w:spacing w:after="0" w:line="242" w:lineRule="auto"/>
        <w:tabs>
          <w:tab w:leader="none" w:pos="72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Investors that are funds, such as Emerging Industry Fund, Hefei Haiheng, Harmonious Fund, Zhongxin Juyuan, Anhui Guokong, Yuanhe Puhua, Hefei Weilai Investment, Jianxin Equity and Oriza Holdings, shall have the right, at their sole discretion, to exercise all or part of their Pre-emptive Rights and Oversubscription Rights through their fund managers, other fund entities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72" w:name="page373"/>
    <w:bookmarkEnd w:id="372"/>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ind w:left="1180"/>
        <w:spacing w:after="0" w:line="262" w:lineRule="auto"/>
        <w:rPr>
          <w:sz w:val="20"/>
          <w:szCs w:val="20"/>
          <w:color w:val="auto"/>
        </w:rPr>
      </w:pPr>
      <w:r>
        <w:rPr>
          <w:rFonts w:ascii="Times New Roman" w:cs="Times New Roman" w:eastAsia="Times New Roman" w:hAnsi="Times New Roman"/>
          <w:sz w:val="20"/>
          <w:szCs w:val="20"/>
          <w:color w:val="auto"/>
        </w:rPr>
        <w:t>controlled or managed by their fund managers, or other fund entities under common control with such Investor or its fund manager (excluding Competitors).</w:t>
      </w:r>
    </w:p>
    <w:p>
      <w:pPr>
        <w:spacing w:after="0" w:line="1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Right of First Refusal</w:t>
      </w:r>
    </w:p>
    <w:p>
      <w:pPr>
        <w:spacing w:after="0" w:line="191" w:lineRule="exact"/>
        <w:rPr>
          <w:sz w:val="20"/>
          <w:szCs w:val="20"/>
          <w:color w:val="auto"/>
        </w:rPr>
      </w:pPr>
    </w:p>
    <w:p>
      <w:pPr>
        <w:jc w:val="both"/>
        <w:ind w:left="1180" w:hanging="586"/>
        <w:spacing w:after="0" w:line="236" w:lineRule="auto"/>
        <w:tabs>
          <w:tab w:leader="none" w:pos="118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and prior to the Company’s Qualified IPO, subject to Section 4.2(1) of this Agreement, if NIO, the Controlling Shareholder and/or the Employee Shareholding Platforms (collectively, the “</w:t>
      </w:r>
      <w:r>
        <w:rPr>
          <w:rFonts w:ascii="Times New Roman" w:cs="Times New Roman" w:eastAsia="Times New Roman" w:hAnsi="Times New Roman"/>
          <w:sz w:val="20"/>
          <w:szCs w:val="20"/>
          <w:b w:val="1"/>
          <w:bCs w:val="1"/>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Shareholders</w:t>
      </w:r>
      <w:r>
        <w:rPr>
          <w:rFonts w:ascii="Times New Roman" w:cs="Times New Roman" w:eastAsia="Times New Roman" w:hAnsi="Times New Roman"/>
          <w:sz w:val="20"/>
          <w:szCs w:val="20"/>
          <w:color w:val="auto"/>
        </w:rPr>
        <w:t>”, individually a “</w:t>
      </w:r>
      <w:r>
        <w:rPr>
          <w:rFonts w:ascii="Times New Roman" w:cs="Times New Roman" w:eastAsia="Times New Roman" w:hAnsi="Times New Roman"/>
          <w:sz w:val="20"/>
          <w:szCs w:val="20"/>
          <w:b w:val="1"/>
          <w:bCs w:val="1"/>
          <w:color w:val="auto"/>
        </w:rPr>
        <w:t>Restricted Shareholder</w:t>
      </w:r>
      <w:r>
        <w:rPr>
          <w:rFonts w:ascii="Times New Roman" w:cs="Times New Roman" w:eastAsia="Times New Roman" w:hAnsi="Times New Roman"/>
          <w:sz w:val="20"/>
          <w:szCs w:val="20"/>
          <w:color w:val="auto"/>
        </w:rPr>
        <w:t>”) intends to sell or otherwise dispose of,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 part or all of the Company’s equity held by it (the “</w:t>
      </w:r>
      <w:r>
        <w:rPr>
          <w:rFonts w:ascii="Times New Roman" w:cs="Times New Roman" w:eastAsia="Times New Roman" w:hAnsi="Times New Roman"/>
          <w:sz w:val="20"/>
          <w:szCs w:val="20"/>
          <w:b w:val="1"/>
          <w:bCs w:val="1"/>
          <w:color w:val="auto"/>
        </w:rPr>
        <w:t>Sale Equity</w:t>
      </w:r>
      <w:r>
        <w:rPr>
          <w:rFonts w:ascii="Times New Roman" w:cs="Times New Roman" w:eastAsia="Times New Roman" w:hAnsi="Times New Roman"/>
          <w:sz w:val="20"/>
          <w:szCs w:val="20"/>
          <w:color w:val="auto"/>
        </w:rPr>
        <w:t>”) to any person (the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(such equity transfer being a “</w:t>
      </w:r>
      <w:r>
        <w:rPr>
          <w:rFonts w:ascii="Times New Roman" w:cs="Times New Roman" w:eastAsia="Times New Roman" w:hAnsi="Times New Roman"/>
          <w:sz w:val="20"/>
          <w:szCs w:val="20"/>
          <w:b w:val="1"/>
          <w:bCs w:val="1"/>
          <w:color w:val="auto"/>
        </w:rPr>
        <w:t>Proposed Transfer</w:t>
      </w:r>
      <w:r>
        <w:rPr>
          <w:rFonts w:ascii="Times New Roman" w:cs="Times New Roman" w:eastAsia="Times New Roman" w:hAnsi="Times New Roman"/>
          <w:sz w:val="20"/>
          <w:szCs w:val="20"/>
          <w:color w:val="auto"/>
        </w:rPr>
        <w:t>”), such Restricted Shareholder shall, prior to the Proposed Transfer, deliver a written notice (the “</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to the Investors and the Controlling Shareholder (the “</w:t>
      </w:r>
      <w:r>
        <w:rPr>
          <w:rFonts w:ascii="Times New Roman" w:cs="Times New Roman" w:eastAsia="Times New Roman" w:hAnsi="Times New Roman"/>
          <w:sz w:val="20"/>
          <w:szCs w:val="20"/>
          <w:b w:val="1"/>
          <w:bCs w:val="1"/>
          <w:color w:val="auto"/>
        </w:rPr>
        <w:t>ROFR Shareholders</w:t>
      </w:r>
      <w:r>
        <w:rPr>
          <w:rFonts w:ascii="Times New Roman" w:cs="Times New Roman" w:eastAsia="Times New Roman" w:hAnsi="Times New Roman"/>
          <w:sz w:val="20"/>
          <w:szCs w:val="20"/>
          <w:color w:val="auto"/>
        </w:rPr>
        <w:t>”). Such notice shall specify: (i) the name and address of the Transferee; (ii) the amount of the Sale Equity; (iii) the amount and form of the consideration for the Proposed Transfer; and (iv) the other terms and conditions of the Proposed Transfer.</w:t>
      </w:r>
    </w:p>
    <w:p>
      <w:pPr>
        <w:spacing w:after="0" w:line="163" w:lineRule="exact"/>
        <w:rPr>
          <w:rFonts w:ascii="Times New Roman" w:cs="Times New Roman" w:eastAsia="Times New Roman" w:hAnsi="Times New Roman"/>
          <w:sz w:val="20"/>
          <w:szCs w:val="20"/>
          <w:color w:val="auto"/>
        </w:rPr>
      </w:pPr>
    </w:p>
    <w:p>
      <w:pPr>
        <w:jc w:val="both"/>
        <w:ind w:left="1180" w:hanging="586"/>
        <w:spacing w:after="0" w:line="235" w:lineRule="auto"/>
        <w:tabs>
          <w:tab w:leader="none" w:pos="118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fifteen (15) days from the delivery of the Transfer Notice (the “</w:t>
      </w:r>
      <w:r>
        <w:rPr>
          <w:rFonts w:ascii="Times New Roman" w:cs="Times New Roman" w:eastAsia="Times New Roman" w:hAnsi="Times New Roman"/>
          <w:sz w:val="20"/>
          <w:szCs w:val="20"/>
          <w:b w:val="1"/>
          <w:bCs w:val="1"/>
          <w:color w:val="auto"/>
        </w:rPr>
        <w:t>Offer Period</w:t>
      </w:r>
      <w:r>
        <w:rPr>
          <w:rFonts w:ascii="Times New Roman" w:cs="Times New Roman" w:eastAsia="Times New Roman" w:hAnsi="Times New Roman"/>
          <w:sz w:val="20"/>
          <w:szCs w:val="20"/>
          <w:color w:val="auto"/>
        </w:rPr>
        <w:t>”), each ROFR Shareholder shall have the right to decide and notify the Restricted Shareholder in writing: (x) solely with respect to a Proposed Transfer by the Controlling Shareholder and/or the Employee Shareholding Platforms, that it will purchase the Sale Equity on a priority basis, in proportion to its then-held equity in the Company relative to the equity held by all ROFR Shareholders, on all terms and conditions, including price, as set forth in the Transfer Notice (the “</w:t>
      </w: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(y) that it will exercise its Right of Co-sale under Section 3.3 of this Agreement (for the avoidance of doubt, this subparagraph applies only to Investors); or (z) that it consents to such Proposed Transfer and will not exercise its Right of First Refusal (if applicable) or its Right of Co-sale. If any ROFR Shareholder fails to notify such Restricted Shareholder in writing of its decision within the Offer Period, it shall be deemed to have chosen subparagraph (z). For the avoidance of doubt, if the Restricted Shareholder making the Proposed Transfer includes NIO and/or the Controlling Shareholder, the Controlling Shareholder shall not be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73" w:name="page374"/>
    <w:bookmarkEnd w:id="373"/>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20"/>
          <w:szCs w:val="20"/>
          <w:color w:val="auto"/>
        </w:rPr>
        <w:t>deemed a ROFR Shareholder under this Section 3.2 and shall not enjoy the Right of First Refusal or the Oversubscription Right under this Section 3.2.</w:t>
      </w:r>
    </w:p>
    <w:p>
      <w:pPr>
        <w:spacing w:after="0" w:line="141" w:lineRule="exact"/>
        <w:rPr>
          <w:sz w:val="20"/>
          <w:szCs w:val="20"/>
          <w:color w:val="auto"/>
        </w:rPr>
      </w:pPr>
    </w:p>
    <w:p>
      <w:pPr>
        <w:jc w:val="both"/>
        <w:ind w:left="720" w:hanging="586"/>
        <w:spacing w:after="0" w:line="234" w:lineRule="auto"/>
        <w:tabs>
          <w:tab w:leader="none" w:pos="72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part of the ROFR Shareholders do not purchase or do not fully purchase the Sale Equity within the Offer Period, the Restricted Shareholder shall, within three (3) Business Days after the expiration of the Offer Period, deliver a written notice (the “</w:t>
      </w:r>
      <w:r>
        <w:rPr>
          <w:rFonts w:ascii="Times New Roman" w:cs="Times New Roman" w:eastAsia="Times New Roman" w:hAnsi="Times New Roman"/>
          <w:sz w:val="20"/>
          <w:szCs w:val="20"/>
          <w:b w:val="1"/>
          <w:bCs w:val="1"/>
          <w:color w:val="auto"/>
        </w:rPr>
        <w:t>Oversubscription Notice</w:t>
      </w:r>
      <w:r>
        <w:rPr>
          <w:rFonts w:ascii="Times New Roman" w:cs="Times New Roman" w:eastAsia="Times New Roman" w:hAnsi="Times New Roman"/>
          <w:sz w:val="20"/>
          <w:szCs w:val="20"/>
          <w:color w:val="auto"/>
        </w:rPr>
        <w:t>”) to the ROFR Shareholders who have fully exercised their Right of First Refusal (the “</w:t>
      </w:r>
      <w:r>
        <w:rPr>
          <w:rFonts w:ascii="Times New Roman" w:cs="Times New Roman" w:eastAsia="Times New Roman" w:hAnsi="Times New Roman"/>
          <w:sz w:val="20"/>
          <w:szCs w:val="20"/>
          <w:b w:val="1"/>
          <w:bCs w:val="1"/>
          <w:color w:val="auto"/>
        </w:rPr>
        <w:t>Exercising ROFR Parties</w:t>
      </w:r>
      <w:r>
        <w:rPr>
          <w:rFonts w:ascii="Times New Roman" w:cs="Times New Roman" w:eastAsia="Times New Roman" w:hAnsi="Times New Roman"/>
          <w:sz w:val="20"/>
          <w:szCs w:val="20"/>
          <w:color w:val="auto"/>
        </w:rPr>
        <w:t>”), informing such Exercising ROFR Parties of the remaining Sale Equity not purchased (the “</w:t>
      </w:r>
      <w:r>
        <w:rPr>
          <w:rFonts w:ascii="Times New Roman" w:cs="Times New Roman" w:eastAsia="Times New Roman" w:hAnsi="Times New Roman"/>
          <w:sz w:val="20"/>
          <w:szCs w:val="20"/>
          <w:b w:val="1"/>
          <w:bCs w:val="1"/>
          <w:color w:val="auto"/>
        </w:rPr>
        <w:t>Remaining Sale Equity</w:t>
      </w:r>
      <w:r>
        <w:rPr>
          <w:rFonts w:ascii="Times New Roman" w:cs="Times New Roman" w:eastAsia="Times New Roman" w:hAnsi="Times New Roman"/>
          <w:sz w:val="20"/>
          <w:szCs w:val="20"/>
          <w:color w:val="auto"/>
        </w:rPr>
        <w:t>”). The Exercising ROFR Parties shall have the right (but not the obligation) to issue a written notice (the “</w:t>
      </w:r>
      <w:r>
        <w:rPr>
          <w:rFonts w:ascii="Times New Roman" w:cs="Times New Roman" w:eastAsia="Times New Roman" w:hAnsi="Times New Roman"/>
          <w:sz w:val="20"/>
          <w:szCs w:val="20"/>
          <w:b w:val="1"/>
          <w:bCs w:val="1"/>
          <w:color w:val="auto"/>
        </w:rPr>
        <w:t>Second Purchase Notice</w:t>
      </w:r>
      <w:r>
        <w:rPr>
          <w:rFonts w:ascii="Times New Roman" w:cs="Times New Roman" w:eastAsia="Times New Roman" w:hAnsi="Times New Roman"/>
          <w:sz w:val="20"/>
          <w:szCs w:val="20"/>
          <w:color w:val="auto"/>
        </w:rPr>
        <w:t>”) to the Restricted Shareholder within five (5) Business Days after receiving the Oversubscription Notice (the “</w:t>
      </w:r>
      <w:r>
        <w:rPr>
          <w:rFonts w:ascii="Times New Roman" w:cs="Times New Roman" w:eastAsia="Times New Roman" w:hAnsi="Times New Roman"/>
          <w:sz w:val="20"/>
          <w:szCs w:val="20"/>
          <w:b w:val="1"/>
          <w:bCs w:val="1"/>
          <w:color w:val="auto"/>
        </w:rPr>
        <w:t>Oversubscription Period</w:t>
      </w:r>
      <w:r>
        <w:rPr>
          <w:rFonts w:ascii="Times New Roman" w:cs="Times New Roman" w:eastAsia="Times New Roman" w:hAnsi="Times New Roman"/>
          <w:sz w:val="20"/>
          <w:szCs w:val="20"/>
          <w:color w:val="auto"/>
        </w:rPr>
        <w:t>”), indicating their intention to purchase the Remaining Sale Equity on a priority basis according to all terms and conditions, including price, as set forth in the Transfer Notice, and the quantity of Sale Equity they intend to purchase (such right being the “</w:t>
      </w:r>
      <w:r>
        <w:rPr>
          <w:rFonts w:ascii="Times New Roman" w:cs="Times New Roman" w:eastAsia="Times New Roman" w:hAnsi="Times New Roman"/>
          <w:sz w:val="20"/>
          <w:szCs w:val="20"/>
          <w:b w:val="1"/>
          <w:bCs w:val="1"/>
          <w:color w:val="auto"/>
        </w:rPr>
        <w:t>Oversubscription Right</w:t>
      </w:r>
      <w:r>
        <w:rPr>
          <w:rFonts w:ascii="Times New Roman" w:cs="Times New Roman" w:eastAsia="Times New Roman" w:hAnsi="Times New Roman"/>
          <w:sz w:val="20"/>
          <w:szCs w:val="20"/>
          <w:color w:val="auto"/>
        </w:rPr>
        <w:t>”, and such shareholders exercising the Oversubscription Right being the “</w:t>
      </w:r>
      <w:r>
        <w:rPr>
          <w:rFonts w:ascii="Times New Roman" w:cs="Times New Roman" w:eastAsia="Times New Roman" w:hAnsi="Times New Roman"/>
          <w:sz w:val="20"/>
          <w:szCs w:val="20"/>
          <w:b w:val="1"/>
          <w:bCs w:val="1"/>
          <w:color w:val="auto"/>
        </w:rPr>
        <w:t>Oversubscription Purchasers</w:t>
      </w:r>
      <w:r>
        <w:rPr>
          <w:rFonts w:ascii="Times New Roman" w:cs="Times New Roman" w:eastAsia="Times New Roman" w:hAnsi="Times New Roman"/>
          <w:sz w:val="20"/>
          <w:szCs w:val="20"/>
          <w:color w:val="auto"/>
        </w:rPr>
        <w:t>”). However, if the total quantity of Sale Equity that all Oversubscription Purchasers intend to purchase exceeds the quantity of Remaining Sale Equity, the total quantity of Sale Equity that such shareholders may purchase by exercising the Oversubscription Right shall be the lower of: (a) the quantity intended to be purchased as stated in such Oversubscription Purchaser’s Second Purchase Notice; (b) the product calculated by multiplying the quantity of Remaining Sale Equity by a fraction, the numerator of which is the registered capital of the Company held by such Oversubscription Purchaser at such time, and the denominator of which is the registered capital of the Company held by all Oversubscription Purchasers at such time.</w:t>
      </w:r>
    </w:p>
    <w:p>
      <w:pPr>
        <w:spacing w:after="0" w:line="171" w:lineRule="exact"/>
        <w:rPr>
          <w:rFonts w:ascii="Times New Roman" w:cs="Times New Roman" w:eastAsia="Times New Roman" w:hAnsi="Times New Roman"/>
          <w:sz w:val="20"/>
          <w:szCs w:val="20"/>
          <w:color w:val="auto"/>
        </w:rPr>
      </w:pPr>
    </w:p>
    <w:p>
      <w:pPr>
        <w:jc w:val="both"/>
        <w:ind w:left="720" w:hanging="586"/>
        <w:spacing w:after="0" w:line="239" w:lineRule="auto"/>
        <w:tabs>
          <w:tab w:leader="none" w:pos="72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Section 3.2(2)(x), the written notice from the ROFR Shareholder shall constitute a contract between the Restricted Shareholder and the ROFR Shareholder for the purchase and sale of the corresponding Sale Equity on all terms and conditions set forth in the Transfer Notice. The ROFR Shareholder and the Restricted Shareholder shall complete the transfer of the corresponding Sale Equity within ninety (90) days after the expiration of the Oversubscription Period.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74" w:name="page375"/>
    <w:bookmarkEnd w:id="374"/>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1180" w:hanging="586"/>
        <w:spacing w:after="0" w:line="236" w:lineRule="auto"/>
        <w:tabs>
          <w:tab w:leader="none" w:pos="118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end of the Oversubscription Period, if the ROFR Shareholders have not exercised their Right of First Refusal or Oversubscription Right or have not purchased all of the Sale Equity, the Restricted Shareholder may transfer the Remaining Sale Equity not subject to the Right of First Refusal or Oversubscription Right to the Transferee at the same or higher price and on non-price terms no more favorable than those set forth in the Transfer Notice, within one hundred and eighty (180) days after the expiration of the Oversubscription Period. If the Restricted Shareholder fails to complete the transfer transaction with the Transferee and the Co-sale Shareholders (if applicable) for the Remaining Sale Equity not subject to the Right of First Refusal or Oversubscription Right within one hundred and eighty (180) days after the expiration of the Oversubscription Period, the Restricted Shareholder must repeat the procedures set forth in Sections 3.2 and 3.3 before continuing the transaction with the Transferee for such Sale Equity.</w:t>
      </w:r>
    </w:p>
    <w:p>
      <w:pPr>
        <w:spacing w:after="0" w:line="164" w:lineRule="exact"/>
        <w:rPr>
          <w:rFonts w:ascii="Times New Roman" w:cs="Times New Roman" w:eastAsia="Times New Roman" w:hAnsi="Times New Roman"/>
          <w:sz w:val="20"/>
          <w:szCs w:val="20"/>
          <w:color w:val="auto"/>
        </w:rPr>
      </w:pPr>
    </w:p>
    <w:p>
      <w:pPr>
        <w:jc w:val="both"/>
        <w:ind w:left="1180" w:hanging="586"/>
        <w:spacing w:after="0" w:line="238" w:lineRule="auto"/>
        <w:tabs>
          <w:tab w:leader="none" w:pos="118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Investors that are funds, such as Emerging Industry Fund, Hefei Haiheng, Harmonious Fund, Zhongxin Juyuan, Anhui Guokong, Yuanhe Puhua, Hefei Weilai Investment, Jianxin Equity and Oriza Holdings, shall have the right, at their sole discretion, to exercise all or part of their Right of First Refusal and Oversubscription Right through their fund managers, other fund entities controlled or managed by their fund managers, or other fund entities under common control with such Investor or its fund manager (excluding Competitors).</w:t>
      </w:r>
    </w:p>
    <w:p>
      <w:pPr>
        <w:spacing w:after="0" w:line="166" w:lineRule="exact"/>
        <w:rPr>
          <w:rFonts w:ascii="Times New Roman" w:cs="Times New Roman" w:eastAsia="Times New Roman" w:hAnsi="Times New Roman"/>
          <w:sz w:val="20"/>
          <w:szCs w:val="20"/>
          <w:color w:val="auto"/>
        </w:rPr>
      </w:pPr>
    </w:p>
    <w:p>
      <w:pPr>
        <w:jc w:val="both"/>
        <w:ind w:left="1180" w:hanging="586"/>
        <w:spacing w:after="0" w:line="239" w:lineRule="auto"/>
        <w:tabs>
          <w:tab w:leader="none" w:pos="118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3.2 shall not apply to: (a) the implementation of an Equity Incentive Plan duly approved in accordance with this Agreement; (b) the transfer of equity by a Restricted Shareholder to an Investor pursuant to Section 3.4 (Anti-dilution) of this Agreement; (c) direct or indirect transfers of equity by NIO or the Controlling Shareholder, provided that NIO’s aggregate beneficial shareholding percentage in the Target Company on a look-through basis remains unchanged.</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Right of Co-sale</w:t>
      </w:r>
    </w:p>
    <w:p>
      <w:pPr>
        <w:spacing w:after="0" w:line="187" w:lineRule="exact"/>
        <w:rPr>
          <w:sz w:val="20"/>
          <w:szCs w:val="20"/>
          <w:color w:val="auto"/>
        </w:rPr>
      </w:pPr>
    </w:p>
    <w:p>
      <w:pPr>
        <w:jc w:val="both"/>
        <w:ind w:left="1180" w:hanging="586"/>
        <w:spacing w:after="0" w:line="249" w:lineRule="auto"/>
        <w:tabs>
          <w:tab w:leader="none" w:pos="118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Investor issues a written notice (the “</w:t>
      </w:r>
      <w:r>
        <w:rPr>
          <w:rFonts w:ascii="Times New Roman" w:cs="Times New Roman" w:eastAsia="Times New Roman" w:hAnsi="Times New Roman"/>
          <w:sz w:val="20"/>
          <w:szCs w:val="20"/>
          <w:b w:val="1"/>
          <w:bCs w:val="1"/>
          <w:color w:val="auto"/>
        </w:rPr>
        <w:t>Co-sale Notice</w:t>
      </w:r>
      <w:r>
        <w:rPr>
          <w:rFonts w:ascii="Times New Roman" w:cs="Times New Roman" w:eastAsia="Times New Roman" w:hAnsi="Times New Roman"/>
          <w:sz w:val="20"/>
          <w:szCs w:val="20"/>
          <w:color w:val="auto"/>
        </w:rPr>
        <w:t>”, and the Investor issuing the Co-sale Notice being referred to as the “</w:t>
      </w:r>
      <w:r>
        <w:rPr>
          <w:rFonts w:ascii="Times New Roman" w:cs="Times New Roman" w:eastAsia="Times New Roman" w:hAnsi="Times New Roman"/>
          <w:sz w:val="20"/>
          <w:szCs w:val="20"/>
          <w:b w:val="1"/>
          <w:bCs w:val="1"/>
          <w:color w:val="auto"/>
        </w:rPr>
        <w:t>Co-sale Shareholder</w:t>
      </w:r>
      <w:r>
        <w:rPr>
          <w:rFonts w:ascii="Times New Roman" w:cs="Times New Roman" w:eastAsia="Times New Roman" w:hAnsi="Times New Roman"/>
          <w:sz w:val="20"/>
          <w:szCs w:val="20"/>
          <w:color w:val="auto"/>
        </w:rPr>
        <w:t>”) to a Restricted Shareholder prior to the expiration of the Offer Period pursuant to Section 3.2(2) of this Agreement, requesting to sell jointly to the Transferee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75" w:name="page376"/>
    <w:bookmarkEnd w:id="375"/>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0" w:lineRule="exact"/>
        <w:rPr>
          <w:sz w:val="20"/>
          <w:szCs w:val="20"/>
          <w:color w:val="auto"/>
        </w:rPr>
      </w:pPr>
    </w:p>
    <w:p>
      <w:pPr>
        <w:jc w:val="both"/>
        <w:ind w:left="1180"/>
        <w:spacing w:after="0" w:line="236" w:lineRule="auto"/>
        <w:rPr>
          <w:sz w:val="20"/>
          <w:szCs w:val="20"/>
          <w:color w:val="auto"/>
        </w:rPr>
      </w:pPr>
      <w:r>
        <w:rPr>
          <w:rFonts w:ascii="Times New Roman" w:cs="Times New Roman" w:eastAsia="Times New Roman" w:hAnsi="Times New Roman"/>
          <w:sz w:val="20"/>
          <w:szCs w:val="20"/>
          <w:color w:val="auto"/>
        </w:rPr>
        <w:t>the Company’s equity held by it (the “</w:t>
      </w:r>
      <w:r>
        <w:rPr>
          <w:rFonts w:ascii="Times New Roman" w:cs="Times New Roman" w:eastAsia="Times New Roman" w:hAnsi="Times New Roman"/>
          <w:sz w:val="20"/>
          <w:szCs w:val="20"/>
          <w:b w:val="1"/>
          <w:bCs w:val="1"/>
          <w:color w:val="auto"/>
        </w:rPr>
        <w:t>Co-sale Equity</w:t>
      </w:r>
      <w:r>
        <w:rPr>
          <w:rFonts w:ascii="Times New Roman" w:cs="Times New Roman" w:eastAsia="Times New Roman" w:hAnsi="Times New Roman"/>
          <w:sz w:val="20"/>
          <w:szCs w:val="20"/>
          <w:color w:val="auto"/>
        </w:rPr>
        <w:t>”) on all terms and conditions, including price, as set forth in the Transfer Notice (the right of a Co-sale Shareholder to request the sale of the Co-sale Equity to the Transferee being the “</w:t>
      </w:r>
      <w:r>
        <w:rPr>
          <w:rFonts w:ascii="Times New Roman" w:cs="Times New Roman" w:eastAsia="Times New Roman" w:hAnsi="Times New Roman"/>
          <w:sz w:val="20"/>
          <w:szCs w:val="20"/>
          <w:b w:val="1"/>
          <w:bCs w:val="1"/>
          <w:color w:val="auto"/>
        </w:rPr>
        <w:t>Right of Co-sale</w:t>
      </w:r>
      <w:r>
        <w:rPr>
          <w:rFonts w:ascii="Times New Roman" w:cs="Times New Roman" w:eastAsia="Times New Roman" w:hAnsi="Times New Roman"/>
          <w:sz w:val="20"/>
          <w:szCs w:val="20"/>
          <w:color w:val="auto"/>
        </w:rPr>
        <w:t>”), then the amount of equity for which each Co-sale Shareholder may exercise the Right of Co-sale shall not exceed the product calculated by multiplying: (a) the balance of the total Sale Equity after deducting the Sale Equity for which the Right of First Refusal and the Oversubscription Right have been exercised (if any), by (b) a fraction, the numerator of which is the registered capital of the Company held by such Co-sale Shareholder intending to exercise the Right of Co-sale, and the denominator of which is the sum of the registered capital of the Company held directly and indirectly by the Restricted Shareholder making the Proposed Transfer and the registered capital of the Company held by all Co-sale Shareholders.</w:t>
      </w:r>
    </w:p>
    <w:p>
      <w:pPr>
        <w:spacing w:after="0" w:line="168" w:lineRule="exact"/>
        <w:rPr>
          <w:sz w:val="20"/>
          <w:szCs w:val="20"/>
          <w:color w:val="auto"/>
        </w:rPr>
      </w:pPr>
    </w:p>
    <w:p>
      <w:pPr>
        <w:jc w:val="both"/>
        <w:ind w:left="1180" w:hanging="586"/>
        <w:spacing w:after="0" w:line="239" w:lineRule="auto"/>
        <w:tabs>
          <w:tab w:leader="none" w:pos="118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Shareholder shall be obligated to cause the Transferee to purchase the Co-sale Equity at the price and on the terms and conditions set forth in the Transfer Notice. If the Transferee refuses to purchase the Co-sale Equity for any reason, the Restricted Shareholder shall not transfer its Sale Equity to the Transferee, unless the Restricted Shareholder agrees to purchase the Co-sale Equity at the price and on the terms and conditions set forth in the Transfer Notice.</w:t>
      </w:r>
    </w:p>
    <w:p>
      <w:pPr>
        <w:spacing w:after="0" w:line="166" w:lineRule="exact"/>
        <w:rPr>
          <w:rFonts w:ascii="Times New Roman" w:cs="Times New Roman" w:eastAsia="Times New Roman" w:hAnsi="Times New Roman"/>
          <w:sz w:val="20"/>
          <w:szCs w:val="20"/>
          <w:color w:val="auto"/>
        </w:rPr>
      </w:pPr>
    </w:p>
    <w:p>
      <w:pPr>
        <w:jc w:val="both"/>
        <w:ind w:left="1180" w:hanging="586"/>
        <w:spacing w:after="0" w:line="239" w:lineRule="auto"/>
        <w:tabs>
          <w:tab w:leader="none" w:pos="118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3.3 shall not apply to: (a) the implementation of an Equity Incentive Plan duly approved in accordance with this Agreement; (b) the transfer of equity by a Restricted Shareholder to an Investor pursuant to Section 3.4 (Anti-dilution) of this Agreement; (c) direct or indirect transfers of equity by NIO or the Controlling Shareholder, provided that NIO’s aggregate beneficial shareholding percentage in the Target Company on a look-through basis remains unchanged.</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Anti-dilution</w:t>
      </w:r>
    </w:p>
    <w:p>
      <w:pPr>
        <w:spacing w:after="0" w:line="191" w:lineRule="exact"/>
        <w:rPr>
          <w:sz w:val="20"/>
          <w:szCs w:val="20"/>
          <w:color w:val="auto"/>
        </w:rPr>
      </w:pPr>
    </w:p>
    <w:p>
      <w:pPr>
        <w:jc w:val="both"/>
        <w:ind w:left="1180" w:hanging="586"/>
        <w:spacing w:after="0" w:line="242" w:lineRule="auto"/>
        <w:tabs>
          <w:tab w:leader="none" w:pos="118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Date, if the Company increases its registered capital (excluding increases in registered capital arising from the capitalization of profits or capital reserves to increase registered capital or share capital, respectively), and the price per unit of registered capital for such new registered capital (the “</w:t>
      </w:r>
      <w:r>
        <w:rPr>
          <w:rFonts w:ascii="Times New Roman" w:cs="Times New Roman" w:eastAsia="Times New Roman" w:hAnsi="Times New Roman"/>
          <w:sz w:val="20"/>
          <w:szCs w:val="20"/>
          <w:b w:val="1"/>
          <w:bCs w:val="1"/>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Round Price</w:t>
      </w:r>
      <w:r>
        <w:rPr>
          <w:rFonts w:ascii="Times New Roman" w:cs="Times New Roman" w:eastAsia="Times New Roman" w:hAnsi="Times New Roman"/>
          <w:sz w:val="20"/>
          <w:szCs w:val="20"/>
          <w:color w:val="auto"/>
        </w:rPr>
        <w:t>”) is lower than the price per unit of</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76" w:name="page377"/>
    <w:bookmarkEnd w:id="376"/>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0" w:lineRule="exact"/>
        <w:rPr>
          <w:sz w:val="20"/>
          <w:szCs w:val="20"/>
          <w:color w:val="auto"/>
        </w:rPr>
      </w:pPr>
    </w:p>
    <w:p>
      <w:pPr>
        <w:jc w:val="both"/>
        <w:ind w:left="720"/>
        <w:spacing w:after="0"/>
        <w:rPr>
          <w:sz w:val="20"/>
          <w:szCs w:val="20"/>
          <w:color w:val="auto"/>
        </w:rPr>
      </w:pPr>
      <w:r>
        <w:rPr>
          <w:rFonts w:ascii="Times New Roman" w:cs="Times New Roman" w:eastAsia="Times New Roman" w:hAnsi="Times New Roman"/>
          <w:sz w:val="20"/>
          <w:szCs w:val="20"/>
          <w:color w:val="auto"/>
        </w:rPr>
        <w:t>registered capital paid by the Investors in this Transaction (the “</w:t>
      </w:r>
      <w:r>
        <w:rPr>
          <w:rFonts w:ascii="Times New Roman" w:cs="Times New Roman" w:eastAsia="Times New Roman" w:hAnsi="Times New Roman"/>
          <w:sz w:val="20"/>
          <w:szCs w:val="20"/>
          <w:b w:val="1"/>
          <w:bCs w:val="1"/>
          <w:color w:val="auto"/>
        </w:rPr>
        <w:t>Current Round Price</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color w:val="auto"/>
        </w:rPr>
        <w:t>Down Round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Financing</w:t>
      </w:r>
      <w:r>
        <w:rPr>
          <w:rFonts w:ascii="Times New Roman" w:cs="Times New Roman" w:eastAsia="Times New Roman" w:hAnsi="Times New Roman"/>
          <w:sz w:val="20"/>
          <w:szCs w:val="20"/>
          <w:color w:val="auto"/>
        </w:rPr>
        <w:t>”), the Investors shall have the right to request the recalculation of the price per unit of registered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 for this Transaction in accordance with the broad-based weighted average formula (the “</w:t>
      </w:r>
      <w:r>
        <w:rPr>
          <w:rFonts w:ascii="Times New Roman" w:cs="Times New Roman" w:eastAsia="Times New Roman" w:hAnsi="Times New Roman"/>
          <w:sz w:val="20"/>
          <w:szCs w:val="20"/>
          <w:b w:val="1"/>
          <w:bCs w:val="1"/>
          <w:color w:val="auto"/>
        </w:rPr>
        <w:t>Adjusted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Price</w:t>
      </w:r>
      <w:r>
        <w:rPr>
          <w:rFonts w:ascii="Times New Roman" w:cs="Times New Roman" w:eastAsia="Times New Roman" w:hAnsi="Times New Roman"/>
          <w:sz w:val="20"/>
          <w:szCs w:val="20"/>
          <w:color w:val="auto"/>
        </w:rPr>
        <w:t>”, with the calculation method set forth in Section 3.4(2)), and claim anti-dilution adjustment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w:t>
      </w:r>
    </w:p>
    <w:p>
      <w:pPr>
        <w:spacing w:after="0" w:line="166" w:lineRule="exact"/>
        <w:rPr>
          <w:sz w:val="20"/>
          <w:szCs w:val="20"/>
          <w:color w:val="auto"/>
        </w:rPr>
      </w:pPr>
    </w:p>
    <w:p>
      <w:pPr>
        <w:ind w:left="720" w:right="5300" w:hanging="586"/>
        <w:spacing w:after="0" w:line="345" w:lineRule="exact"/>
        <w:tabs>
          <w:tab w:leader="none" w:pos="72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Formula for calculating the Adjusted Price: CP2=CP1×</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A+C</w:t>
      </w:r>
      <w:r>
        <w:rPr>
          <w:rFonts w:ascii="MS PGothic" w:cs="MS PGothic" w:eastAsia="MS PGothic" w:hAnsi="MS PGothic"/>
          <w:sz w:val="20"/>
          <w:szCs w:val="20"/>
          <w:color w:val="auto"/>
        </w:rPr>
        <w:t>）</w:t>
      </w:r>
    </w:p>
    <w:p>
      <w:pPr>
        <w:spacing w:after="0" w:line="188"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CP2= Adjusted Price</w:t>
      </w:r>
    </w:p>
    <w:p>
      <w:pPr>
        <w:spacing w:after="0" w:line="190" w:lineRule="exact"/>
        <w:rPr>
          <w:rFonts w:ascii="Times New Roman" w:cs="Times New Roman" w:eastAsia="Times New Roman" w:hAnsi="Times New Roman"/>
          <w:sz w:val="20"/>
          <w:szCs w:val="20"/>
          <w:color w:val="auto"/>
        </w:rPr>
      </w:pPr>
    </w:p>
    <w:p>
      <w:pPr>
        <w:jc w:val="both"/>
        <w:ind w:left="7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CP1= Current Round Price= RMB79.6905 per unit of registered capital (for the avoidance of doubt, the foregoing value shall be adjusted accordingly in the event of a split, capital reduction, capitalization of capital reserves, stock split, stock dividend, reverse stock split, or similar events affecting the Company’s registered capital)</w:t>
      </w:r>
    </w:p>
    <w:p>
      <w:pPr>
        <w:spacing w:after="0" w:line="161"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Registered capital of the Company prior to the Down Round Financing</w:t>
      </w:r>
    </w:p>
    <w:p>
      <w:pPr>
        <w:spacing w:after="0" w:line="190" w:lineRule="exact"/>
        <w:rPr>
          <w:rFonts w:ascii="Times New Roman" w:cs="Times New Roman" w:eastAsia="Times New Roman" w:hAnsi="Times New Roman"/>
          <w:sz w:val="20"/>
          <w:szCs w:val="20"/>
          <w:color w:val="auto"/>
        </w:rPr>
      </w:pPr>
    </w:p>
    <w:p>
      <w:pPr>
        <w:ind w:left="720"/>
        <w:spacing w:after="0" w:line="26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Registered capital that could be subscribed for by the new investors in the Down Round Financing at the Current Round Price = Investment amount of the new investors in the Down Round Financing÷CP1</w:t>
      </w:r>
    </w:p>
    <w:p>
      <w:pPr>
        <w:spacing w:after="0" w:line="141" w:lineRule="exact"/>
        <w:rPr>
          <w:rFonts w:ascii="Times New Roman" w:cs="Times New Roman" w:eastAsia="Times New Roman" w:hAnsi="Times New Roman"/>
          <w:sz w:val="20"/>
          <w:szCs w:val="20"/>
          <w:color w:val="auto"/>
        </w:rPr>
      </w:pPr>
    </w:p>
    <w:p>
      <w:pPr>
        <w:ind w:left="720"/>
        <w:spacing w:after="0" w:line="26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C=Registered capital actually subscribed for by the new investors in the Down Round Financing at the New Round Price</w:t>
      </w:r>
    </w:p>
    <w:p>
      <w:pPr>
        <w:spacing w:after="0" w:line="141" w:lineRule="exact"/>
        <w:rPr>
          <w:rFonts w:ascii="Times New Roman" w:cs="Times New Roman" w:eastAsia="Times New Roman" w:hAnsi="Times New Roman"/>
          <w:sz w:val="20"/>
          <w:szCs w:val="20"/>
          <w:color w:val="auto"/>
        </w:rPr>
      </w:pPr>
    </w:p>
    <w:p>
      <w:pPr>
        <w:ind w:left="720" w:right="860"/>
        <w:spacing w:after="0" w:line="4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Therefore, the registered capital (number of equity interests) to be compensated after adjustment is: N2=A1÷CP2-N1</w:t>
      </w:r>
    </w:p>
    <w:p>
      <w:pPr>
        <w:ind w:left="720" w:right="840"/>
        <w:spacing w:after="0" w:line="4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N2= Number of equity interests to be compensated to the Investor after the Down Round Financing A1= Capital Increase Consideration paid by the Investor in this Transaction</w:t>
      </w: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N1= Registered capital of the Company obtained by the Investor in this Transaction</w:t>
      </w:r>
    </w:p>
    <w:p>
      <w:pPr>
        <w:spacing w:after="0" w:line="186" w:lineRule="exact"/>
        <w:rPr>
          <w:rFonts w:ascii="Times New Roman" w:cs="Times New Roman" w:eastAsia="Times New Roman" w:hAnsi="Times New Roman"/>
          <w:sz w:val="20"/>
          <w:szCs w:val="20"/>
          <w:color w:val="auto"/>
        </w:rPr>
      </w:pPr>
    </w:p>
    <w:p>
      <w:pPr>
        <w:jc w:val="both"/>
        <w:ind w:left="720" w:hanging="586"/>
        <w:spacing w:after="0"/>
        <w:tabs>
          <w:tab w:leader="none" w:pos="72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Investor claims the anti-dilution adjustment compensation and issues an “</w:t>
      </w:r>
      <w:r>
        <w:rPr>
          <w:rFonts w:ascii="Times New Roman" w:cs="Times New Roman" w:eastAsia="Times New Roman" w:hAnsi="Times New Roman"/>
          <w:sz w:val="20"/>
          <w:szCs w:val="20"/>
          <w:b w:val="1"/>
          <w:bCs w:val="1"/>
          <w:color w:val="auto"/>
        </w:rPr>
        <w:t>Anti-dilution 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to the Company, the Company shall, after calculating the number of equity interests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compensated to the Investor pursuant to this Section 3.4(2), elect to: (a) have the Controlling Shareholder transfer the corresponding Company equity to such Investor for no consideration or at the minimum price permitted by law; or (b) have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77" w:name="page378"/>
    <w:bookmarkEnd w:id="377"/>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1180"/>
        <w:spacing w:after="0" w:line="235" w:lineRule="auto"/>
        <w:rPr>
          <w:sz w:val="20"/>
          <w:szCs w:val="20"/>
          <w:color w:val="auto"/>
        </w:rPr>
      </w:pPr>
      <w:r>
        <w:rPr>
          <w:rFonts w:ascii="Times New Roman" w:cs="Times New Roman" w:eastAsia="Times New Roman" w:hAnsi="Times New Roman"/>
          <w:sz w:val="20"/>
          <w:szCs w:val="20"/>
          <w:color w:val="auto"/>
        </w:rPr>
        <w:t>Company effect a targeted capital increase to such Investor for no consideration or at the minimum price permitted by law, until the price per unit of registered capital of the Company subscribed for by such Investor equals the Adjusted Price. The Company and the Controlling Shareholder shall ensure that such anti-dilution measures are implemented within thirty (30) Business Days from the date any Investor delivers the Anti-dilution Compensation Notice to the Company and the Controlling Shareholder. Prior to the completion of the implementation of such anti-dilution measures, the Company shall not proceed with the Down Round Financing. If any Investor is required to pay any subscription or transfer consideration, Taxes, or expenses due to the implementation of the anti-dilution measures, the Company and the Controlling Shareholder shall be jointly and severally liable for bearing such consideration, Taxes, or expenses. The parties shall cast favorable votes and execute relevant resolutions and other documents at that time, and agree to waive any relevant rights they may have with respect to the new registered capital or equity transfer under this Section 3.4(3), including but not limited to any preemptive rights, rights of first refusal, or similar rights under any law or contract; otherwise, the timeline for implementing the aforementioned anti-dilution measures shall be extended accordingly.</w:t>
      </w:r>
    </w:p>
    <w:p>
      <w:pPr>
        <w:spacing w:after="0" w:line="164" w:lineRule="exact"/>
        <w:rPr>
          <w:sz w:val="20"/>
          <w:szCs w:val="20"/>
          <w:color w:val="auto"/>
        </w:rPr>
      </w:pPr>
    </w:p>
    <w:p>
      <w:pPr>
        <w:jc w:val="both"/>
        <w:ind w:left="1180" w:hanging="586"/>
        <w:spacing w:after="0" w:line="242" w:lineRule="auto"/>
        <w:tabs>
          <w:tab w:leader="none" w:pos="118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further clarification, in the event of an increase in the Company’s registered capital due to the implementation of an Equity Incentive Plan duly approved by the shareholders’ meeting in accordance with this Agreement, or upon the Company’s Qualified IPO, the Investors shall not exercise the anti-dilution rights under this Section 3.4 with respect to such increase in registered capital.</w:t>
      </w:r>
    </w:p>
    <w:p>
      <w:pPr>
        <w:spacing w:after="0" w:line="16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Redemption Right</w:t>
      </w:r>
    </w:p>
    <w:p>
      <w:pPr>
        <w:spacing w:after="0" w:line="191" w:lineRule="exact"/>
        <w:rPr>
          <w:sz w:val="20"/>
          <w:szCs w:val="20"/>
          <w:color w:val="auto"/>
        </w:rPr>
      </w:pPr>
    </w:p>
    <w:p>
      <w:pPr>
        <w:jc w:val="both"/>
        <w:ind w:left="1180" w:hanging="586"/>
        <w:spacing w:after="0" w:line="238" w:lineRule="auto"/>
        <w:tabs>
          <w:tab w:leader="none" w:pos="118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twenty-four (24) months from the date when any Investor becomes aware or should have become aware of the occurrence of any of the circumstances set forth in Section 3.5(2) (a “</w:t>
      </w:r>
      <w:r>
        <w:rPr>
          <w:rFonts w:ascii="Times New Roman" w:cs="Times New Roman" w:eastAsia="Times New Roman" w:hAnsi="Times New Roman"/>
          <w:sz w:val="20"/>
          <w:szCs w:val="20"/>
          <w:b w:val="1"/>
          <w:bCs w:val="1"/>
          <w:color w:val="auto"/>
        </w:rPr>
        <w:t>Redemption Triggering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Event</w:t>
      </w:r>
      <w:r>
        <w:rPr>
          <w:rFonts w:ascii="Times New Roman" w:cs="Times New Roman" w:eastAsia="Times New Roman" w:hAnsi="Times New Roman"/>
          <w:sz w:val="20"/>
          <w:szCs w:val="20"/>
          <w:color w:val="auto"/>
        </w:rPr>
        <w:t>”) (and in any event, within the maximum period permitted by judicial practice at that time),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Investor shall have the right to issue a written notice (the “</w:t>
      </w:r>
      <w:r>
        <w:rPr>
          <w:rFonts w:ascii="Times New Roman" w:cs="Times New Roman" w:eastAsia="Times New Roman" w:hAnsi="Times New Roman"/>
          <w:sz w:val="20"/>
          <w:szCs w:val="20"/>
          <w:b w:val="1"/>
          <w:bCs w:val="1"/>
          <w:color w:val="auto"/>
        </w:rPr>
        <w:t>Redemption Exercise Notice</w:t>
      </w:r>
      <w:r>
        <w:rPr>
          <w:rFonts w:ascii="Times New Roman" w:cs="Times New Roman" w:eastAsia="Times New Roman" w:hAnsi="Times New Roman"/>
          <w:sz w:val="20"/>
          <w:szCs w:val="20"/>
          <w:color w:val="auto"/>
        </w:rPr>
        <w:t>”, the date of issuance of the Redemption Exercise Notice being the “</w:t>
      </w:r>
      <w:r>
        <w:rPr>
          <w:rFonts w:ascii="Times New Roman" w:cs="Times New Roman" w:eastAsia="Times New Roman" w:hAnsi="Times New Roman"/>
          <w:sz w:val="20"/>
          <w:szCs w:val="20"/>
          <w:b w:val="1"/>
          <w:bCs w:val="1"/>
          <w:color w:val="auto"/>
        </w:rPr>
        <w:t>Redemption Exercise Notice Date</w:t>
      </w:r>
      <w:r>
        <w:rPr>
          <w:rFonts w:ascii="Times New Roman" w:cs="Times New Roman" w:eastAsia="Times New Roman" w:hAnsi="Times New Roman"/>
          <w:sz w:val="20"/>
          <w:szCs w:val="20"/>
          <w:color w:val="auto"/>
        </w:rPr>
        <w:t>”) to the Company, NIO and/or the Controlling Shareholder (collectively or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78" w:name="page379"/>
    <w:bookmarkEnd w:id="378"/>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0"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19"/>
          <w:szCs w:val="19"/>
          <w:color w:val="auto"/>
        </w:rPr>
        <w:t>individually hereinafter referred to as the “</w:t>
      </w:r>
      <w:r>
        <w:rPr>
          <w:rFonts w:ascii="Times New Roman" w:cs="Times New Roman" w:eastAsia="Times New Roman" w:hAnsi="Times New Roman"/>
          <w:sz w:val="19"/>
          <w:szCs w:val="19"/>
          <w:b w:val="1"/>
          <w:bCs w:val="1"/>
          <w:color w:val="auto"/>
        </w:rPr>
        <w:t>Redemption Obligors</w:t>
      </w:r>
      <w:r>
        <w:rPr>
          <w:rFonts w:ascii="Times New Roman" w:cs="Times New Roman" w:eastAsia="Times New Roman" w:hAnsi="Times New Roman"/>
          <w:sz w:val="19"/>
          <w:szCs w:val="19"/>
          <w:color w:val="auto"/>
        </w:rPr>
        <w:t>”), requiring the Redemption Obligors to perform the redemption obligation. Upon receipt of the Redemption Exercise Notice from the Investor, the Redemption Obligors shall acquire from the Investor the Company equity interests specified in the Redemption Exercise Notice for redemption, at the redemption exercise price set forth in Section 3.5(3) below. For the avoidance of doubt, an Investor’s exercise of the redemption right under this Section 3.5 based on a Redemption Triggering Event under Section 3.5(2)(c) shall be subject to the provisions of Section 3.5(7).</w:t>
      </w:r>
    </w:p>
    <w:p>
      <w:pPr>
        <w:spacing w:after="0" w:line="151" w:lineRule="exact"/>
        <w:rPr>
          <w:sz w:val="20"/>
          <w:szCs w:val="20"/>
          <w:color w:val="auto"/>
        </w:rPr>
      </w:pPr>
    </w:p>
    <w:p>
      <w:pPr>
        <w:ind w:left="720" w:hanging="586"/>
        <w:spacing w:after="0"/>
        <w:tabs>
          <w:tab w:leader="none" w:pos="72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Triggering Events include the following circumstances:</w:t>
      </w:r>
    </w:p>
    <w:p>
      <w:pPr>
        <w:spacing w:after="0" w:line="190" w:lineRule="exact"/>
        <w:rPr>
          <w:rFonts w:ascii="Times New Roman" w:cs="Times New Roman" w:eastAsia="Times New Roman" w:hAnsi="Times New Roman"/>
          <w:sz w:val="20"/>
          <w:szCs w:val="20"/>
          <w:color w:val="auto"/>
        </w:rPr>
      </w:pPr>
    </w:p>
    <w:p>
      <w:pPr>
        <w:jc w:val="both"/>
        <w:ind w:left="1320" w:hanging="592"/>
        <w:spacing w:after="0" w:line="238" w:lineRule="auto"/>
        <w:tabs>
          <w:tab w:leader="none" w:pos="1320"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 new proposed listing entity approved in advance by the Investors) fails to submit its application for a Qualified IPO and have such application accepted by December 31, 2030, or the Company (or a new proposed listing entity approved in advance by the Investors) submits its application for a Qualified IPO and has such application accepted by December 31, 2030, but fails to complete the Qualified IPO by December 31, 2031 (excluding failures caused by force majeure, changes in Applicable Laws or policies, or delays in the approval process);</w:t>
      </w:r>
    </w:p>
    <w:p>
      <w:pPr>
        <w:spacing w:after="0" w:line="166"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 the Company undergoes a material change without the prior written consent of the Investors;</w:t>
      </w:r>
    </w:p>
    <w:p>
      <w:pPr>
        <w:spacing w:after="0" w:line="141"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ceases to be a consolidated entity of NIO according to the accounting standards applicable to NIO;</w:t>
      </w:r>
    </w:p>
    <w:p>
      <w:pPr>
        <w:spacing w:after="0" w:line="141" w:lineRule="exact"/>
        <w:rPr>
          <w:rFonts w:ascii="Times New Roman" w:cs="Times New Roman" w:eastAsia="Times New Roman" w:hAnsi="Times New Roman"/>
          <w:sz w:val="20"/>
          <w:szCs w:val="20"/>
          <w:color w:val="auto"/>
        </w:rPr>
      </w:pPr>
    </w:p>
    <w:p>
      <w:pPr>
        <w:jc w:val="both"/>
        <w:ind w:left="1320" w:hanging="592"/>
        <w:spacing w:after="0" w:line="247" w:lineRule="auto"/>
        <w:tabs>
          <w:tab w:leader="none" w:pos="1320"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NIO Group has material integrity issues such as misappropriation of the Company’s funds or provision of false financial data, and such issues are not corrected or remedied within thirty (30) days after receiving a written notice from an Investor;</w:t>
      </w:r>
    </w:p>
    <w:p>
      <w:pPr>
        <w:spacing w:after="0" w:line="156" w:lineRule="exact"/>
        <w:rPr>
          <w:rFonts w:ascii="Times New Roman" w:cs="Times New Roman" w:eastAsia="Times New Roman" w:hAnsi="Times New Roman"/>
          <w:sz w:val="20"/>
          <w:szCs w:val="20"/>
          <w:color w:val="auto"/>
        </w:rPr>
      </w:pPr>
    </w:p>
    <w:p>
      <w:pPr>
        <w:jc w:val="both"/>
        <w:ind w:left="1320" w:hanging="592"/>
        <w:spacing w:after="0" w:line="242" w:lineRule="auto"/>
        <w:tabs>
          <w:tab w:leader="none" w:pos="1320"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NIO Group, or senior management of the Company assume criminal liability or are penalized by government authorities due to violation of Laws or regulations, resulting in the Company being unable to continue normal operations for more than six (6) months, or causing a material adverse effect on future capital raising, financing, or Qualified IPO;</w:t>
      </w:r>
    </w:p>
    <w:p>
      <w:pPr>
        <w:spacing w:after="0" w:line="161"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Company Party materially breaches its obligations, representations, warranties, or undertakings under the Transaction Documents, which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79" w:name="page380"/>
    <w:bookmarkEnd w:id="379"/>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1320"/>
        <w:spacing w:after="0" w:line="242" w:lineRule="auto"/>
        <w:rPr>
          <w:sz w:val="20"/>
          <w:szCs w:val="20"/>
          <w:color w:val="auto"/>
        </w:rPr>
      </w:pPr>
      <w:r>
        <w:rPr>
          <w:rFonts w:ascii="Times New Roman" w:cs="Times New Roman" w:eastAsia="Times New Roman" w:hAnsi="Times New Roman"/>
          <w:sz w:val="20"/>
          <w:szCs w:val="20"/>
          <w:color w:val="auto"/>
        </w:rPr>
        <w:t>breach is not waived by the Investors, and such breach is not corrected or remedied within thirty (30) Business Days after the breaching party receives a written notice from any Investor, and such breach results in the Group Companies being unable to conduct their Principal Business normally for a continuous period of six (6) months;</w:t>
      </w:r>
    </w:p>
    <w:p>
      <w:pPr>
        <w:spacing w:after="0" w:line="162" w:lineRule="exact"/>
        <w:rPr>
          <w:sz w:val="20"/>
          <w:szCs w:val="20"/>
          <w:color w:val="auto"/>
        </w:rPr>
      </w:pPr>
    </w:p>
    <w:p>
      <w:pPr>
        <w:jc w:val="both"/>
        <w:ind w:left="1320"/>
        <w:spacing w:after="0" w:line="239" w:lineRule="auto"/>
        <w:rPr>
          <w:sz w:val="20"/>
          <w:szCs w:val="20"/>
          <w:color w:val="auto"/>
        </w:rPr>
      </w:pPr>
      <w:r>
        <w:rPr>
          <w:rFonts w:ascii="Times New Roman" w:cs="Times New Roman" w:eastAsia="Times New Roman" w:hAnsi="Times New Roman"/>
          <w:sz w:val="20"/>
          <w:szCs w:val="20"/>
          <w:color w:val="auto"/>
        </w:rPr>
        <w:t>For the avoidance of doubt, if any Company Party breaches Section 5.2(j), Section 5.2(l), Section 5.2(r) or Section 6.2(a) of the Subscription Agreement and/or Section 5.2 of this Agreement, and such breach is not corrected or remedied within ninety (90) Business Days after the breaching party receives a written notice from any Investor, it shall automatically be deemed to constitute and have occurred the Redemption Triggering Event under subparagraph (f) above;</w:t>
      </w:r>
    </w:p>
    <w:p>
      <w:pPr>
        <w:spacing w:after="0" w:line="167" w:lineRule="exact"/>
        <w:rPr>
          <w:sz w:val="20"/>
          <w:szCs w:val="20"/>
          <w:color w:val="auto"/>
        </w:rPr>
      </w:pPr>
    </w:p>
    <w:p>
      <w:pPr>
        <w:ind w:left="1320" w:hanging="592"/>
        <w:spacing w:after="0" w:line="288" w:lineRule="auto"/>
        <w:tabs>
          <w:tab w:leader="none" w:pos="1320"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shareholders of the Company require a Company Party to repurchase the Company equity held by them pursuant to this Agreement or any agreement (if any) between them and any Company Party.</w:t>
      </w:r>
    </w:p>
    <w:p>
      <w:pPr>
        <w:spacing w:after="0" w:line="119" w:lineRule="exact"/>
        <w:rPr>
          <w:rFonts w:ascii="Times New Roman" w:cs="Times New Roman" w:eastAsia="Times New Roman" w:hAnsi="Times New Roman"/>
          <w:sz w:val="19"/>
          <w:szCs w:val="19"/>
          <w:color w:val="auto"/>
        </w:rPr>
      </w:pPr>
    </w:p>
    <w:p>
      <w:pPr>
        <w:ind w:left="720" w:hanging="586"/>
        <w:spacing w:after="0" w:line="262" w:lineRule="auto"/>
        <w:tabs>
          <w:tab w:leader="none" w:pos="72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the Redemption Exercise Notice, the Redemption Obligors shall, jointly and severally, pay to the Investor the redemption exercise price calculated as follows:</w:t>
      </w:r>
    </w:p>
    <w:p>
      <w:pPr>
        <w:spacing w:after="0" w:line="153" w:lineRule="exact"/>
        <w:rPr>
          <w:rFonts w:ascii="Times New Roman" w:cs="Times New Roman" w:eastAsia="Times New Roman" w:hAnsi="Times New Roman"/>
          <w:sz w:val="20"/>
          <w:szCs w:val="20"/>
          <w:color w:val="auto"/>
        </w:rPr>
      </w:pPr>
    </w:p>
    <w:p>
      <w:pPr>
        <w:jc w:val="both"/>
        <w:ind w:left="720"/>
        <w:spacing w:after="0" w:line="255"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Redemption Exercise Price= Capital Increase Consideration paid by such Investor×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1+6%×Investment Period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Profits declared but not yet distributed to such Investor - All dividends already received by such Investor</w:t>
      </w:r>
    </w:p>
    <w:p>
      <w:pPr>
        <w:spacing w:after="0" w:line="163" w:lineRule="exact"/>
        <w:rPr>
          <w:rFonts w:ascii="Times New Roman" w:cs="Times New Roman" w:eastAsia="Times New Roman" w:hAnsi="Times New Roman"/>
          <w:sz w:val="20"/>
          <w:szCs w:val="20"/>
          <w:color w:val="auto"/>
        </w:rPr>
      </w:pPr>
    </w:p>
    <w:p>
      <w:pPr>
        <w:jc w:val="both"/>
        <w:ind w:left="72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Investor, the Investment Period means: the number of days between the date on which such Investor pays the full Capital Increase Consideration and the date on which the Redemption Obligors actually pay the full Redemption Exercise Price in full, divided by 365.</w:t>
      </w:r>
    </w:p>
    <w:p>
      <w:pPr>
        <w:spacing w:after="0" w:line="156" w:lineRule="exact"/>
        <w:rPr>
          <w:rFonts w:ascii="Times New Roman" w:cs="Times New Roman" w:eastAsia="Times New Roman" w:hAnsi="Times New Roman"/>
          <w:sz w:val="20"/>
          <w:szCs w:val="20"/>
          <w:color w:val="auto"/>
        </w:rPr>
      </w:pPr>
    </w:p>
    <w:p>
      <w:pPr>
        <w:ind w:left="720" w:hanging="586"/>
        <w:spacing w:after="0" w:line="262" w:lineRule="auto"/>
        <w:tabs>
          <w:tab w:leader="none" w:pos="72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domestic or foreign taxes and fees (if any) arising during the implementation of the redemption right shall be borne by the party responsible for bearing such taxes and fees as stipulated by Applicable Laws.</w:t>
      </w:r>
    </w:p>
    <w:p>
      <w:pPr>
        <w:spacing w:after="0" w:line="141" w:lineRule="exact"/>
        <w:rPr>
          <w:rFonts w:ascii="Times New Roman" w:cs="Times New Roman" w:eastAsia="Times New Roman" w:hAnsi="Times New Roman"/>
          <w:sz w:val="20"/>
          <w:szCs w:val="20"/>
          <w:color w:val="auto"/>
        </w:rPr>
      </w:pPr>
    </w:p>
    <w:p>
      <w:pPr>
        <w:jc w:val="both"/>
        <w:ind w:left="720" w:hanging="586"/>
        <w:spacing w:after="0" w:line="247" w:lineRule="auto"/>
        <w:tabs>
          <w:tab w:leader="none" w:pos="72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assets available to the Redemption Obligors for redemption are insufficient to pay the full Redemption Exercise Price to all Investors demanding redemption at the same time, such available assets shall be distributed among such Investors in proportion to their respective Redemption Exercise Prices.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80" w:name="page381"/>
    <w:bookmarkEnd w:id="380"/>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720" w:hanging="586"/>
        <w:spacing w:after="0" w:line="237" w:lineRule="auto"/>
        <w:tabs>
          <w:tab w:leader="none" w:pos="72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Obligors shall, within five (5) days of receiving a Redemption Exercise Notice from an Investor, deliver a written notice to the other Investors. Such notice shall include the main terms related to such Investor’s exercise of the redemption right, such as the matters concerned and the redemption exercise clauses. The Redemption Obligors shall, in accordance with Section 3.5, pay the applicable Redemption Exercise Price to each Investor demanding redemption within sixty (60) days after the Redemption Exercise Notice Date (the “</w:t>
      </w:r>
      <w:r>
        <w:rPr>
          <w:rFonts w:ascii="Times New Roman" w:cs="Times New Roman" w:eastAsia="Times New Roman" w:hAnsi="Times New Roman"/>
          <w:sz w:val="20"/>
          <w:szCs w:val="20"/>
          <w:b w:val="1"/>
          <w:bCs w:val="1"/>
          <w:color w:val="auto"/>
        </w:rPr>
        <w:t>Redemption Period</w:t>
      </w:r>
      <w:r>
        <w:rPr>
          <w:rFonts w:ascii="Times New Roman" w:cs="Times New Roman" w:eastAsia="Times New Roman" w:hAnsi="Times New Roman"/>
          <w:sz w:val="20"/>
          <w:szCs w:val="20"/>
          <w:color w:val="auto"/>
        </w:rPr>
        <w:t>”). For any portion of the Redemption Exercise Price not paid in full, the Investor demanding redemption shall have the right to require the Redemption Obligors to continue payment after they regain the ability to pay.</w:t>
      </w:r>
    </w:p>
    <w:p>
      <w:pPr>
        <w:spacing w:after="0" w:line="163" w:lineRule="exact"/>
        <w:rPr>
          <w:rFonts w:ascii="Times New Roman" w:cs="Times New Roman" w:eastAsia="Times New Roman" w:hAnsi="Times New Roman"/>
          <w:sz w:val="20"/>
          <w:szCs w:val="20"/>
          <w:color w:val="auto"/>
        </w:rPr>
      </w:pPr>
    </w:p>
    <w:p>
      <w:pPr>
        <w:jc w:val="both"/>
        <w:ind w:left="720" w:hanging="586"/>
        <w:spacing w:after="0" w:line="236" w:lineRule="auto"/>
        <w:tabs>
          <w:tab w:leader="none" w:pos="72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NIO, the Controlling Shareholder and/or the Company intend to enter into any transaction or take any action that would result in the occurrence of the Redemption Triggering Event under Section 3.5(2)(c) (a “</w:t>
      </w:r>
      <w:r>
        <w:rPr>
          <w:rFonts w:ascii="Times New Roman" w:cs="Times New Roman" w:eastAsia="Times New Roman" w:hAnsi="Times New Roman"/>
          <w:sz w:val="20"/>
          <w:szCs w:val="20"/>
          <w:b w:val="1"/>
          <w:bCs w:val="1"/>
          <w:color w:val="auto"/>
        </w:rPr>
        <w:t>Change of Control Event</w:t>
      </w:r>
      <w:r>
        <w:rPr>
          <w:rFonts w:ascii="Times New Roman" w:cs="Times New Roman" w:eastAsia="Times New Roman" w:hAnsi="Times New Roman"/>
          <w:sz w:val="20"/>
          <w:szCs w:val="20"/>
          <w:color w:val="auto"/>
        </w:rPr>
        <w:t>”), the Redemption Obligors shall notify each Investor in writing prior to the completion of the transaction or action causing such Redemption Triggering Event. Each Investor shall have the right to issue a Redemption Exercise Notice to the Redemption Obligors demanding exercise of the redemption right under this Section 3.5 within three (3) months from the date of the Change of Control Event and receipt of the aforementioned written notice. For the avoidance of doubt, any Investor’s failure to exercise its redemption right with respect to the Redemption Triggering Event under Section 3.5(2)(c) shall not affect other Investors’ exercise of their redemption rights pursuant to this Section 3.5.</w:t>
      </w:r>
    </w:p>
    <w:p>
      <w:pPr>
        <w:spacing w:after="0" w:line="160" w:lineRule="exact"/>
        <w:rPr>
          <w:rFonts w:ascii="Times New Roman" w:cs="Times New Roman" w:eastAsia="Times New Roman" w:hAnsi="Times New Roman"/>
          <w:sz w:val="20"/>
          <w:szCs w:val="20"/>
          <w:color w:val="auto"/>
        </w:rPr>
      </w:pPr>
    </w:p>
    <w:p>
      <w:pPr>
        <w:jc w:val="both"/>
        <w:ind w:left="720" w:hanging="586"/>
        <w:spacing w:after="0" w:line="237" w:lineRule="auto"/>
        <w:tabs>
          <w:tab w:leader="none" w:pos="72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Section 3.5, “</w:t>
      </w:r>
      <w:r>
        <w:rPr>
          <w:rFonts w:ascii="Times New Roman" w:cs="Times New Roman" w:eastAsia="Times New Roman" w:hAnsi="Times New Roman"/>
          <w:sz w:val="20"/>
          <w:szCs w:val="20"/>
          <w:b w:val="1"/>
          <w:bCs w:val="1"/>
          <w:color w:val="auto"/>
        </w:rPr>
        <w:t>Redemption</w:t>
      </w:r>
      <w:r>
        <w:rPr>
          <w:rFonts w:ascii="Times New Roman" w:cs="Times New Roman" w:eastAsia="Times New Roman" w:hAnsi="Times New Roman"/>
          <w:sz w:val="20"/>
          <w:szCs w:val="20"/>
          <w:color w:val="auto"/>
        </w:rPr>
        <w:t>” includes company share repurchase, equity transfer, or other forms of redemption permitted by Chinese law (such as targeted capital reduction). An Investor demanding exercise of its redemption right shall have the right to require the Redemption Obligors to perform their redemption obligations in accordance with Section 3.5. If the Redemption Obligors fail to perform their redemption obligations on time, the Investor demanding exercise of its redemption right shall have the right to require the Company to raise funds through methods permitted by Applicable Law to perform its redemption obligations. All shareholders of the Company shall agree to and ensure that they act in concert with such Investor and exercise their voting rights as shareholders and the voting rights of their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81" w:name="page382"/>
    <w:bookmarkEnd w:id="381"/>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1180"/>
        <w:spacing w:after="0" w:line="237" w:lineRule="auto"/>
        <w:rPr>
          <w:sz w:val="20"/>
          <w:szCs w:val="20"/>
          <w:color w:val="auto"/>
        </w:rPr>
      </w:pPr>
      <w:r>
        <w:rPr>
          <w:rFonts w:ascii="Times New Roman" w:cs="Times New Roman" w:eastAsia="Times New Roman" w:hAnsi="Times New Roman"/>
          <w:sz w:val="20"/>
          <w:szCs w:val="20"/>
          <w:color w:val="auto"/>
        </w:rPr>
        <w:t>appointed directors (if applicable) in accordance with such Investor’s instructions to assist such Investor in realizing its redemption right. The Parties shall take all necessary actions and execute all necessary documents to ensure such redemption is approved by the shareholders’ meeting and board of directors of the Company. The Parties agree to take all necessary actions to complete all legal procedures required for the redemption, including but not limited to signing any relevant contracts and other written documents, and obtaining approvals from governmental authorities, registration with the market supervision and administration department, and other relevant approvals and registrations (if applicable).</w:t>
      </w:r>
    </w:p>
    <w:p>
      <w:pPr>
        <w:spacing w:after="0" w:line="168" w:lineRule="exact"/>
        <w:rPr>
          <w:sz w:val="20"/>
          <w:szCs w:val="20"/>
          <w:color w:val="auto"/>
        </w:rPr>
      </w:pPr>
    </w:p>
    <w:p>
      <w:pPr>
        <w:jc w:val="both"/>
        <w:ind w:left="1180" w:hanging="586"/>
        <w:spacing w:after="0" w:line="247" w:lineRule="auto"/>
        <w:tabs>
          <w:tab w:leader="none" w:pos="118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until the Redemption Obligors have paid the full Redemption Exercise Price to any Investor, such Investor shall retain full shareholder rights under Chinese law and the Transaction Documents with respect to the portion of equity for which it has not received the Redemption Exercise Price.</w:t>
      </w:r>
    </w:p>
    <w:p>
      <w:pPr>
        <w:spacing w:after="0" w:line="156" w:lineRule="exact"/>
        <w:rPr>
          <w:rFonts w:ascii="Times New Roman" w:cs="Times New Roman" w:eastAsia="Times New Roman" w:hAnsi="Times New Roman"/>
          <w:sz w:val="20"/>
          <w:szCs w:val="20"/>
          <w:color w:val="auto"/>
        </w:rPr>
      </w:pPr>
    </w:p>
    <w:p>
      <w:pPr>
        <w:jc w:val="both"/>
        <w:ind w:left="1180" w:hanging="586"/>
        <w:spacing w:after="0" w:line="239" w:lineRule="auto"/>
        <w:tabs>
          <w:tab w:leader="none" w:pos="118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Company ceases to be a consolidated entity of NIO according to the relevant provisions of the accounting standards applicable to NIO, unless an Investor exercises its redemption right pursuant to Section 3.5(7), NIO and the Controlling Shareholder shall no longer be deemed Redemption Obligors under this Section 3.5, and NIO and the Controlling Shareholder shall not be required to perform the redemption obligations under Section 3.5.</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color w:val="auto"/>
        </w:rPr>
        <w:t>Liquidation Preference</w:t>
      </w:r>
    </w:p>
    <w:p>
      <w:pPr>
        <w:spacing w:after="0" w:line="191" w:lineRule="exact"/>
        <w:rPr>
          <w:sz w:val="20"/>
          <w:szCs w:val="20"/>
          <w:color w:val="auto"/>
        </w:rPr>
      </w:pPr>
    </w:p>
    <w:p>
      <w:pPr>
        <w:jc w:val="both"/>
        <w:ind w:left="1180" w:hanging="586"/>
        <w:spacing w:after="0" w:line="236" w:lineRule="auto"/>
        <w:tabs>
          <w:tab w:leader="none" w:pos="118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liquidation, dissolution, winding-up, or closure of the Company in accordance with the Articles of Association or the provisions of this Agreement, after complying with Chinese Laws and paying off, in the statutory order, the liquidation expenses, employee wages, social insurance premiums, statutory compensation, taxes payable, and liabilities, the remaining assets shall be distributed in the following order and manner: Each Investor shall have the right (the “</w:t>
      </w:r>
      <w:r>
        <w:rPr>
          <w:rFonts w:ascii="Times New Roman" w:cs="Times New Roman" w:eastAsia="Times New Roman" w:hAnsi="Times New Roman"/>
          <w:sz w:val="20"/>
          <w:szCs w:val="20"/>
          <w:b w:val="1"/>
          <w:bCs w:val="1"/>
          <w:color w:val="auto"/>
        </w:rPr>
        <w:t>Liquidation Preference</w:t>
      </w:r>
      <w:r>
        <w:rPr>
          <w:rFonts w:ascii="Times New Roman" w:cs="Times New Roman" w:eastAsia="Times New Roman" w:hAnsi="Times New Roman"/>
          <w:sz w:val="20"/>
          <w:szCs w:val="20"/>
          <w:color w:val="auto"/>
        </w:rPr>
        <w:t>”) to receive, in priority to other shareholders of the Company, a liquidation return (the “</w:t>
      </w:r>
      <w:r>
        <w:rPr>
          <w:rFonts w:ascii="Times New Roman" w:cs="Times New Roman" w:eastAsia="Times New Roman" w:hAnsi="Times New Roman"/>
          <w:sz w:val="20"/>
          <w:szCs w:val="20"/>
          <w:b w:val="1"/>
          <w:bCs w:val="1"/>
          <w:color w:val="auto"/>
        </w:rPr>
        <w:t>Liquidation Preference Amount</w:t>
      </w:r>
      <w:r>
        <w:rPr>
          <w:rFonts w:ascii="Times New Roman" w:cs="Times New Roman" w:eastAsia="Times New Roman" w:hAnsi="Times New Roman"/>
          <w:sz w:val="20"/>
          <w:szCs w:val="20"/>
          <w:color w:val="auto"/>
        </w:rPr>
        <w:t>”) equal to the higher of the following calculated amounts: (i) the amount of remaining assets distributable to such Investor calculated based on its then pro rata paid-in capital contribution in the Company; or (ii) the Capital Increase Consideration paid by such Investor,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82" w:name="page383"/>
    <w:bookmarkEnd w:id="382"/>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1180"/>
        <w:spacing w:after="0" w:line="262" w:lineRule="auto"/>
        <w:rPr>
          <w:sz w:val="20"/>
          <w:szCs w:val="20"/>
          <w:color w:val="auto"/>
        </w:rPr>
      </w:pPr>
      <w:r>
        <w:rPr>
          <w:rFonts w:ascii="Times New Roman" w:cs="Times New Roman" w:eastAsia="Times New Roman" w:hAnsi="Times New Roman"/>
          <w:sz w:val="20"/>
          <w:szCs w:val="20"/>
          <w:color w:val="auto"/>
        </w:rPr>
        <w:t>plus interest on the Capital Increase Consideration paid by such Investor calculated at a simple annual interest rate of 6% for the Investment Period.</w:t>
      </w:r>
    </w:p>
    <w:p>
      <w:pPr>
        <w:spacing w:after="0" w:line="141" w:lineRule="exact"/>
        <w:rPr>
          <w:sz w:val="20"/>
          <w:szCs w:val="20"/>
          <w:color w:val="auto"/>
        </w:rPr>
      </w:pPr>
    </w:p>
    <w:p>
      <w:pPr>
        <w:jc w:val="both"/>
        <w:ind w:left="1180"/>
        <w:spacing w:after="0" w:line="247" w:lineRule="auto"/>
        <w:rPr>
          <w:sz w:val="20"/>
          <w:szCs w:val="20"/>
          <w:color w:val="auto"/>
        </w:rPr>
      </w:pPr>
      <w:r>
        <w:rPr>
          <w:rFonts w:ascii="Times New Roman" w:cs="Times New Roman" w:eastAsia="Times New Roman" w:hAnsi="Times New Roman"/>
          <w:sz w:val="20"/>
          <w:szCs w:val="20"/>
          <w:color w:val="auto"/>
        </w:rPr>
        <w:t>If the assets available for distribution pursuant to this paragraph at that time are insufficient to make full distribution to all Investors, such assets shall be distributed among the Investors in proportion to their respective Liquidation Preference Amounts.</w:t>
      </w:r>
    </w:p>
    <w:p>
      <w:pPr>
        <w:spacing w:after="0" w:line="156" w:lineRule="exact"/>
        <w:rPr>
          <w:sz w:val="20"/>
          <w:szCs w:val="20"/>
          <w:color w:val="auto"/>
        </w:rPr>
      </w:pPr>
    </w:p>
    <w:p>
      <w:pPr>
        <w:jc w:val="both"/>
        <w:ind w:left="1180"/>
        <w:spacing w:after="0" w:line="239" w:lineRule="auto"/>
        <w:rPr>
          <w:sz w:val="20"/>
          <w:szCs w:val="20"/>
          <w:color w:val="auto"/>
        </w:rPr>
      </w:pPr>
      <w:r>
        <w:rPr>
          <w:rFonts w:ascii="Times New Roman" w:cs="Times New Roman" w:eastAsia="Times New Roman" w:hAnsi="Times New Roman"/>
          <w:sz w:val="20"/>
          <w:szCs w:val="20"/>
          <w:color w:val="auto"/>
        </w:rPr>
        <w:t>In the above formula, for each Investor, the Investment Period means: the number of days between the date on which such Investor pays its corresponding Capital Increase Consideration and the date on which the Company pays the full Liquidation Preference Amount to such Investor (if the assets available for distribution are insufficient to make full distribution to all Investors, distribution in the aforementioned relative proportion shall be deemed as “full payment”), divided by 365.</w:t>
      </w:r>
    </w:p>
    <w:p>
      <w:pPr>
        <w:spacing w:after="0" w:line="167" w:lineRule="exact"/>
        <w:rPr>
          <w:sz w:val="20"/>
          <w:szCs w:val="20"/>
          <w:color w:val="auto"/>
        </w:rPr>
      </w:pPr>
    </w:p>
    <w:p>
      <w:pPr>
        <w:ind w:left="1180" w:hanging="586"/>
        <w:spacing w:after="0" w:line="262" w:lineRule="auto"/>
        <w:tabs>
          <w:tab w:leader="none" w:pos="118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Sale Event, the proceeds from such Sale Event shall also be distributed in accordance with the order and manner set forth in this Section 3.6(1).</w:t>
      </w:r>
    </w:p>
    <w:p>
      <w:pPr>
        <w:spacing w:after="0" w:line="141" w:lineRule="exact"/>
        <w:rPr>
          <w:rFonts w:ascii="Times New Roman" w:cs="Times New Roman" w:eastAsia="Times New Roman" w:hAnsi="Times New Roman"/>
          <w:sz w:val="20"/>
          <w:szCs w:val="20"/>
          <w:color w:val="auto"/>
        </w:rPr>
      </w:pPr>
    </w:p>
    <w:p>
      <w:pPr>
        <w:jc w:val="both"/>
        <w:ind w:left="1180" w:hanging="586"/>
        <w:spacing w:after="0" w:line="237" w:lineRule="auto"/>
        <w:tabs>
          <w:tab w:leader="none" w:pos="118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due to mandatory provisions of Applicable Laws at that time, the proceeds from the Company’s assets arising from a Sale Event cannot be distributed in accordance with the distribution order and manner set forth in Section 3.6(1) of this Agreement, then: first, the parties shall make distributions in accordance with such mandatory provisions; second, any shareholder that receives more distributable assets than it would have originally been entitled to receive under the distribution order and manner set forth in Section 3.6(1) of this Agreement shall, to the extent of the total distributed assets it receives, compensate each relevant Investor by way of gift, so as to achieve the same economic effect as the distribution order and manner set forth in Section 3.6(1).</w:t>
      </w:r>
    </w:p>
    <w:p>
      <w:pPr>
        <w:spacing w:after="0" w:line="16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color w:val="auto"/>
        </w:rPr>
        <w:t>Information Rights</w:t>
      </w:r>
    </w:p>
    <w:p>
      <w:pPr>
        <w:spacing w:after="0" w:line="1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Company shall provide the following documents to the Investors as stipulated below:</w:t>
      </w:r>
    </w:p>
    <w:p>
      <w:pPr>
        <w:spacing w:after="0" w:line="191" w:lineRule="exact"/>
        <w:rPr>
          <w:sz w:val="20"/>
          <w:szCs w:val="20"/>
          <w:color w:val="auto"/>
        </w:rPr>
      </w:pPr>
    </w:p>
    <w:p>
      <w:pPr>
        <w:jc w:val="both"/>
        <w:ind w:left="1180" w:hanging="586"/>
        <w:spacing w:after="0" w:line="247" w:lineRule="auto"/>
        <w:tabs>
          <w:tab w:leader="none" w:pos="118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sixty (60) days after the end of each fiscal year, provide the Investors with the Company’s unaudited annual financial statements prepared in accordance with PRC Generally Accepted Accounting Principles; within one hundred and twenty (120) days after the end of each fiscal year, provide the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83" w:name="page384"/>
    <w:bookmarkEnd w:id="383"/>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1180"/>
        <w:spacing w:after="0" w:line="247" w:lineRule="auto"/>
        <w:rPr>
          <w:sz w:val="20"/>
          <w:szCs w:val="20"/>
          <w:color w:val="auto"/>
        </w:rPr>
      </w:pPr>
      <w:r>
        <w:rPr>
          <w:rFonts w:ascii="Times New Roman" w:cs="Times New Roman" w:eastAsia="Times New Roman" w:hAnsi="Times New Roman"/>
          <w:sz w:val="20"/>
          <w:szCs w:val="20"/>
          <w:color w:val="auto"/>
        </w:rPr>
        <w:t>Investors with the Company’s consolidated audited annual financial report (including the balance sheet, income statement, and cash flow statement) prepared in accordance with PRC Generally Accepted Accounting Principles, issued by an accounting firm qualified to engage in securities service business;</w:t>
      </w:r>
    </w:p>
    <w:p>
      <w:pPr>
        <w:spacing w:after="0" w:line="156" w:lineRule="exact"/>
        <w:rPr>
          <w:sz w:val="20"/>
          <w:szCs w:val="20"/>
          <w:color w:val="auto"/>
        </w:rPr>
      </w:pPr>
    </w:p>
    <w:p>
      <w:pPr>
        <w:jc w:val="both"/>
        <w:ind w:left="1180" w:hanging="586"/>
        <w:spacing w:after="0" w:line="247" w:lineRule="auto"/>
        <w:tabs>
          <w:tab w:leader="none" w:pos="118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forty-five (45) days after the end of each semi-annual period, provide the Investors with the Company’s unaudited semi-annual financial statements prepared in accordance with PRC Generally Accepted Accounting Principles;</w:t>
      </w:r>
    </w:p>
    <w:p>
      <w:pPr>
        <w:spacing w:after="0" w:line="156"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twenty (20) days after the end of each quarter, provide the Investors with the Company’s unaudited quarterly financial statements prepared in accordance with PRC Generally Accepted Accounting Principles;</w:t>
      </w:r>
    </w:p>
    <w:p>
      <w:pPr>
        <w:spacing w:after="0" w:line="141"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end of the last quarter of each fiscal year, submit the detailed financial budget and annual business plan for the next fiscal year;</w:t>
      </w:r>
    </w:p>
    <w:p>
      <w:pPr>
        <w:spacing w:after="0" w:line="141"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information concerning the operations and finances of the Group Companies that each Investor or shareholder has the right to access or review pursuant to Applicable Laws and regulations.</w:t>
      </w:r>
    </w:p>
    <w:p>
      <w:pPr>
        <w:spacing w:after="0" w:line="141" w:lineRule="exact"/>
        <w:rPr>
          <w:sz w:val="20"/>
          <w:szCs w:val="20"/>
          <w:color w:val="auto"/>
        </w:rPr>
      </w:pPr>
    </w:p>
    <w:p>
      <w:pPr>
        <w:jc w:val="both"/>
        <w:ind w:left="1180"/>
        <w:spacing w:after="0" w:line="247" w:lineRule="auto"/>
        <w:rPr>
          <w:sz w:val="20"/>
          <w:szCs w:val="20"/>
          <w:color w:val="auto"/>
        </w:rPr>
      </w:pPr>
      <w:r>
        <w:rPr>
          <w:rFonts w:ascii="Times New Roman" w:cs="Times New Roman" w:eastAsia="Times New Roman" w:hAnsi="Times New Roman"/>
          <w:sz w:val="20"/>
          <w:szCs w:val="20"/>
          <w:color w:val="auto"/>
        </w:rPr>
        <w:t>Notwithstanding the foregoing, the Company’s obligation to provide the above information is conditional upon such provision by the Company and its affiliates not violating any Applicable Laws or regulations or regulatory rules.</w:t>
      </w:r>
    </w:p>
    <w:p>
      <w:pPr>
        <w:spacing w:after="0" w:line="1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color w:val="auto"/>
        </w:rPr>
        <w:t>Right of Inspection</w:t>
      </w:r>
    </w:p>
    <w:p>
      <w:pPr>
        <w:spacing w:after="0" w:line="191" w:lineRule="exact"/>
        <w:rPr>
          <w:sz w:val="20"/>
          <w:szCs w:val="20"/>
          <w:color w:val="auto"/>
        </w:rPr>
      </w:pPr>
    </w:p>
    <w:p>
      <w:pPr>
        <w:jc w:val="both"/>
        <w:ind w:left="600"/>
        <w:spacing w:after="0" w:line="239" w:lineRule="auto"/>
        <w:rPr>
          <w:sz w:val="20"/>
          <w:szCs w:val="20"/>
          <w:color w:val="auto"/>
        </w:rPr>
      </w:pPr>
      <w:r>
        <w:rPr>
          <w:rFonts w:ascii="Times New Roman" w:cs="Times New Roman" w:eastAsia="Times New Roman" w:hAnsi="Times New Roman"/>
          <w:sz w:val="20"/>
          <w:szCs w:val="20"/>
          <w:color w:val="auto"/>
        </w:rPr>
        <w:t>Each Investor shall have the right, upon reasonable prior notice, to inspect the facilities, financial accounts, operational records, and other materials of the Group Companies during normal business hours, and to discuss the operations and financial condition of the Group Companies with relevant directors, management personnel, employees, consultants, accountants, and lawyers, and if necessary, engage an audit institution to audit the Group Companies.</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color w:val="auto"/>
        </w:rPr>
        <w:t>Corporate Governance</w:t>
      </w:r>
    </w:p>
    <w:p>
      <w:pPr>
        <w:spacing w:after="0" w:line="191" w:lineRule="exact"/>
        <w:rPr>
          <w:sz w:val="20"/>
          <w:szCs w:val="20"/>
          <w:color w:val="auto"/>
        </w:rPr>
      </w:pPr>
    </w:p>
    <w:p>
      <w:pPr>
        <w:ind w:left="1180" w:hanging="586"/>
        <w:spacing w:after="0"/>
        <w:tabs>
          <w:tab w:leader="none" w:pos="118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Shareholders’ Meeting</w:t>
      </w:r>
    </w:p>
    <w:p>
      <w:pPr>
        <w:spacing w:after="0" w:line="190" w:lineRule="exact"/>
        <w:rPr>
          <w:rFonts w:ascii="Times New Roman" w:cs="Times New Roman" w:eastAsia="Times New Roman" w:hAnsi="Times New Roman"/>
          <w:sz w:val="20"/>
          <w:szCs w:val="20"/>
          <w:color w:val="auto"/>
        </w:rPr>
      </w:pPr>
    </w:p>
    <w:p>
      <w:pPr>
        <w:ind w:left="1180"/>
        <w:spacing w:after="0" w:line="26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shareholders’ meeting of the Company shall consist of all shareholders and shall have the following functions and powers:</w:t>
      </w:r>
    </w:p>
    <w:p>
      <w:pPr>
        <w:spacing w:after="0" w:line="141" w:lineRule="exact"/>
        <w:rPr>
          <w:rFonts w:ascii="Times New Roman" w:cs="Times New Roman" w:eastAsia="Times New Roman" w:hAnsi="Times New Roman"/>
          <w:sz w:val="20"/>
          <w:szCs w:val="20"/>
          <w:color w:val="auto"/>
        </w:rPr>
      </w:pPr>
    </w:p>
    <w:p>
      <w:pPr>
        <w:ind w:left="1780" w:hanging="592"/>
        <w:spacing w:after="0"/>
        <w:tabs>
          <w:tab w:leader="none" w:pos="1780"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the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84" w:name="page385"/>
    <w:bookmarkEnd w:id="384"/>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ind w:left="1320" w:hanging="592"/>
        <w:spacing w:after="0"/>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adopt resolutions on increasing or decreasing the registered capital of the Company;</w:t>
      </w:r>
    </w:p>
    <w:p>
      <w:pPr>
        <w:spacing w:after="0" w:line="190"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adopt resolutions on the merger, division, dissolution, liquidation, or change of the corporate form of the Company;</w:t>
      </w:r>
    </w:p>
    <w:p>
      <w:pPr>
        <w:spacing w:after="0" w:line="141"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and replace the directors and supervisors of the Company, and to decide on matters concerning their remuneration;</w:t>
      </w:r>
    </w:p>
    <w:p>
      <w:pPr>
        <w:spacing w:after="0" w:line="141"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review and approve the Company’s profit distribution plan and plan for making up losses;</w:t>
      </w:r>
    </w:p>
    <w:p>
      <w:pPr>
        <w:spacing w:after="0" w:line="190"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adjust the size of the Board of Directors;</w:t>
      </w:r>
    </w:p>
    <w:p>
      <w:pPr>
        <w:spacing w:after="0" w:line="190" w:lineRule="exact"/>
        <w:rPr>
          <w:rFonts w:ascii="Times New Roman" w:cs="Times New Roman" w:eastAsia="Times New Roman" w:hAnsi="Times New Roman"/>
          <w:sz w:val="20"/>
          <w:szCs w:val="20"/>
          <w:color w:val="auto"/>
        </w:rPr>
      </w:pPr>
    </w:p>
    <w:p>
      <w:pPr>
        <w:jc w:val="both"/>
        <w:ind w:left="1320" w:hanging="592"/>
        <w:spacing w:after="0" w:line="247" w:lineRule="auto"/>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annual routine connected transactions, and to review the total estimated amount of annual routine connected transactions; if the actual execution exceeds the estimated total amount, the approval procedures shall be re-performed for the excess amount;</w:t>
      </w:r>
    </w:p>
    <w:p>
      <w:pPr>
        <w:spacing w:after="0" w:line="156"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review and approve the reports of the board of directors and the supervisors of the Company;</w:t>
      </w:r>
    </w:p>
    <w:p>
      <w:pPr>
        <w:spacing w:after="0" w:line="190"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adopt resolutions on the issuance of corporate bonds;</w:t>
      </w:r>
    </w:p>
    <w:p>
      <w:pPr>
        <w:spacing w:after="0" w:line="190"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adopt resolutions on the appropriation of any discretionary surplus reserve fund;</w:t>
      </w:r>
    </w:p>
    <w:p>
      <w:pPr>
        <w:spacing w:after="0" w:line="190"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repurchase corporate bonds, or issue or repurchase any Equity Securities;</w:t>
      </w:r>
    </w:p>
    <w:p>
      <w:pPr>
        <w:spacing w:after="0" w:line="190"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overall sale, acquisition, reorganization, or change of control or controlling shareholder of the Company;</w:t>
      </w:r>
    </w:p>
    <w:p>
      <w:pPr>
        <w:spacing w:after="0" w:line="141"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review and approve the listing plan, including but not limited to reviewing and approving the listing schedule, method, price, and location;</w:t>
      </w:r>
    </w:p>
    <w:p>
      <w:pPr>
        <w:spacing w:after="0" w:line="141"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authorize, issue, or adjust the classes of issued equity or shares, granting them rights equal or superior to those of the Investors;</w:t>
      </w:r>
    </w:p>
    <w:p>
      <w:pPr>
        <w:spacing w:after="0" w:line="141"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or alter any rights enjoyed by the Investors under the Transaction Documents, or impose restrictions not provided for in the Transaction Documents on the rights of the Investors;</w:t>
      </w:r>
    </w:p>
    <w:p>
      <w:pPr>
        <w:spacing w:after="0" w:line="141"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amend, or terminate the employee stock ownership plan, equity incentive plan, or similar plans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85" w:name="page386"/>
    <w:bookmarkEnd w:id="385"/>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1320" w:hanging="592"/>
        <w:spacing w:after="0" w:line="247" w:lineRule="auto"/>
        <w:tabs>
          <w:tab w:leader="none" w:pos="132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directly or indirectly dispose of or dilute the Company’s interests in its subsidiaries, where the value of the interests disposed of or diluted within a fiscal year reaches 30% or more of the Company’s net assets;</w:t>
      </w:r>
    </w:p>
    <w:p>
      <w:pPr>
        <w:spacing w:after="0" w:line="156"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a material change in the direction of the Company’s Principal Business;</w:t>
      </w:r>
    </w:p>
    <w:p>
      <w:pPr>
        <w:spacing w:after="0" w:line="190" w:lineRule="exact"/>
        <w:rPr>
          <w:rFonts w:ascii="Times New Roman" w:cs="Times New Roman" w:eastAsia="Times New Roman" w:hAnsi="Times New Roman"/>
          <w:sz w:val="20"/>
          <w:szCs w:val="20"/>
          <w:color w:val="auto"/>
        </w:rPr>
      </w:pPr>
    </w:p>
    <w:p>
      <w:pPr>
        <w:jc w:val="both"/>
        <w:ind w:left="1320" w:hanging="592"/>
        <w:spacing w:after="0" w:line="247" w:lineRule="auto"/>
        <w:tabs>
          <w:tab w:leader="none" w:pos="132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sale or disposal, within a fiscal year, of any business or assets with a value reaching 30% or more of the Company’s net assets as reflected in the Company’s most recent financial statements;</w:t>
      </w:r>
    </w:p>
    <w:p>
      <w:pPr>
        <w:spacing w:after="0" w:line="156" w:lineRule="exact"/>
        <w:rPr>
          <w:rFonts w:ascii="Times New Roman" w:cs="Times New Roman" w:eastAsia="Times New Roman" w:hAnsi="Times New Roman"/>
          <w:sz w:val="20"/>
          <w:szCs w:val="20"/>
          <w:color w:val="auto"/>
        </w:rPr>
      </w:pPr>
    </w:p>
    <w:p>
      <w:pPr>
        <w:jc w:val="both"/>
        <w:ind w:left="1320" w:hanging="592"/>
        <w:spacing w:after="0" w:line="247" w:lineRule="auto"/>
        <w:tabs>
          <w:tab w:leader="none" w:pos="132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within a fiscal year, any external guarantee, mortgage, or pledge involving assets, business, or rights of the Company valued at more than 30% of the Company’s net assets as reflected in the Company’s most recent financial statements;</w:t>
      </w:r>
    </w:p>
    <w:p>
      <w:pPr>
        <w:spacing w:after="0" w:line="156" w:lineRule="exact"/>
        <w:rPr>
          <w:rFonts w:ascii="Times New Roman" w:cs="Times New Roman" w:eastAsia="Times New Roman" w:hAnsi="Times New Roman"/>
          <w:sz w:val="20"/>
          <w:szCs w:val="20"/>
          <w:color w:val="auto"/>
        </w:rPr>
      </w:pPr>
    </w:p>
    <w:p>
      <w:pPr>
        <w:jc w:val="both"/>
        <w:ind w:left="1320" w:hanging="592"/>
        <w:spacing w:after="0" w:line="247" w:lineRule="auto"/>
        <w:tabs>
          <w:tab w:leader="none" w:pos="132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Company providing any loan to any third party where the single amount exceeds RMB50 million, or the approval of such loan would cause the cumulative amount of loans provided by the Company to third parties in that fiscal year to exceed RMB300 million;</w:t>
      </w:r>
    </w:p>
    <w:p>
      <w:pPr>
        <w:spacing w:after="0" w:line="156" w:lineRule="exact"/>
        <w:rPr>
          <w:rFonts w:ascii="Times New Roman" w:cs="Times New Roman" w:eastAsia="Times New Roman" w:hAnsi="Times New Roman"/>
          <w:sz w:val="20"/>
          <w:szCs w:val="20"/>
          <w:color w:val="auto"/>
        </w:rPr>
      </w:pPr>
    </w:p>
    <w:p>
      <w:pPr>
        <w:jc w:val="both"/>
        <w:ind w:left="1320" w:hanging="592"/>
        <w:spacing w:after="0" w:line="242" w:lineRule="auto"/>
        <w:tabs>
          <w:tab w:leader="none" w:pos="132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Company borrowing from third parties or incurring any debt by any other means, where any single amount exceeds RMB30 million, or the cumulative amount within a fiscal year exceeds RMB100 million (excluding funds borrowed from banks or other financial institutions or obtained as trade finance in the ordinary course of business);</w:t>
      </w:r>
    </w:p>
    <w:p>
      <w:pPr>
        <w:spacing w:after="0" w:line="161"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outside the annual budget, any occasional connected transaction cumulatively exceeding RMB10 million in any fiscal year;</w:t>
      </w:r>
    </w:p>
    <w:p>
      <w:pPr>
        <w:spacing w:after="0" w:line="141" w:lineRule="exact"/>
        <w:rPr>
          <w:rFonts w:ascii="Times New Roman" w:cs="Times New Roman" w:eastAsia="Times New Roman" w:hAnsi="Times New Roman"/>
          <w:sz w:val="20"/>
          <w:szCs w:val="20"/>
          <w:color w:val="auto"/>
        </w:rPr>
      </w:pPr>
    </w:p>
    <w:p>
      <w:pPr>
        <w:jc w:val="both"/>
        <w:ind w:left="1320" w:hanging="592"/>
        <w:spacing w:after="0" w:line="242" w:lineRule="auto"/>
        <w:tabs>
          <w:tab w:leader="none" w:pos="132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sale, transfer, licensing, pledge, or other forms of disposal of any trademarks, patents, copyrights, or other intellectual property rights related to the Company’s Principal Business, except for the licensing of the Company’s intellectual property rights required in the daily business operations of the Company.</w:t>
      </w:r>
    </w:p>
    <w:p>
      <w:pPr>
        <w:spacing w:after="0" w:line="162" w:lineRule="exact"/>
        <w:rPr>
          <w:sz w:val="20"/>
          <w:szCs w:val="20"/>
          <w:color w:val="auto"/>
        </w:rPr>
      </w:pPr>
    </w:p>
    <w:p>
      <w:pPr>
        <w:jc w:val="both"/>
        <w:ind w:left="720"/>
        <w:spacing w:after="0" w:line="247" w:lineRule="auto"/>
        <w:rPr>
          <w:sz w:val="20"/>
          <w:szCs w:val="20"/>
          <w:color w:val="auto"/>
        </w:rPr>
      </w:pPr>
      <w:r>
        <w:rPr>
          <w:rFonts w:ascii="Times New Roman" w:cs="Times New Roman" w:eastAsia="Times New Roman" w:hAnsi="Times New Roman"/>
          <w:sz w:val="20"/>
          <w:szCs w:val="20"/>
          <w:color w:val="auto"/>
        </w:rPr>
        <w:t>Shareholders shall exercise their voting rights at shareholders’ meetings in proportion to their subscribed capital contributions. Resolutions of the shareholders’ meeting shall be passed by shareholders representing more than half of the voting rights. If all shareholders agree in writing to a matter subject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86" w:name="page387"/>
    <w:bookmarkEnd w:id="386"/>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720"/>
        <w:spacing w:after="0" w:line="247" w:lineRule="auto"/>
        <w:rPr>
          <w:sz w:val="20"/>
          <w:szCs w:val="20"/>
          <w:color w:val="auto"/>
        </w:rPr>
      </w:pPr>
      <w:r>
        <w:rPr>
          <w:rFonts w:ascii="Times New Roman" w:cs="Times New Roman" w:eastAsia="Times New Roman" w:hAnsi="Times New Roman"/>
          <w:sz w:val="20"/>
          <w:szCs w:val="20"/>
          <w:color w:val="auto"/>
        </w:rPr>
        <w:t>to shareholders’ meeting resolution, a shareholders’ meeting may be dispensed with and a resolution may be made directly, provided that all shareholders sign or affix their seals to the resolution document. Shareholders’ meetings and voting may be conducted by means of electronic communication.</w:t>
      </w:r>
    </w:p>
    <w:p>
      <w:pPr>
        <w:spacing w:after="0" w:line="156" w:lineRule="exact"/>
        <w:rPr>
          <w:sz w:val="20"/>
          <w:szCs w:val="20"/>
          <w:color w:val="auto"/>
        </w:rPr>
      </w:pPr>
    </w:p>
    <w:p>
      <w:pPr>
        <w:jc w:val="both"/>
        <w:ind w:left="720"/>
        <w:spacing w:after="0" w:line="237" w:lineRule="auto"/>
        <w:rPr>
          <w:sz w:val="20"/>
          <w:szCs w:val="20"/>
          <w:color w:val="auto"/>
        </w:rPr>
      </w:pPr>
      <w:r>
        <w:rPr>
          <w:rFonts w:ascii="Times New Roman" w:cs="Times New Roman" w:eastAsia="Times New Roman" w:hAnsi="Times New Roman"/>
          <w:sz w:val="20"/>
          <w:szCs w:val="20"/>
          <w:color w:val="auto"/>
        </w:rPr>
        <w:t>Resolutions of the shareholders’ meeting to amend the Articles of Association, increase or decrease the registered capital, and resolutions on the merger, division, dissolution, liquidation, or change of the corporate form of the Company shall be passed by shareholders representing more than two-thirds (2/3) of the voting rights (which shall include shareholders holding more than half of the voting rights held by all Investors). For other matters, resolutions of the shareholders’ meeting shall be passed by shareholders representing more than one-half (1/2) of the voting rights. Additionally, matters listed in items (i) through (x) above shall also require the approval of shareholders holding more than half of the voting rights held by all Investors.</w:t>
      </w:r>
    </w:p>
    <w:p>
      <w:pPr>
        <w:spacing w:after="0" w:line="168" w:lineRule="exact"/>
        <w:rPr>
          <w:sz w:val="20"/>
          <w:szCs w:val="20"/>
          <w:color w:val="auto"/>
        </w:rPr>
      </w:pPr>
    </w:p>
    <w:p>
      <w:pPr>
        <w:jc w:val="both"/>
        <w:ind w:left="720" w:hanging="586"/>
        <w:spacing w:after="0" w:line="239" w:lineRule="auto"/>
        <w:tabs>
          <w:tab w:leader="none" w:pos="72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shall consist of five (5) directors. The Controlling Shareholder has the right to nominate four (4) directors, and the Cornerstone Investors have the right to jointly nominate one (1) director. The parties shall vote in favor at the shareholders’ meeting to elect the nominees of the Controlling Shareholder and the Investors as directors of the Company. The Board of Directors shall have one (1) chairman, who shall be a director nominated by the Controlling Shareholder.</w:t>
      </w:r>
    </w:p>
    <w:p>
      <w:pPr>
        <w:spacing w:after="0" w:line="166" w:lineRule="exact"/>
        <w:rPr>
          <w:rFonts w:ascii="Times New Roman" w:cs="Times New Roman" w:eastAsia="Times New Roman" w:hAnsi="Times New Roman"/>
          <w:sz w:val="20"/>
          <w:szCs w:val="20"/>
          <w:color w:val="auto"/>
        </w:rPr>
      </w:pPr>
    </w:p>
    <w:p>
      <w:pPr>
        <w:jc w:val="both"/>
        <w:ind w:left="720" w:hanging="586"/>
        <w:spacing w:after="0" w:line="242" w:lineRule="auto"/>
        <w:tabs>
          <w:tab w:leader="none" w:pos="72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Harmonious Fund has the right to jointly appoint one (1) board observer. Such observer has the right to attend board meetings, participate in discussions at board meetings, obtain information and materials necessary for participation in discussions, express opinions, and follow up on the implementation of matters approved by the Board.</w:t>
      </w:r>
    </w:p>
    <w:p>
      <w:pPr>
        <w:spacing w:after="0" w:line="161" w:lineRule="exact"/>
        <w:rPr>
          <w:rFonts w:ascii="Times New Roman" w:cs="Times New Roman" w:eastAsia="Times New Roman" w:hAnsi="Times New Roman"/>
          <w:sz w:val="20"/>
          <w:szCs w:val="20"/>
          <w:color w:val="auto"/>
        </w:rPr>
      </w:pPr>
    </w:p>
    <w:p>
      <w:pPr>
        <w:ind w:left="720" w:hanging="586"/>
        <w:spacing w:after="0"/>
        <w:tabs>
          <w:tab w:leader="none" w:pos="72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Functions and Powers of the Board of Directors</w:t>
      </w:r>
    </w:p>
    <w:p>
      <w:pPr>
        <w:spacing w:after="0" w:line="190"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the Company shall have the following functions and powers:</w:t>
      </w:r>
    </w:p>
    <w:p>
      <w:pPr>
        <w:spacing w:after="0" w:line="190"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convene shareholders’ meetings and report its work to the shareholders’ meeting;</w:t>
      </w:r>
    </w:p>
    <w:p>
      <w:pPr>
        <w:spacing w:after="0" w:line="190"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implement the relevant resolutions of the shareholders’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87" w:name="page388"/>
    <w:bookmarkEnd w:id="387"/>
    <w:p>
      <w:pPr>
        <w:ind w:left="274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ind w:left="1320" w:hanging="592"/>
        <w:spacing w:after="0"/>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the Company’s operating plans and investment plans;</w:t>
      </w:r>
    </w:p>
    <w:p>
      <w:pPr>
        <w:spacing w:after="0" w:line="190"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formulate the Company’s profit distribution plan and plan for making up losses;</w:t>
      </w:r>
    </w:p>
    <w:p>
      <w:pPr>
        <w:spacing w:after="0" w:line="190"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formulate plans for the Company’s increase or decrease of registered capital and for the issuance of corporate bonds;</w:t>
      </w:r>
    </w:p>
    <w:p>
      <w:pPr>
        <w:spacing w:after="0" w:line="141"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formulate plans for the merger, division, dissolution, or change of the corporate form of the Company;</w:t>
      </w:r>
    </w:p>
    <w:p>
      <w:pPr>
        <w:spacing w:after="0" w:line="141"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establish the internal management structure of the Company;</w:t>
      </w:r>
    </w:p>
    <w:p>
      <w:pPr>
        <w:spacing w:after="0" w:line="190"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formulate the basic management systems of the Company;</w:t>
      </w:r>
    </w:p>
    <w:p>
      <w:pPr>
        <w:spacing w:after="0" w:line="190"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implementation of the employee equity incentive plan (including determining the grantees, grant quantities, exercise price, and exercise period);</w:t>
      </w:r>
    </w:p>
    <w:p>
      <w:pPr>
        <w:spacing w:after="0" w:line="141"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decide on the appointment or dismissal of the Chief Executive Officer and Chief Financial Officer of the Company, or to decide on the conditions of their employment and remuneration;</w:t>
      </w:r>
    </w:p>
    <w:p>
      <w:pPr>
        <w:spacing w:after="0" w:line="141" w:lineRule="exact"/>
        <w:rPr>
          <w:rFonts w:ascii="Times New Roman" w:cs="Times New Roman" w:eastAsia="Times New Roman" w:hAnsi="Times New Roman"/>
          <w:sz w:val="20"/>
          <w:szCs w:val="20"/>
          <w:color w:val="auto"/>
        </w:rPr>
      </w:pPr>
    </w:p>
    <w:p>
      <w:pPr>
        <w:ind w:left="1320" w:hanging="592"/>
        <w:spacing w:after="0"/>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or amend the annual business plan;</w:t>
      </w:r>
    </w:p>
    <w:p>
      <w:pPr>
        <w:spacing w:after="0" w:line="186" w:lineRule="exact"/>
        <w:rPr>
          <w:rFonts w:ascii="Times New Roman" w:cs="Times New Roman" w:eastAsia="Times New Roman" w:hAnsi="Times New Roman"/>
          <w:sz w:val="20"/>
          <w:szCs w:val="20"/>
          <w:color w:val="auto"/>
        </w:rPr>
      </w:pPr>
    </w:p>
    <w:p>
      <w:pPr>
        <w:ind w:left="1320" w:hanging="592"/>
        <w:spacing w:after="0" w:line="266" w:lineRule="auto"/>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or amend the Company’s annual financial budget plan (the “</w:t>
      </w:r>
      <w:r>
        <w:rPr>
          <w:rFonts w:ascii="Times New Roman" w:cs="Times New Roman" w:eastAsia="Times New Roman" w:hAnsi="Times New Roman"/>
          <w:sz w:val="20"/>
          <w:szCs w:val="20"/>
          <w:b w:val="1"/>
          <w:bCs w:val="1"/>
          <w:color w:val="auto"/>
        </w:rPr>
        <w:t>Annual Budget</w:t>
      </w:r>
      <w:r>
        <w:rPr>
          <w:rFonts w:ascii="Times New Roman" w:cs="Times New Roman" w:eastAsia="Times New Roman" w:hAnsi="Times New Roman"/>
          <w:sz w:val="20"/>
          <w:szCs w:val="20"/>
          <w:color w:val="auto"/>
        </w:rPr>
        <w:t>”) or final accounts plan;</w:t>
      </w:r>
    </w:p>
    <w:p>
      <w:pPr>
        <w:spacing w:after="0" w:line="137"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changes to the Company’s accounting policies, and to appoint or replace the Company’s Independent Auditor;</w:t>
      </w:r>
    </w:p>
    <w:p>
      <w:pPr>
        <w:spacing w:after="0" w:line="141" w:lineRule="exact"/>
        <w:rPr>
          <w:rFonts w:ascii="Times New Roman" w:cs="Times New Roman" w:eastAsia="Times New Roman" w:hAnsi="Times New Roman"/>
          <w:sz w:val="20"/>
          <w:szCs w:val="20"/>
          <w:color w:val="auto"/>
        </w:rPr>
      </w:pPr>
    </w:p>
    <w:p>
      <w:pPr>
        <w:jc w:val="both"/>
        <w:ind w:left="1320" w:hanging="592"/>
        <w:spacing w:after="0" w:line="247" w:lineRule="auto"/>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Company’s external investments (excluding the establishment of wholly-owned subsidiaries) or to approve the Company’s establishment of joint ventures or partnerships with any third party, where a single investment amount by the Company exceeds RMB30 million;</w:t>
      </w:r>
    </w:p>
    <w:p>
      <w:pPr>
        <w:spacing w:after="0" w:line="156" w:lineRule="exact"/>
        <w:rPr>
          <w:rFonts w:ascii="Times New Roman" w:cs="Times New Roman" w:eastAsia="Times New Roman" w:hAnsi="Times New Roman"/>
          <w:sz w:val="20"/>
          <w:szCs w:val="20"/>
          <w:color w:val="auto"/>
        </w:rPr>
      </w:pPr>
    </w:p>
    <w:p>
      <w:pPr>
        <w:ind w:left="1320" w:hanging="592"/>
        <w:spacing w:after="0" w:line="262" w:lineRule="auto"/>
        <w:tabs>
          <w:tab w:leader="none" w:pos="13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any of the following transactions (whether conducted as a single transaction or a series of transactions):</w:t>
      </w:r>
    </w:p>
    <w:p>
      <w:pPr>
        <w:spacing w:after="0" w:line="141" w:lineRule="exact"/>
        <w:rPr>
          <w:rFonts w:ascii="Times New Roman" w:cs="Times New Roman" w:eastAsia="Times New Roman" w:hAnsi="Times New Roman"/>
          <w:sz w:val="20"/>
          <w:szCs w:val="20"/>
          <w:color w:val="auto"/>
        </w:rPr>
      </w:pPr>
    </w:p>
    <w:p>
      <w:pPr>
        <w:ind w:left="1920" w:hanging="597"/>
        <w:spacing w:after="0" w:line="262" w:lineRule="auto"/>
        <w:tabs>
          <w:tab w:leader="none" w:pos="1920"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loans to any third party where the single amount exceeds RMB1 million, or the cumulative amount in any fiscal year exceeds RMB10 million;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325755</wp:posOffset>
            </wp:positionV>
            <wp:extent cx="6310630" cy="234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60"/>
          </w:cols>
          <w:pgMar w:left="1440" w:top="609" w:right="999" w:bottom="1440" w:gutter="0" w:footer="0" w:header="0"/>
        </w:sectPr>
      </w:pPr>
    </w:p>
    <w:bookmarkStart w:id="388" w:name="page389"/>
    <w:bookmarkEnd w:id="388"/>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ind w:left="2380" w:hanging="597"/>
        <w:spacing w:after="0" w:line="262" w:lineRule="auto"/>
        <w:tabs>
          <w:tab w:leader="none" w:pos="238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outside the Annual Budget where a single transaction exceeds RMB10 million, or the cumulative amount in any fiscal year exceeds RMB50 million;</w:t>
      </w:r>
    </w:p>
    <w:p>
      <w:pPr>
        <w:spacing w:after="0" w:line="141" w:lineRule="exact"/>
        <w:rPr>
          <w:rFonts w:ascii="Times New Roman" w:cs="Times New Roman" w:eastAsia="Times New Roman" w:hAnsi="Times New Roman"/>
          <w:sz w:val="20"/>
          <w:szCs w:val="20"/>
          <w:color w:val="auto"/>
        </w:rPr>
      </w:pPr>
    </w:p>
    <w:p>
      <w:pPr>
        <w:jc w:val="both"/>
        <w:ind w:left="2380" w:hanging="597"/>
        <w:spacing w:after="0" w:line="247" w:lineRule="auto"/>
        <w:tabs>
          <w:tab w:leader="none" w:pos="238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borrowing by the Company and/or its subsidiaries exceeding RMB10 million (excluding funds borrowed from banks or other financial institutions or obtained as trade finance in the ordinary course of business);</w:t>
      </w:r>
    </w:p>
    <w:p>
      <w:pPr>
        <w:spacing w:after="0" w:line="156" w:lineRule="exact"/>
        <w:rPr>
          <w:rFonts w:ascii="Times New Roman" w:cs="Times New Roman" w:eastAsia="Times New Roman" w:hAnsi="Times New Roman"/>
          <w:sz w:val="20"/>
          <w:szCs w:val="20"/>
          <w:color w:val="auto"/>
        </w:rPr>
      </w:pPr>
    </w:p>
    <w:p>
      <w:pPr>
        <w:ind w:left="2380" w:hanging="597"/>
        <w:spacing w:after="0" w:line="262" w:lineRule="auto"/>
        <w:tabs>
          <w:tab w:leader="none" w:pos="238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transferring, or creating any security, pledge, lien, or mortgage on assets, businesses, or rights of the Company or its subsidiaries valued at more than RMB10 million;</w:t>
      </w:r>
    </w:p>
    <w:p>
      <w:pPr>
        <w:spacing w:after="0" w:line="141" w:lineRule="exact"/>
        <w:rPr>
          <w:rFonts w:ascii="Times New Roman" w:cs="Times New Roman" w:eastAsia="Times New Roman" w:hAnsi="Times New Roman"/>
          <w:sz w:val="20"/>
          <w:szCs w:val="20"/>
          <w:color w:val="auto"/>
        </w:rPr>
      </w:pPr>
    </w:p>
    <w:p>
      <w:pPr>
        <w:ind w:left="1780" w:hanging="592"/>
        <w:spacing w:after="0" w:line="262" w:lineRule="auto"/>
        <w:tabs>
          <w:tab w:leader="none" w:pos="178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functions and powers stipulated in the Articles of Association or granted by the shareholders’ meeting.</w:t>
      </w:r>
    </w:p>
    <w:p>
      <w:pPr>
        <w:spacing w:after="0" w:line="141" w:lineRule="exact"/>
        <w:rPr>
          <w:sz w:val="20"/>
          <w:szCs w:val="20"/>
          <w:color w:val="auto"/>
        </w:rPr>
      </w:pPr>
    </w:p>
    <w:p>
      <w:pPr>
        <w:jc w:val="both"/>
        <w:ind w:left="1180"/>
        <w:spacing w:after="0" w:line="238" w:lineRule="auto"/>
        <w:rPr>
          <w:sz w:val="20"/>
          <w:szCs w:val="20"/>
          <w:color w:val="auto"/>
        </w:rPr>
      </w:pPr>
      <w:r>
        <w:rPr>
          <w:rFonts w:ascii="Times New Roman" w:cs="Times New Roman" w:eastAsia="Times New Roman" w:hAnsi="Times New Roman"/>
          <w:sz w:val="20"/>
          <w:szCs w:val="20"/>
          <w:color w:val="auto"/>
        </w:rPr>
        <w:t>The board of directors of the Company shall meet at least once every half year. A board meeting may be held only if more than half of the directors are present. If the attending directors do not constitute a quorum, the chairman may, within fifteen (15) days, reissue a notice to all directors, requesting each director to attend a meeting on a rescheduled date to vote on the same agenda. If the absent directors still fail to attend such second meeting, the directors present at that meeting shall automatically constitute a quorum for the meeting and shall have the right to vote on the agenda items set forth in the meeting notice.</w:t>
      </w:r>
    </w:p>
    <w:p>
      <w:pPr>
        <w:spacing w:after="0" w:line="166" w:lineRule="exact"/>
        <w:rPr>
          <w:sz w:val="20"/>
          <w:szCs w:val="20"/>
          <w:color w:val="auto"/>
        </w:rPr>
      </w:pPr>
    </w:p>
    <w:p>
      <w:pPr>
        <w:jc w:val="both"/>
        <w:ind w:left="1180"/>
        <w:spacing w:after="0" w:line="239" w:lineRule="auto"/>
        <w:rPr>
          <w:sz w:val="20"/>
          <w:szCs w:val="20"/>
          <w:color w:val="auto"/>
        </w:rPr>
      </w:pPr>
      <w:r>
        <w:rPr>
          <w:rFonts w:ascii="Times New Roman" w:cs="Times New Roman" w:eastAsia="Times New Roman" w:hAnsi="Times New Roman"/>
          <w:sz w:val="20"/>
          <w:szCs w:val="20"/>
          <w:color w:val="auto"/>
        </w:rPr>
        <w:t>Resolutions of the board of directors shall be adopted on a one-vote-per-director basis. Resolutions of the board of directors shall be passed by more than half of all directors. If all directors agree in writing to a matter subject to board resolution, a board meeting may be dispensed with and a resolution may be made directly, provided that all directors sign the resolution document. Board meetings and voting may be conducted by means of electronic communication.</w:t>
      </w:r>
    </w:p>
    <w:p>
      <w:pPr>
        <w:spacing w:after="0" w:line="163" w:lineRule="exact"/>
        <w:rPr>
          <w:sz w:val="20"/>
          <w:szCs w:val="20"/>
          <w:color w:val="auto"/>
        </w:rPr>
      </w:pPr>
    </w:p>
    <w:p>
      <w:pPr>
        <w:ind w:left="3780" w:hanging="593"/>
        <w:spacing w:after="0"/>
        <w:tabs>
          <w:tab w:leader="none" w:pos="3780" w:val="left"/>
        </w:tabs>
        <w:numPr>
          <w:ilvl w:val="0"/>
          <w:numId w:val="2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RESTRICTIONS ON TRANSFER</w:t>
      </w:r>
    </w:p>
    <w:p>
      <w:pPr>
        <w:spacing w:after="0" w:line="19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Transfer of Equity by Investors</w:t>
      </w:r>
    </w:p>
    <w:p>
      <w:pPr>
        <w:spacing w:after="0" w:line="191" w:lineRule="exact"/>
        <w:rPr>
          <w:sz w:val="20"/>
          <w:szCs w:val="20"/>
          <w:color w:val="auto"/>
        </w:rPr>
      </w:pPr>
    </w:p>
    <w:p>
      <w:pPr>
        <w:ind w:left="600"/>
        <w:spacing w:after="0" w:line="262" w:lineRule="auto"/>
        <w:rPr>
          <w:sz w:val="20"/>
          <w:szCs w:val="20"/>
          <w:color w:val="auto"/>
        </w:rPr>
      </w:pPr>
      <w:r>
        <w:rPr>
          <w:rFonts w:ascii="Times New Roman" w:cs="Times New Roman" w:eastAsia="Times New Roman" w:hAnsi="Times New Roman"/>
          <w:sz w:val="20"/>
          <w:szCs w:val="20"/>
          <w:color w:val="auto"/>
        </w:rPr>
        <w:t>Subject to Section 4.2(2) of this Agreement, an Investor may transfer all or part of the Company’s equity held by it to any third party after giving prior written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8" w:right="999" w:bottom="1440" w:gutter="0" w:footer="0" w:header="0"/>
        </w:sectPr>
      </w:pPr>
    </w:p>
    <w:bookmarkStart w:id="389" w:name="page390"/>
    <w:bookmarkEnd w:id="389"/>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600"/>
        <w:spacing w:after="0" w:line="237" w:lineRule="auto"/>
        <w:rPr>
          <w:sz w:val="20"/>
          <w:szCs w:val="20"/>
          <w:color w:val="auto"/>
        </w:rPr>
      </w:pPr>
      <w:r>
        <w:rPr>
          <w:rFonts w:ascii="Times New Roman" w:cs="Times New Roman" w:eastAsia="Times New Roman" w:hAnsi="Times New Roman"/>
          <w:sz w:val="20"/>
          <w:szCs w:val="20"/>
          <w:color w:val="auto"/>
        </w:rPr>
        <w:t>notice to the Company and the Controlling Shareholder. Such transfer shall not be subject to the consent rights, rights of first refusal, or other rights of other shareholders. Furthermore, provided that such third party has executed the relevant documents to become a party to this Agreement, the parties shall actively cooperate with such Investor’s transfer, including but not limited to executing relevant documents and passing relevant resolutions. The Investor transferring the equity shall procure that the transferee of such equity executes the relevant documents to become a party to this Agreement and assumes all rights and obligations of the Investor arising from or related to the Transaction Documents.</w:t>
      </w:r>
    </w:p>
    <w:p>
      <w:pPr>
        <w:spacing w:after="0" w:line="16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Restrictions on Transfer of Equity</w:t>
      </w:r>
    </w:p>
    <w:p>
      <w:pPr>
        <w:spacing w:after="0" w:line="191" w:lineRule="exact"/>
        <w:rPr>
          <w:sz w:val="20"/>
          <w:szCs w:val="20"/>
          <w:color w:val="auto"/>
        </w:rPr>
      </w:pPr>
    </w:p>
    <w:p>
      <w:pPr>
        <w:jc w:val="both"/>
        <w:ind w:left="1180" w:hanging="586"/>
        <w:spacing w:after="0" w:line="234" w:lineRule="auto"/>
        <w:tabs>
          <w:tab w:leader="none" w:pos="1180"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Company’s Qualified IPO, except for an Exempt Transfer (as defined below), without the prior written consent of the Majority Investors: (a) the Controlling Shareholder and the Employee Shareholding Platforms shall not, and shall ensure that each partner of the Employee Shareholding Platforms does not, directly or indirectly transfer all or part of the Company’s equity held directly or indirectly by them; and (b) NIO shall not directly or indirectly transfer all or part of the Company’s equity held directly or indirectly by it, if such transfer would result in the Company ceasing to be a consolidated entity of NIO according to the relevant provisions of the accounting standards applicable to NIO. Any transfer of equity in violation of this section shall be null and void, the transferee shall not enjoy any rights as a direct or indirect shareholder of the Company, and the Company shall not recognize such transferee as a shareholder. For the avoidance of doubt, if the Majority Investors do not consent to a Restricted Shareholder’s transfer of its equity, they shall not be required to purchase the equity held by such Restricted Shareholder pursuant to Article 84 (and its subsequent amendments) of the Company Law. For the purpose of this Section 4.2(1), “Transfer” means, with respect to any equity of the Company, any direct or indirect transfer, sale, exchange, assignment, pledge, mortgage, creation of other security interests or similar encumbrances on, or similar disposal of such equity or any interest therein. “eExempt Transfer” means: (a) the implementation of an Equity Incentive Plan duly approved in accordance with this Agreement; (b) the transfer of equity by the Controlling Shareholder to an Investor pursuant to Section 3.4 (Anti-dilution) of this Agreement; (c) direct or indirect transfers of equity by NIO or the Controlling Shareholder, provided that NIO’s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90" w:name="page391"/>
    <w:bookmarkEnd w:id="390"/>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ind w:left="1180"/>
        <w:spacing w:after="0" w:line="262" w:lineRule="auto"/>
        <w:rPr>
          <w:sz w:val="20"/>
          <w:szCs w:val="20"/>
          <w:color w:val="auto"/>
        </w:rPr>
      </w:pPr>
      <w:r>
        <w:rPr>
          <w:rFonts w:ascii="Times New Roman" w:cs="Times New Roman" w:eastAsia="Times New Roman" w:hAnsi="Times New Roman"/>
          <w:sz w:val="20"/>
          <w:szCs w:val="20"/>
          <w:color w:val="auto"/>
        </w:rPr>
        <w:t>aggregate beneficial shareholding percentage in the Target Company on a look-through basis remains unchanged.</w:t>
      </w:r>
    </w:p>
    <w:p>
      <w:pPr>
        <w:spacing w:after="0" w:line="141" w:lineRule="exact"/>
        <w:rPr>
          <w:sz w:val="20"/>
          <w:szCs w:val="20"/>
          <w:color w:val="auto"/>
        </w:rPr>
      </w:pPr>
    </w:p>
    <w:p>
      <w:pPr>
        <w:jc w:val="both"/>
        <w:ind w:left="1180" w:hanging="586"/>
        <w:spacing w:after="0" w:line="239" w:lineRule="auto"/>
        <w:tabs>
          <w:tab w:leader="none" w:pos="118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prior written consent of the Target Company and its Controlling Shareholder, no Investor shall sell, donate, pledge, create any Encumbrance on, or transfer by any other means all or part of the Company’s equity held by it to a Competitor of the Company. If an Investor violates this Section, the proposed transferee shall not enjoy any rights as a direct or indirect shareholder of the Company, and the Investor shall remain fully liable for its shareholder obligations.</w:t>
      </w:r>
    </w:p>
    <w:p>
      <w:pPr>
        <w:spacing w:after="0" w:line="163" w:lineRule="exact"/>
        <w:rPr>
          <w:sz w:val="20"/>
          <w:szCs w:val="20"/>
          <w:color w:val="auto"/>
        </w:rPr>
      </w:pPr>
    </w:p>
    <w:p>
      <w:pPr>
        <w:ind w:left="4640" w:hanging="595"/>
        <w:spacing w:after="0"/>
        <w:tabs>
          <w:tab w:leader="none" w:pos="4640" w:val="left"/>
        </w:tabs>
        <w:numPr>
          <w:ilvl w:val="0"/>
          <w:numId w:val="2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w:t>
      </w:r>
    </w:p>
    <w:p>
      <w:pPr>
        <w:spacing w:after="0" w:line="19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Incentive Options</w:t>
      </w:r>
    </w:p>
    <w:p>
      <w:pPr>
        <w:spacing w:after="0" w:line="191" w:lineRule="exact"/>
        <w:rPr>
          <w:sz w:val="20"/>
          <w:szCs w:val="20"/>
          <w:color w:val="auto"/>
        </w:rPr>
      </w:pPr>
    </w:p>
    <w:p>
      <w:pPr>
        <w:jc w:val="both"/>
        <w:ind w:left="600"/>
        <w:spacing w:after="0" w:line="255" w:lineRule="auto"/>
        <w:rPr>
          <w:sz w:val="20"/>
          <w:szCs w:val="20"/>
          <w:color w:val="auto"/>
        </w:rPr>
      </w:pPr>
      <w:r>
        <w:rPr>
          <w:rFonts w:ascii="Times New Roman" w:cs="Times New Roman" w:eastAsia="Times New Roman" w:hAnsi="Times New Roman"/>
          <w:sz w:val="19"/>
          <w:szCs w:val="19"/>
          <w:color w:val="auto"/>
        </w:rPr>
        <w:t>The Parties confirm that the 9.9794% equity interest in the Company held in aggregate by the Employee Shareholding Platforms after the Closing of this Transaction (corresponding to the registered capital of the Company of RMB10,340,004.66 (in words: Renminbi Ten Million Three Hundred and Forty Thousand and Four Yuan and Sixty-Six Fen)) is reserved as incentive equity to be granted to employees of the Group Companies or other persons approved separately by the board of directors pursuant to an Equity Incentive Plan duly approved by the Company.</w:t>
      </w:r>
    </w:p>
    <w:p>
      <w:pPr>
        <w:spacing w:after="0" w:line="15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Non-competition and Non-solicitation Covenants</w:t>
      </w:r>
    </w:p>
    <w:p>
      <w:pPr>
        <w:spacing w:after="0" w:line="191" w:lineRule="exact"/>
        <w:rPr>
          <w:sz w:val="20"/>
          <w:szCs w:val="20"/>
          <w:color w:val="auto"/>
        </w:rPr>
      </w:pPr>
    </w:p>
    <w:p>
      <w:pPr>
        <w:jc w:val="both"/>
        <w:ind w:left="600"/>
        <w:spacing w:after="0" w:line="237" w:lineRule="auto"/>
        <w:rPr>
          <w:sz w:val="20"/>
          <w:szCs w:val="20"/>
          <w:color w:val="auto"/>
        </w:rPr>
      </w:pPr>
      <w:r>
        <w:rPr>
          <w:rFonts w:ascii="Times New Roman" w:cs="Times New Roman" w:eastAsia="Times New Roman" w:hAnsi="Times New Roman"/>
          <w:sz w:val="20"/>
          <w:szCs w:val="20"/>
          <w:color w:val="auto"/>
        </w:rPr>
        <w:t>NIO and the Controlling Shareholder, jointly and severally, covenant that they shall not, and shall ensure that NIO Group does not, by themselves or through their Affiliates, during the period when they directly or indirectly hold more than 30% of the equity of the Target Company, and for two (2) years after they directly or indirectly hold 30% or less of the equity of the Target Company for the first time, in their own name or as an agent, by themselves or in cooperation with a third party, directly or indirectly, circumvent the Group Companies (including but not limited to through subsidiaries, joint ventures, partnerships, Affiliates, or other contractual arrangements) within or outside China:</w:t>
      </w:r>
    </w:p>
    <w:p>
      <w:pPr>
        <w:spacing w:after="0" w:line="168" w:lineRule="exact"/>
        <w:rPr>
          <w:sz w:val="20"/>
          <w:szCs w:val="20"/>
          <w:color w:val="auto"/>
        </w:rPr>
      </w:pPr>
    </w:p>
    <w:p>
      <w:pPr>
        <w:jc w:val="both"/>
        <w:ind w:left="1180" w:hanging="586"/>
        <w:spacing w:after="0" w:line="247" w:lineRule="auto"/>
        <w:tabs>
          <w:tab w:leader="none" w:pos="118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form of investment (including but not limited to becoming an owner, shareholder, de facto controller, or otherwise holding an interest) in any person engaged or planning to engage in a business identical, similar to, or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91" w:name="page392"/>
    <w:bookmarkEnd w:id="391"/>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0" w:lineRule="exact"/>
        <w:rPr>
          <w:sz w:val="20"/>
          <w:szCs w:val="20"/>
          <w:color w:val="auto"/>
        </w:rPr>
      </w:pPr>
    </w:p>
    <w:p>
      <w:pPr>
        <w:ind w:left="1180"/>
        <w:spacing w:after="0" w:line="266" w:lineRule="auto"/>
        <w:rPr>
          <w:sz w:val="20"/>
          <w:szCs w:val="20"/>
          <w:color w:val="auto"/>
        </w:rPr>
      </w:pPr>
      <w:r>
        <w:rPr>
          <w:rFonts w:ascii="Times New Roman" w:cs="Times New Roman" w:eastAsia="Times New Roman" w:hAnsi="Times New Roman"/>
          <w:sz w:val="20"/>
          <w:szCs w:val="20"/>
          <w:color w:val="auto"/>
        </w:rPr>
        <w:t>competing with the Principal Business (a “</w:t>
      </w:r>
      <w:r>
        <w:rPr>
          <w:rFonts w:ascii="Times New Roman" w:cs="Times New Roman" w:eastAsia="Times New Roman" w:hAnsi="Times New Roman"/>
          <w:sz w:val="20"/>
          <w:szCs w:val="20"/>
          <w:b w:val="1"/>
          <w:bCs w:val="1"/>
          <w:color w:val="auto"/>
        </w:rPr>
        <w:t>Company Competitor</w:t>
      </w:r>
      <w:r>
        <w:rPr>
          <w:rFonts w:ascii="Times New Roman" w:cs="Times New Roman" w:eastAsia="Times New Roman" w:hAnsi="Times New Roman"/>
          <w:sz w:val="20"/>
          <w:szCs w:val="20"/>
          <w:color w:val="auto"/>
        </w:rPr>
        <w:t>”), or establish any Company Competitor, except for holding shares of a listed company not exceeding one percent (1%);</w:t>
      </w:r>
    </w:p>
    <w:p>
      <w:pPr>
        <w:spacing w:after="0" w:line="138" w:lineRule="exact"/>
        <w:rPr>
          <w:sz w:val="20"/>
          <w:szCs w:val="20"/>
          <w:color w:val="auto"/>
        </w:rPr>
      </w:pPr>
    </w:p>
    <w:p>
      <w:pPr>
        <w:jc w:val="both"/>
        <w:ind w:left="1180" w:hanging="586"/>
        <w:spacing w:after="0" w:line="242" w:lineRule="auto"/>
        <w:tabs>
          <w:tab w:leader="none" w:pos="118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any employee of the Group Companies to terminate their employment, or solicit any then-current customers, agents, suppliers and/or contractors of the Group Companies to terminate their cooperation with the Group Companies, or solicit business identical, similar to, or competing with the Principal Business from any then-current customers, agents, suppliers and/or contractors of the Group Companies; or</w:t>
      </w:r>
    </w:p>
    <w:p>
      <w:pPr>
        <w:spacing w:after="0" w:line="161" w:lineRule="exact"/>
        <w:rPr>
          <w:rFonts w:ascii="Times New Roman" w:cs="Times New Roman" w:eastAsia="Times New Roman" w:hAnsi="Times New Roman"/>
          <w:sz w:val="20"/>
          <w:szCs w:val="20"/>
          <w:color w:val="auto"/>
        </w:rPr>
      </w:pPr>
    </w:p>
    <w:p>
      <w:pPr>
        <w:jc w:val="both"/>
        <w:ind w:left="1180" w:hanging="586"/>
        <w:spacing w:after="0" w:line="242" w:lineRule="auto"/>
        <w:tabs>
          <w:tab w:leader="none" w:pos="118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any business dealings with any Company Competitor outside the scope of the Group Companies’ normal business operations (including but not limited to becoming a business agent, supplier, or distributor for a competitor; for the avoidance of doubt, this does not include purchasing products or services from a Company Competitor), or provide any form of consultation or advice to a Company Competitor.</w:t>
      </w:r>
    </w:p>
    <w:p>
      <w:pPr>
        <w:spacing w:after="0" w:line="16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Full-time Employment Covenant</w:t>
      </w:r>
    </w:p>
    <w:p>
      <w:pPr>
        <w:spacing w:after="0" w:line="1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Company Parties shall procure that the Management Team, from the date of this Agreement until the date one</w:t>
      </w:r>
    </w:p>
    <w:p>
      <w:pPr>
        <w:spacing w:after="0" w:line="15" w:lineRule="exact"/>
        <w:rPr>
          <w:sz w:val="20"/>
          <w:szCs w:val="20"/>
          <w:color w:val="auto"/>
        </w:rPr>
      </w:pPr>
    </w:p>
    <w:p>
      <w:pPr>
        <w:jc w:val="both"/>
        <w:ind w:left="600" w:hanging="6"/>
        <w:spacing w:after="0" w:line="234" w:lineRule="auto"/>
        <w:tabs>
          <w:tab w:leader="none" w:pos="919"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 after the completion of the Qualified IPO, work full-time for the Group Companies, continuously and diligently engage in the business of the Group Companies, use their best efforts to develop the business of the Group Companies, protect the interests of the Group Companies, and shall not engage in or participate in any other business that would materially consume their working time (whether or not such business competes with the business of the Group Companies). The Parties confirm that, without affecting the Company’s Qualified IPO, BAI Jian’s employment relationship may continue to be maintained with NIO Group.</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color w:val="auto"/>
        </w:rPr>
        <w:t>Most Favored Nation Clause</w:t>
      </w:r>
    </w:p>
    <w:p>
      <w:pPr>
        <w:spacing w:after="0" w:line="191" w:lineRule="exact"/>
        <w:rPr>
          <w:sz w:val="20"/>
          <w:szCs w:val="20"/>
          <w:color w:val="auto"/>
        </w:rPr>
      </w:pPr>
    </w:p>
    <w:p>
      <w:pPr>
        <w:jc w:val="both"/>
        <w:ind w:left="600"/>
        <w:spacing w:after="0" w:line="239" w:lineRule="auto"/>
        <w:rPr>
          <w:sz w:val="20"/>
          <w:szCs w:val="20"/>
          <w:color w:val="auto"/>
        </w:rPr>
      </w:pPr>
      <w:r>
        <w:rPr>
          <w:rFonts w:ascii="Times New Roman" w:cs="Times New Roman" w:eastAsia="Times New Roman" w:hAnsi="Times New Roman"/>
          <w:sz w:val="20"/>
          <w:szCs w:val="20"/>
          <w:color w:val="auto"/>
        </w:rPr>
        <w:t>Unless otherwise provided in the Transaction Documents, if any shareholder of the Company (including any shareholder introduced subsequently; collectively, the “</w:t>
      </w:r>
      <w:r>
        <w:rPr>
          <w:rFonts w:ascii="Times New Roman" w:cs="Times New Roman" w:eastAsia="Times New Roman" w:hAnsi="Times New Roman"/>
          <w:sz w:val="20"/>
          <w:szCs w:val="20"/>
          <w:b w:val="1"/>
          <w:bCs w:val="1"/>
          <w:color w:val="auto"/>
        </w:rPr>
        <w:t>New Shareholders</w:t>
      </w:r>
      <w:r>
        <w:rPr>
          <w:rFonts w:ascii="Times New Roman" w:cs="Times New Roman" w:eastAsia="Times New Roman" w:hAnsi="Times New Roman"/>
          <w:sz w:val="20"/>
          <w:szCs w:val="20"/>
          <w:color w:val="auto"/>
        </w:rPr>
        <w:t>”) enjoys any rights that are more favorable or preferential than any rights enjoyed by any Investor under the Transaction Documents (the “</w:t>
      </w:r>
      <w:r>
        <w:rPr>
          <w:rFonts w:ascii="Times New Roman" w:cs="Times New Roman" w:eastAsia="Times New Roman" w:hAnsi="Times New Roman"/>
          <w:sz w:val="20"/>
          <w:szCs w:val="20"/>
          <w:b w:val="1"/>
          <w:bCs w:val="1"/>
          <w:color w:val="auto"/>
        </w:rPr>
        <w:t>More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Favorable Rights</w:t>
      </w:r>
      <w:r>
        <w:rPr>
          <w:rFonts w:ascii="Times New Roman" w:cs="Times New Roman" w:eastAsia="Times New Roman" w:hAnsi="Times New Roman"/>
          <w:sz w:val="20"/>
          <w:szCs w:val="20"/>
          <w:color w:val="auto"/>
        </w:rPr>
        <w:t>”), such Investor shall have the right to require the enjoyment of the same More Favorable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that such</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92" w:name="page393"/>
    <w:bookmarkEnd w:id="392"/>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600"/>
        <w:spacing w:after="0" w:line="235" w:lineRule="auto"/>
        <w:rPr>
          <w:sz w:val="20"/>
          <w:szCs w:val="20"/>
          <w:color w:val="auto"/>
        </w:rPr>
      </w:pPr>
      <w:r>
        <w:rPr>
          <w:rFonts w:ascii="Times New Roman" w:cs="Times New Roman" w:eastAsia="Times New Roman" w:hAnsi="Times New Roman"/>
          <w:sz w:val="20"/>
          <w:szCs w:val="20"/>
          <w:color w:val="auto"/>
        </w:rPr>
        <w:t>Investor agrees to assume obligations equivalent to those assumed by such New Shareholder (excluding the obligation to pay the Capital Increase Consideration at the higher unit price applicable to such New Shareholder). For the avoidance of doubt, if such Investor does not require the enjoyment of such More Favorable Rights, such Investor shall also have no obligation to assume the obligations of such New Shareholder. If an Investor requires the enjoyment of the aforementioned more favorable or preferential rights enjoyed by a New Shareholder, it shall not selectively enjoy only part of such New Shareholder’s rights but shall enjoy all of such New Shareholder’s equivalent rights and assume all of such New Shareholder’s equivalent obligations. The Company and its then shareholders shall provide all necessary cooperation, including but not limited to amending the relevant Transaction Documents, to enable the relevant Investor to enjoy the aforementioned more favorable or preferential rights. For the avoidance of doubt, the rights explicitly granted to each Investor in this Agreement shall not be subject to this section, and no Investor may claim to automatically enjoy any more favorable rights (if any) enjoyed by other Investors under the Transaction Documents.</w:t>
      </w:r>
    </w:p>
    <w:p>
      <w:pPr>
        <w:spacing w:after="0" w:line="165" w:lineRule="exact"/>
        <w:rPr>
          <w:sz w:val="20"/>
          <w:szCs w:val="20"/>
          <w:color w:val="auto"/>
        </w:rPr>
      </w:pPr>
    </w:p>
    <w:p>
      <w:pPr>
        <w:ind w:left="3820" w:hanging="598"/>
        <w:spacing w:after="0"/>
        <w:tabs>
          <w:tab w:leader="none" w:pos="3820" w:val="left"/>
        </w:tabs>
        <w:numPr>
          <w:ilvl w:val="0"/>
          <w:numId w:val="2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DEFAULT AND TERMINATION</w:t>
      </w:r>
    </w:p>
    <w:p>
      <w:pPr>
        <w:spacing w:after="0" w:line="19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color w:val="auto"/>
        </w:rPr>
        <w:t>Liability for Breach of Contract</w:t>
      </w:r>
    </w:p>
    <w:p>
      <w:pPr>
        <w:spacing w:after="0" w:line="191" w:lineRule="exact"/>
        <w:rPr>
          <w:sz w:val="20"/>
          <w:szCs w:val="20"/>
          <w:color w:val="auto"/>
        </w:rPr>
      </w:pPr>
    </w:p>
    <w:p>
      <w:pPr>
        <w:jc w:val="both"/>
        <w:ind w:left="600"/>
        <w:spacing w:after="0" w:line="239" w:lineRule="auto"/>
        <w:rPr>
          <w:sz w:val="20"/>
          <w:szCs w:val="20"/>
          <w:color w:val="auto"/>
        </w:rPr>
      </w:pPr>
      <w:r>
        <w:rPr>
          <w:rFonts w:ascii="Times New Roman" w:cs="Times New Roman" w:eastAsia="Times New Roman" w:hAnsi="Times New Roman"/>
          <w:sz w:val="20"/>
          <w:szCs w:val="20"/>
          <w:color w:val="auto"/>
        </w:rPr>
        <w:t>If a party (the “Breaching Party”) fails to perform any of its obligations under this Agreement in accordance with the provisions hereof, causing the other party or parties to this Agreement (the “Aggrieved Party” or “Aggrieved Parties”) to incur any losses, damages, taxes, liabilities, claims, and reasonable expenses and costs (collectively, “Losses”), the Breaching Party shall compensate the Aggrieved Party(ies) for such Losses and shall take corresponding measures to indemnify the Aggrieved Party(ies) against any further damages.</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Termination</w:t>
      </w:r>
    </w:p>
    <w:p>
      <w:pPr>
        <w:spacing w:after="0" w:line="191" w:lineRule="exact"/>
        <w:rPr>
          <w:sz w:val="20"/>
          <w:szCs w:val="20"/>
          <w:color w:val="auto"/>
        </w:rPr>
      </w:pPr>
    </w:p>
    <w:p>
      <w:pPr>
        <w:jc w:val="both"/>
        <w:ind w:left="600"/>
        <w:spacing w:after="0" w:line="262" w:lineRule="auto"/>
        <w:rPr>
          <w:sz w:val="20"/>
          <w:szCs w:val="20"/>
          <w:color w:val="auto"/>
        </w:rPr>
      </w:pPr>
      <w:r>
        <w:rPr>
          <w:rFonts w:ascii="Times New Roman" w:cs="Times New Roman" w:eastAsia="Times New Roman" w:hAnsi="Times New Roman"/>
          <w:sz w:val="20"/>
          <w:szCs w:val="20"/>
          <w:color w:val="auto"/>
        </w:rPr>
        <w:t>This Agreement may be terminated by a written agreement of all parties, which shall specify the effective time of termination.</w:t>
      </w:r>
    </w:p>
    <w:p>
      <w:pPr>
        <w:spacing w:after="0" w:line="1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Survival</w:t>
      </w:r>
    </w:p>
    <w:p>
      <w:pPr>
        <w:spacing w:after="0" w:line="191" w:lineRule="exact"/>
        <w:rPr>
          <w:sz w:val="20"/>
          <w:szCs w:val="20"/>
          <w:color w:val="auto"/>
        </w:rPr>
      </w:pPr>
    </w:p>
    <w:p>
      <w:pPr>
        <w:jc w:val="both"/>
        <w:ind w:left="600"/>
        <w:spacing w:after="0" w:line="262" w:lineRule="auto"/>
        <w:rPr>
          <w:sz w:val="20"/>
          <w:szCs w:val="20"/>
          <w:color w:val="auto"/>
        </w:rPr>
      </w:pPr>
      <w:r>
        <w:rPr>
          <w:rFonts w:ascii="Times New Roman" w:cs="Times New Roman" w:eastAsia="Times New Roman" w:hAnsi="Times New Roman"/>
          <w:sz w:val="20"/>
          <w:szCs w:val="20"/>
          <w:color w:val="auto"/>
        </w:rPr>
        <w:t>The provisions agreed upon by the parties in Sections 6, 7, and 9.1 shall survive the termination of this Agreement. Termination of this Agreement shall not affect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93" w:name="page394"/>
    <w:bookmarkEnd w:id="393"/>
    <w:p>
      <w:pPr>
        <w:ind w:left="3200"/>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any liability of any party for breach of this Agreement prior to such termination.</w:t>
      </w:r>
    </w:p>
    <w:p>
      <w:pPr>
        <w:spacing w:after="0" w:line="187" w:lineRule="exact"/>
        <w:rPr>
          <w:sz w:val="20"/>
          <w:szCs w:val="20"/>
          <w:color w:val="auto"/>
        </w:rPr>
      </w:pPr>
    </w:p>
    <w:p>
      <w:pPr>
        <w:ind w:left="3020" w:hanging="603"/>
        <w:spacing w:after="0"/>
        <w:tabs>
          <w:tab w:leader="none" w:pos="3020"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DISPUTE RESOLUTION</w:t>
      </w:r>
    </w:p>
    <w:p>
      <w:pPr>
        <w:spacing w:after="0" w:line="19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Governing Law</w:t>
      </w:r>
    </w:p>
    <w:p>
      <w:pPr>
        <w:spacing w:after="0" w:line="191" w:lineRule="exact"/>
        <w:rPr>
          <w:sz w:val="20"/>
          <w:szCs w:val="20"/>
          <w:color w:val="auto"/>
        </w:rPr>
      </w:pPr>
    </w:p>
    <w:p>
      <w:pPr>
        <w:jc w:val="both"/>
        <w:ind w:left="600"/>
        <w:spacing w:after="0" w:line="262" w:lineRule="auto"/>
        <w:rPr>
          <w:sz w:val="20"/>
          <w:szCs w:val="20"/>
          <w:color w:val="auto"/>
        </w:rPr>
      </w:pPr>
      <w:r>
        <w:rPr>
          <w:rFonts w:ascii="Times New Roman" w:cs="Times New Roman" w:eastAsia="Times New Roman" w:hAnsi="Times New Roman"/>
          <w:sz w:val="20"/>
          <w:szCs w:val="20"/>
          <w:color w:val="auto"/>
        </w:rPr>
        <w:t>This Agreement shall be governed by the Laws of China (for the purpose of this Agreement, excluding the Laws of the Hong Kong Special Administrative Region, the Macao Special Administrative Region, and Taiwan).</w:t>
      </w:r>
    </w:p>
    <w:p>
      <w:pPr>
        <w:spacing w:after="0" w:line="1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Arbitration</w:t>
      </w:r>
    </w:p>
    <w:p>
      <w:pPr>
        <w:spacing w:after="0" w:line="191"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Any dispute arising from or in connection with this Agreement shall be submitted to Hefei Arbitration Commission for arbitration. The seat of arbitration shall be Hefei. The arbitral award shall be final and binding upon all Parties. The arbitration fees shall be borne by the losing party.</w:t>
      </w:r>
    </w:p>
    <w:p>
      <w:pPr>
        <w:spacing w:after="0" w:line="152" w:lineRule="exact"/>
        <w:rPr>
          <w:sz w:val="20"/>
          <w:szCs w:val="20"/>
          <w:color w:val="auto"/>
        </w:rPr>
      </w:pPr>
    </w:p>
    <w:p>
      <w:pPr>
        <w:ind w:left="4400" w:hanging="594"/>
        <w:spacing w:after="0"/>
        <w:tabs>
          <w:tab w:leader="none" w:pos="4400" w:val="left"/>
        </w:tabs>
        <w:numPr>
          <w:ilvl w:val="0"/>
          <w:numId w:val="2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FORCE MAJEURE</w:t>
      </w:r>
    </w:p>
    <w:p>
      <w:pPr>
        <w:spacing w:after="0" w:line="19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color w:val="auto"/>
        </w:rPr>
        <w:t>Force Majeure Event</w:t>
      </w:r>
    </w:p>
    <w:p>
      <w:pPr>
        <w:spacing w:after="0" w:line="191" w:lineRule="exact"/>
        <w:rPr>
          <w:sz w:val="20"/>
          <w:szCs w:val="20"/>
          <w:color w:val="auto"/>
        </w:rPr>
      </w:pPr>
    </w:p>
    <w:p>
      <w:pPr>
        <w:jc w:val="both"/>
        <w:ind w:left="600"/>
        <w:spacing w:after="0" w:line="238" w:lineRule="auto"/>
        <w:rPr>
          <w:sz w:val="20"/>
          <w:szCs w:val="20"/>
          <w:color w:val="auto"/>
        </w:rPr>
      </w:pPr>
      <w:r>
        <w:rPr>
          <w:rFonts w:ascii="Times New Roman" w:cs="Times New Roman" w:eastAsia="Times New Roman" w:hAnsi="Times New Roman"/>
          <w:sz w:val="20"/>
          <w:szCs w:val="20"/>
          <w:color w:val="auto"/>
        </w:rPr>
        <w:t>A Force Majeure Event means any act or event that is unforeseeable, unavoidable within a reasonable scope, and beyond the control of the affected party, including but not limited to earthquakes, typhoons, floods, tsunamis, lightning, fires, plagues, epidemics, wars, terrorism, hostile acts, riots, strikes, traffic interruptions, suspension of major services, severe deterioration of economic conditions, or any other unforeseeable or unavoidable acts or events generally recognized as force majeure under international business practices (any of the foregoing being a “</w:t>
      </w:r>
      <w:r>
        <w:rPr>
          <w:rFonts w:ascii="Times New Roman" w:cs="Times New Roman" w:eastAsia="Times New Roman" w:hAnsi="Times New Roman"/>
          <w:sz w:val="20"/>
          <w:szCs w:val="20"/>
          <w:b w:val="1"/>
          <w:bCs w:val="1"/>
          <w:color w:val="auto"/>
        </w:rPr>
        <w:t>Force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Majeure Event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color w:val="auto"/>
        </w:rPr>
        <w:t>Occurrence of a Force Majeure Event</w:t>
      </w:r>
    </w:p>
    <w:p>
      <w:pPr>
        <w:spacing w:after="0" w:line="191" w:lineRule="exact"/>
        <w:rPr>
          <w:sz w:val="20"/>
          <w:szCs w:val="20"/>
          <w:color w:val="auto"/>
        </w:rPr>
      </w:pPr>
    </w:p>
    <w:p>
      <w:pPr>
        <w:jc w:val="both"/>
        <w:ind w:left="600"/>
        <w:spacing w:after="0" w:line="238" w:lineRule="auto"/>
        <w:rPr>
          <w:sz w:val="20"/>
          <w:szCs w:val="20"/>
          <w:color w:val="auto"/>
        </w:rPr>
      </w:pPr>
      <w:r>
        <w:rPr>
          <w:rFonts w:ascii="Times New Roman" w:cs="Times New Roman" w:eastAsia="Times New Roman" w:hAnsi="Times New Roman"/>
          <w:sz w:val="20"/>
          <w:szCs w:val="20"/>
          <w:color w:val="auto"/>
        </w:rPr>
        <w:t>If a Party is delayed in performing or is unable to fully perform its obligations under this Agreement due to the occurrence of a Force Majeure Event, such Party shall not be deemed in breach of this Agreement; provided that such Party shall, immediately upon becoming aware of the impact of the Force Majeure Event, notify the other Parties of such Force Majeure Event, and within thirty (30) days after notifying the other Parties, provide details of the event, the reasons for its inability to fully perform or delay in performing this Agreement, and the remedial measures it has taken or will take. The Parties shall jointly discuss and decide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94" w:name="page395"/>
    <w:bookmarkEnd w:id="394"/>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600"/>
        <w:spacing w:after="0" w:line="262" w:lineRule="auto"/>
        <w:rPr>
          <w:sz w:val="20"/>
          <w:szCs w:val="20"/>
          <w:color w:val="auto"/>
        </w:rPr>
      </w:pPr>
      <w:r>
        <w:rPr>
          <w:rFonts w:ascii="Times New Roman" w:cs="Times New Roman" w:eastAsia="Times New Roman" w:hAnsi="Times New Roman"/>
          <w:sz w:val="20"/>
          <w:szCs w:val="20"/>
          <w:color w:val="auto"/>
        </w:rPr>
        <w:t>whether it is necessary to terminate or amend this Agreement based on the extent of the impact of such Force Majeure Event on the performance of this Agreement.</w:t>
      </w:r>
    </w:p>
    <w:p>
      <w:pPr>
        <w:spacing w:after="0" w:line="1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color w:val="auto"/>
        </w:rPr>
        <w:t>Exemption from Liability</w:t>
      </w:r>
    </w:p>
    <w:p>
      <w:pPr>
        <w:spacing w:after="0" w:line="191" w:lineRule="exact"/>
        <w:rPr>
          <w:sz w:val="20"/>
          <w:szCs w:val="20"/>
          <w:color w:val="auto"/>
        </w:rPr>
      </w:pPr>
    </w:p>
    <w:p>
      <w:pPr>
        <w:jc w:val="both"/>
        <w:ind w:left="600"/>
        <w:spacing w:after="0" w:line="238" w:lineRule="auto"/>
        <w:rPr>
          <w:sz w:val="20"/>
          <w:szCs w:val="20"/>
          <w:color w:val="auto"/>
        </w:rPr>
      </w:pPr>
      <w:r>
        <w:rPr>
          <w:rFonts w:ascii="Times New Roman" w:cs="Times New Roman" w:eastAsia="Times New Roman" w:hAnsi="Times New Roman"/>
          <w:sz w:val="20"/>
          <w:szCs w:val="20"/>
          <w:color w:val="auto"/>
        </w:rPr>
        <w:t>If a Force Majeure Event occurs, to the extent affected by the Force Majeure Event, no Party shall be liable for any damages, increased costs, or losses that the other Party may suffer due to the failure or delay in performing any of its obligations under this Agreement, and such failure or delay shall not be deemed a breach of this Agreement. The Party claiming the occurrence of a Force Majeure Event shall take appropriate measures to reduce or eliminate the effects of the Force Majeure Event and shall endeavor to resume performance of the obligations affected by the Force Majeure Event within the shortest possible time.</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color w:val="auto"/>
        </w:rPr>
        <w:t>Suspension of Performance</w:t>
      </w:r>
    </w:p>
    <w:p>
      <w:pPr>
        <w:spacing w:after="0" w:line="191" w:lineRule="exact"/>
        <w:rPr>
          <w:sz w:val="20"/>
          <w:szCs w:val="20"/>
          <w:color w:val="auto"/>
        </w:rPr>
      </w:pPr>
    </w:p>
    <w:p>
      <w:pPr>
        <w:jc w:val="both"/>
        <w:ind w:left="600"/>
        <w:spacing w:after="0" w:line="242" w:lineRule="auto"/>
        <w:rPr>
          <w:sz w:val="20"/>
          <w:szCs w:val="20"/>
          <w:color w:val="auto"/>
        </w:rPr>
      </w:pPr>
      <w:r>
        <w:rPr>
          <w:rFonts w:ascii="Times New Roman" w:cs="Times New Roman" w:eastAsia="Times New Roman" w:hAnsi="Times New Roman"/>
          <w:sz w:val="20"/>
          <w:szCs w:val="20"/>
          <w:color w:val="auto"/>
        </w:rPr>
        <w:t>The Party affected by a Force Majeure Event shall promptly notify the other parties of the suspension of performance of this Agreement, specifying the nature and cause of the suspension, the remedial measures it has taken or will take, and the expected duration of the suspension. The affected Party shall resume performance of this Agreement as soon as reasonably possible.</w:t>
      </w:r>
    </w:p>
    <w:p>
      <w:pPr>
        <w:spacing w:after="0" w:line="158" w:lineRule="exact"/>
        <w:rPr>
          <w:sz w:val="20"/>
          <w:szCs w:val="20"/>
          <w:color w:val="auto"/>
        </w:rPr>
      </w:pPr>
    </w:p>
    <w:p>
      <w:pPr>
        <w:ind w:left="4400" w:hanging="602"/>
        <w:spacing w:after="0"/>
        <w:tabs>
          <w:tab w:leader="none" w:pos="4400" w:val="left"/>
        </w:tabs>
        <w:numPr>
          <w:ilvl w:val="0"/>
          <w:numId w:val="2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19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Confidentiality</w:t>
      </w:r>
    </w:p>
    <w:p>
      <w:pPr>
        <w:spacing w:after="0" w:line="191" w:lineRule="exact"/>
        <w:rPr>
          <w:sz w:val="20"/>
          <w:szCs w:val="20"/>
          <w:color w:val="auto"/>
        </w:rPr>
      </w:pPr>
    </w:p>
    <w:p>
      <w:pPr>
        <w:jc w:val="both"/>
        <w:ind w:left="600" w:hanging="600"/>
        <w:spacing w:after="0" w:line="250" w:lineRule="auto"/>
        <w:tabs>
          <w:tab w:leader="none" w:pos="600"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the prior written consent of the relevant Party, the other parties shall not disclose Confidential Information to any third party other than their Affiliates, superior regulatory authorities, and engaged professional agencies. Furthermore, each Party shall ensure that its respective shareholders, investors, partners, fund management companies, investment banks, lenders, accountants, bona fide prospective investors, directors, officers, employees, agents, consultants, professional advisors, and Affiliates, as well as the respective shareholders, investors, partners, fund management companies, investment banks, lenders, accountants, bona fide prospective investors, directors, officers, employees, agents, consultants, and professional advisors of each such Affiliate (collectively, “</w:t>
      </w:r>
      <w:r>
        <w:rPr>
          <w:rFonts w:ascii="Times New Roman" w:cs="Times New Roman" w:eastAsia="Times New Roman" w:hAnsi="Times New Roman"/>
          <w:sz w:val="19"/>
          <w:szCs w:val="19"/>
          <w:b w:val="1"/>
          <w:bCs w:val="1"/>
          <w:color w:val="auto"/>
        </w:rPr>
        <w:t>Representatives</w:t>
      </w:r>
      <w:r>
        <w:rPr>
          <w:rFonts w:ascii="Times New Roman" w:cs="Times New Roman" w:eastAsia="Times New Roman" w:hAnsi="Times New Roman"/>
          <w:sz w:val="19"/>
          <w:szCs w:val="19"/>
          <w:color w:val="auto"/>
        </w:rPr>
        <w:t>”), also comply with the foregoing provision.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as used in this Agreement refers to: (i) any confidential or proprietary information provided by the Company Parties regarding their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95" w:name="page396"/>
    <w:bookmarkEnd w:id="395"/>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600"/>
        <w:spacing w:after="0" w:line="237" w:lineRule="auto"/>
        <w:rPr>
          <w:sz w:val="20"/>
          <w:szCs w:val="20"/>
          <w:color w:val="auto"/>
        </w:rPr>
      </w:pPr>
      <w:r>
        <w:rPr>
          <w:rFonts w:ascii="Times New Roman" w:cs="Times New Roman" w:eastAsia="Times New Roman" w:hAnsi="Times New Roman"/>
          <w:sz w:val="20"/>
          <w:szCs w:val="20"/>
          <w:color w:val="auto"/>
        </w:rPr>
        <w:t>organization, business, technology, finance, customers, suppliers, transactions, or affairs, or information of their respective directors, officers, or employees (regardless of whether such information is provided in writing, orally, or otherwise before, on, or after the date of this Agreement); (ii) all materials related to the Transaction, including the terms of the Transaction Documents, discussions between the Investors and the Company Parties regarding the Transaction, the existence of the Transaction, and the identities of each party and their respective Affiliates; and (iii) information or materials prepared by a party or its Representatives that contain, reflect, or are derived from Confidential Information.</w:t>
      </w:r>
    </w:p>
    <w:p>
      <w:pPr>
        <w:spacing w:after="0" w:line="168" w:lineRule="exact"/>
        <w:rPr>
          <w:sz w:val="20"/>
          <w:szCs w:val="20"/>
          <w:color w:val="auto"/>
        </w:rPr>
      </w:pPr>
    </w:p>
    <w:p>
      <w:pPr>
        <w:ind w:left="600" w:hanging="600"/>
        <w:spacing w:after="0"/>
        <w:tabs>
          <w:tab w:leader="none" w:pos="6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Exceptions to Confidentiality</w:t>
      </w:r>
    </w:p>
    <w:p>
      <w:pPr>
        <w:spacing w:after="0" w:line="190"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Section 9.1(1) above shall not apply to the following circumstances:</w:t>
      </w:r>
    </w:p>
    <w:p>
      <w:pPr>
        <w:spacing w:after="0" w:line="190"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Confidential Information has become generally available to or known by the public, other than as a result of a disclosure by a party or its Representatives in violation of this Agreement;</w:t>
      </w:r>
    </w:p>
    <w:p>
      <w:pPr>
        <w:spacing w:after="0" w:line="141" w:lineRule="exact"/>
        <w:rPr>
          <w:rFonts w:ascii="Times New Roman" w:cs="Times New Roman" w:eastAsia="Times New Roman" w:hAnsi="Times New Roman"/>
          <w:sz w:val="20"/>
          <w:szCs w:val="20"/>
          <w:color w:val="auto"/>
        </w:rPr>
      </w:pPr>
    </w:p>
    <w:p>
      <w:pPr>
        <w:jc w:val="both"/>
        <w:ind w:left="1180" w:hanging="586"/>
        <w:spacing w:after="0" w:line="247" w:lineRule="auto"/>
        <w:tabs>
          <w:tab w:leader="none" w:pos="1180"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disclosure of Confidential Information by a party to its Representatives, provided that such Representatives are (i) subject to similar confidentiality obligations, or (ii) otherwise bound by binding professional confidentiality obligations;</w:t>
      </w:r>
    </w:p>
    <w:p>
      <w:pPr>
        <w:spacing w:after="0" w:line="156"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information was already known by a party or its Representatives prior to its receipt from the other parties;</w:t>
      </w:r>
    </w:p>
    <w:p>
      <w:pPr>
        <w:spacing w:after="0" w:line="141" w:lineRule="exact"/>
        <w:rPr>
          <w:rFonts w:ascii="Times New Roman" w:cs="Times New Roman" w:eastAsia="Times New Roman" w:hAnsi="Times New Roman"/>
          <w:sz w:val="20"/>
          <w:szCs w:val="20"/>
          <w:color w:val="auto"/>
        </w:rPr>
      </w:pPr>
    </w:p>
    <w:p>
      <w:pPr>
        <w:ind w:left="1180" w:hanging="586"/>
        <w:spacing w:after="0" w:line="262" w:lineRule="auto"/>
        <w:tabs>
          <w:tab w:leader="none" w:pos="1180"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information was received by a party or its Representatives from a third party on a non-confidential basis; or</w:t>
      </w:r>
    </w:p>
    <w:p>
      <w:pPr>
        <w:spacing w:after="0" w:line="141" w:lineRule="exact"/>
        <w:rPr>
          <w:rFonts w:ascii="Times New Roman" w:cs="Times New Roman" w:eastAsia="Times New Roman" w:hAnsi="Times New Roman"/>
          <w:sz w:val="20"/>
          <w:szCs w:val="20"/>
          <w:color w:val="auto"/>
        </w:rPr>
      </w:pPr>
    </w:p>
    <w:p>
      <w:pPr>
        <w:jc w:val="both"/>
        <w:ind w:left="1180" w:hanging="586"/>
        <w:spacing w:after="0" w:line="239" w:lineRule="auto"/>
        <w:tabs>
          <w:tab w:leader="none" w:pos="1180"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disclosure is required by securities exchange rules, Applicable Laws, or the rules and regulations of any court, governmental agency, competent authority, or any organization or entity, or is required in connection with any litigation or legal proceedings arising out of or in connection with the Transaction Documents; provided, however, that such party shall, to the extent circumstances permit, provide notice to the other parties and comply with feasible confidentiality arrangements.</w:t>
      </w:r>
    </w:p>
    <w:p>
      <w:pPr>
        <w:spacing w:after="0" w:line="167" w:lineRule="exact"/>
        <w:rPr>
          <w:sz w:val="20"/>
          <w:szCs w:val="20"/>
          <w:color w:val="auto"/>
        </w:rPr>
      </w:pPr>
    </w:p>
    <w:p>
      <w:pPr>
        <w:ind w:left="600"/>
        <w:spacing w:after="0" w:line="262" w:lineRule="auto"/>
        <w:rPr>
          <w:sz w:val="20"/>
          <w:szCs w:val="20"/>
          <w:color w:val="auto"/>
        </w:rPr>
      </w:pPr>
      <w:r>
        <w:rPr>
          <w:rFonts w:ascii="Times New Roman" w:cs="Times New Roman" w:eastAsia="Times New Roman" w:hAnsi="Times New Roman"/>
          <w:sz w:val="20"/>
          <w:szCs w:val="20"/>
          <w:color w:val="auto"/>
        </w:rPr>
        <w:t>If disclosure of Confidential Information is required by law, the party required to make such disclosure shall, within a reasonable time prior to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396" w:name="page397"/>
    <w:bookmarkEnd w:id="396"/>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600"/>
        <w:spacing w:after="0" w:line="242" w:lineRule="auto"/>
        <w:rPr>
          <w:sz w:val="20"/>
          <w:szCs w:val="20"/>
          <w:color w:val="auto"/>
        </w:rPr>
      </w:pPr>
      <w:r>
        <w:rPr>
          <w:rFonts w:ascii="Times New Roman" w:cs="Times New Roman" w:eastAsia="Times New Roman" w:hAnsi="Times New Roman"/>
          <w:sz w:val="20"/>
          <w:szCs w:val="20"/>
          <w:color w:val="auto"/>
        </w:rPr>
        <w:t>disclosure or submission, consult with the other parties regarding such disclosure or submission. Furthermore, at the request of the other parties, the disclosing party shall, to the extent possible, seek confidential treatment for the disclosed or submitted information and use its best efforts to redact or otherwise protect the confidentiality of such information.</w:t>
      </w:r>
    </w:p>
    <w:p>
      <w:pPr>
        <w:spacing w:after="0" w:line="16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color w:val="auto"/>
        </w:rPr>
        <w:t>Notices and Delivery</w:t>
      </w:r>
    </w:p>
    <w:p>
      <w:pPr>
        <w:spacing w:after="0" w:line="191"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Notices, demands, or other communications under this Agreement shall be in writing and shall be delivered or sent to the following address or email address of the relevant Party (or such other address or email address as the receiving Party may notify the other Parties in writing ten (10) days in advance).</w:t>
      </w:r>
    </w:p>
    <w:p>
      <w:pPr>
        <w:sectPr>
          <w:pgSz w:w="11900" w:h="16838" w:orient="portrait"/>
          <w:cols w:equalWidth="0" w:num="1">
            <w:col w:w="9920"/>
          </w:cols>
          <w:pgMar w:left="980" w:top="609" w:right="99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​​​GeniTech Co., Ltd.</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ZHANG Danyu</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ectPr>
          <w:pgSz w:w="11900" w:h="16838" w:orient="portrait"/>
          <w:cols w:equalWidth="0" w:num="2">
            <w:col w:w="1000" w:space="720"/>
            <w:col w:w="8200"/>
          </w:cols>
          <w:pgMar w:left="980" w:top="609" w:right="999" w:bottom="1440" w:gutter="0" w:footer="0" w:header="0"/>
          <w:type w:val="continuous"/>
        </w:sectPr>
      </w:pPr>
    </w:p>
    <w:p>
      <w:pPr>
        <w:spacing w:after="0" w:line="3"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b w:val="1"/>
          <w:bCs w:val="1"/>
          <w:color w:val="auto"/>
        </w:rPr>
        <w:t>NIO</w:t>
      </w:r>
      <w:r>
        <w:rPr>
          <w:rFonts w:ascii="SimSun" w:cs="SimSun" w:eastAsia="SimSun" w:hAnsi="SimSu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-85725</wp:posOffset>
            </wp:positionV>
            <wp:extent cx="41275" cy="825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3">
                      <a:extLst>
                        <a:ext uri="{28A0092B-C50C-407E-A947-70E740481C1C}"/>
                      </a:extLst>
                    </a:blip>
                    <a:srcRect/>
                    <a:stretch>
                      <a:fillRect/>
                    </a:stretch>
                  </pic:blipFill>
                  <pic:spPr bwMode="auto">
                    <a:xfrm>
                      <a:off x="0" y="0"/>
                      <a:ext cx="41275" cy="825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Department of NIO Group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ectPr>
          <w:pgSz w:w="11900" w:h="16838" w:orient="portrait"/>
          <w:cols w:equalWidth="0" w:num="2">
            <w:col w:w="1140" w:space="720"/>
            <w:col w:w="8060"/>
          </w:cols>
          <w:pgMar w:left="980" w:top="609"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Controlling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NIO Technology (Anhui) Co., Ltd.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BAI Jian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ectPr>
          <w:pgSz w:w="11900" w:h="16838" w:orient="portrait"/>
          <w:cols w:equalWidth="0" w:num="2">
            <w:col w:w="1140" w:space="720"/>
            <w:col w:w="8060"/>
          </w:cols>
          <w:pgMar w:left="980" w:top="609"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Employee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Platforms: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YIN Wu</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ectPr>
          <w:pgSz w:w="11900" w:h="16838" w:orient="portrait"/>
          <w:cols w:equalWidth="0" w:num="2">
            <w:col w:w="1140" w:space="720"/>
            <w:col w:w="8060"/>
          </w:cols>
          <w:pgMar w:left="980" w:top="609"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type w:val="continuous"/>
        </w:sectPr>
      </w:pPr>
    </w:p>
    <w:bookmarkStart w:id="397" w:name="page398"/>
    <w:bookmarkEnd w:id="397"/>
    <w:p>
      <w:pPr>
        <w:jc w:val="right"/>
        <w:ind w:right="2739"/>
        <w:spacing w:after="0"/>
        <w:rPr>
          <w:sz w:val="20"/>
          <w:szCs w:val="20"/>
          <w:color w:val="auto"/>
        </w:rPr>
      </w:pPr>
      <w:r>
        <w:rPr>
          <w:rFonts w:ascii="Times New Roman" w:cs="Times New Roman" w:eastAsia="Times New Roman" w:hAnsi="Times New Roman"/>
          <w:sz w:val="19"/>
          <w:szCs w:val="19"/>
          <w:color w:val="auto"/>
        </w:rPr>
        <w:t>GeniTech Co., Ltd. Shareholders Agreement</w:t>
      </w:r>
    </w:p>
    <w:p>
      <w:pPr>
        <w:sectPr>
          <w:pgSz w:w="11900" w:h="16838" w:orient="portrait"/>
          <w:cols w:equalWidth="0" w:num="1">
            <w:col w:w="9479"/>
          </w:cols>
          <w:pgMar w:left="980" w:top="609" w:right="1440"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Industry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ectPr>
          <w:pgSz w:w="11900" w:h="16838" w:orient="portrait"/>
          <w:cols w:equalWidth="0" w:num="2">
            <w:col w:w="1360" w:space="360"/>
            <w:col w:w="7759"/>
          </w:cols>
          <w:pgMar w:left="980" w:top="60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Fund:</w:t>
      </w:r>
    </w:p>
    <w:p>
      <w:pPr>
        <w:sectPr>
          <w:pgSz w:w="11900" w:h="16838" w:orient="portrait"/>
          <w:cols w:equalWidth="0" w:num="1">
            <w:col w:w="9479"/>
          </w:cols>
          <w:pgMar w:left="980" w:top="609"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LIU Yaqin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ectPr>
          <w:pgSz w:w="11900" w:h="16838" w:orient="portrait"/>
          <w:cols w:equalWidth="0" w:num="2">
            <w:col w:w="1140" w:space="720"/>
            <w:col w:w="7619"/>
          </w:cols>
          <w:pgMar w:left="980" w:top="60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Hefei Haiheng: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XU Meng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ectPr>
          <w:pgSz w:w="11900" w:h="16838" w:orient="portrait"/>
          <w:cols w:equalWidth="0" w:num="2">
            <w:col w:w="1140" w:space="720"/>
            <w:col w:w="7619"/>
          </w:cols>
          <w:pgMar w:left="980" w:top="60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Harmonious Fund: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 Jing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ectPr>
          <w:pgSz w:w="11900" w:h="16838" w:orient="portrait"/>
          <w:cols w:equalWidth="0" w:num="2">
            <w:col w:w="1360" w:space="500"/>
            <w:col w:w="7619"/>
          </w:cols>
          <w:pgMar w:left="980" w:top="60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OmniVision Group:</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XU Xing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ectPr>
          <w:pgSz w:w="11900" w:h="16838" w:orient="portrait"/>
          <w:cols w:equalWidth="0" w:num="2">
            <w:col w:w="1400" w:space="460"/>
            <w:col w:w="7619"/>
          </w:cols>
          <w:pgMar w:left="980" w:top="609" w:right="1440" w:bottom="1440" w:gutter="0" w:footer="0" w:header="0"/>
          <w:type w:val="continuous"/>
        </w:sectPr>
      </w:pPr>
    </w:p>
    <w:p>
      <w:pPr>
        <w:spacing w:after="0" w:line="3"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b w:val="1"/>
          <w:bCs w:val="1"/>
          <w:color w:val="auto"/>
          <w:w w:val="99"/>
        </w:rPr>
        <w:t>Shanghai Keshi</w:t>
      </w:r>
      <w:r>
        <w:rPr>
          <w:rFonts w:ascii="SimSun" w:cs="SimSun" w:eastAsia="SimSun" w:hAnsi="SimSun"/>
          <w:sz w:val="16"/>
          <w:szCs w:val="16"/>
          <w:color w:val="auto"/>
          <w:w w:val="9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-85725</wp:posOffset>
            </wp:positionV>
            <wp:extent cx="41275" cy="825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5">
                      <a:extLst>
                        <a:ext uri="{28A0092B-C50C-407E-A947-70E740481C1C}"/>
                      </a:extLst>
                    </a:blip>
                    <a:srcRect/>
                    <a:stretch>
                      <a:fillRect/>
                    </a:stretch>
                  </pic:blipFill>
                  <pic:spPr bwMode="auto">
                    <a:xfrm>
                      <a:off x="0" y="0"/>
                      <a:ext cx="41275" cy="825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GUO Kun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ectPr>
          <w:pgSz w:w="11900" w:h="16838" w:orient="portrait"/>
          <w:cols w:equalWidth="0" w:num="2">
            <w:col w:w="1280" w:space="580"/>
            <w:col w:w="7619"/>
          </w:cols>
          <w:pgMar w:left="980" w:top="60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Zhongxin Juyuan: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 Qiangqiang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ectPr>
          <w:pgSz w:w="11900" w:h="16838" w:orient="portrait"/>
          <w:cols w:equalWidth="0" w:num="2">
            <w:col w:w="1300" w:space="560"/>
            <w:col w:w="7619"/>
          </w:cols>
          <w:pgMar w:left="980" w:top="609" w:right="1440" w:bottom="1440" w:gutter="0" w:footer="0" w:header="0"/>
          <w:type w:val="continuous"/>
        </w:sectPr>
      </w:pPr>
    </w:p>
    <w:p>
      <w:pPr>
        <w:spacing w:after="0" w:line="3"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b w:val="1"/>
          <w:bCs w:val="1"/>
          <w:color w:val="auto"/>
          <w:w w:val="99"/>
        </w:rPr>
        <w:t>Anhui Guokong</w:t>
      </w:r>
      <w:r>
        <w:rPr>
          <w:rFonts w:ascii="SimSun" w:cs="SimSun" w:eastAsia="SimSun" w:hAnsi="SimSun"/>
          <w:sz w:val="16"/>
          <w:szCs w:val="16"/>
          <w:color w:val="auto"/>
          <w:w w:val="9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-85725</wp:posOffset>
            </wp:positionV>
            <wp:extent cx="41275" cy="825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6">
                      <a:extLst>
                        <a:ext uri="{28A0092B-C50C-407E-A947-70E740481C1C}"/>
                      </a:extLst>
                    </a:blip>
                    <a:srcRect/>
                    <a:stretch>
                      <a:fillRect/>
                    </a:stretch>
                  </pic:blipFill>
                  <pic:spPr bwMode="auto">
                    <a:xfrm>
                      <a:off x="0" y="0"/>
                      <a:ext cx="41275" cy="825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 Danyang</w:t>
      </w:r>
    </w:p>
    <w:p>
      <w:pPr>
        <w:spacing w:after="0" w:line="200" w:lineRule="exact"/>
        <w:rPr>
          <w:sz w:val="20"/>
          <w:szCs w:val="20"/>
          <w:color w:val="auto"/>
        </w:rPr>
      </w:pPr>
    </w:p>
    <w:p>
      <w:pPr>
        <w:sectPr>
          <w:pgSz w:w="11900" w:h="16838" w:orient="portrait"/>
          <w:cols w:equalWidth="0" w:num="2">
            <w:col w:w="1300" w:space="560"/>
            <w:col w:w="7619"/>
          </w:cols>
          <w:pgMar w:left="980" w:top="6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479"/>
          </w:cols>
          <w:pgMar w:left="980" w:top="609" w:right="1440" w:bottom="1440" w:gutter="0" w:footer="0" w:header="0"/>
          <w:type w:val="continuous"/>
        </w:sectPr>
      </w:pPr>
    </w:p>
    <w:bookmarkStart w:id="398" w:name="page399"/>
    <w:bookmarkEnd w:id="398"/>
    <w:p>
      <w:pPr>
        <w:jc w:val="center"/>
        <w:ind w:right="-19"/>
        <w:spacing w:after="0"/>
        <w:rPr>
          <w:sz w:val="20"/>
          <w:szCs w:val="20"/>
          <w:color w:val="auto"/>
        </w:rPr>
      </w:pPr>
      <w:r>
        <w:rPr>
          <w:rFonts w:ascii="Times New Roman" w:cs="Times New Roman" w:eastAsia="Times New Roman" w:hAnsi="Times New Roman"/>
          <w:sz w:val="19"/>
          <w:szCs w:val="19"/>
          <w:color w:val="auto"/>
        </w:rPr>
        <w:t>GeniTech Co., Ltd. Shareholders Agreement</w:t>
      </w:r>
    </w:p>
    <w:p>
      <w:pPr>
        <w:sectPr>
          <w:pgSz w:w="11900" w:h="16838" w:orient="portrait"/>
          <w:cols w:equalWidth="0" w:num="1">
            <w:col w:w="9920"/>
          </w:cols>
          <w:pgMar w:left="980" w:top="609" w:right="99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right"/>
        <w:ind w:right="7820"/>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jc w:val="right"/>
        <w:ind w:right="7820"/>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ectPr>
          <w:pgSz w:w="11900" w:h="16838" w:orient="portrait"/>
          <w:cols w:equalWidth="0" w:num="2">
            <w:col w:w="1000" w:space="720"/>
            <w:col w:w="8200"/>
          </w:cols>
          <w:pgMar w:left="980" w:top="609"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Yuanhe Puhua: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CAO Xianda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ectPr>
          <w:pgSz w:w="11900" w:h="16838" w:orient="portrait"/>
          <w:cols w:equalWidth="0" w:num="2">
            <w:col w:w="1140" w:space="720"/>
            <w:col w:w="8060"/>
          </w:cols>
          <w:pgMar w:left="980" w:top="609"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Hefei Weilai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LV Yuanxing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ectPr>
          <w:pgSz w:w="11900" w:h="16838" w:orient="portrait"/>
          <w:cols w:equalWidth="0" w:num="2">
            <w:col w:w="1140" w:space="720"/>
            <w:col w:w="8060"/>
          </w:cols>
          <w:pgMar w:left="980" w:top="609"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Jianxin Equity: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YANG Ming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ectPr>
          <w:pgSz w:w="11900" w:h="16838" w:orient="portrait"/>
          <w:cols w:equalWidth="0" w:num="2">
            <w:col w:w="1140" w:space="720"/>
            <w:col w:w="8060"/>
          </w:cols>
          <w:pgMar w:left="980" w:top="609"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Oriza Holdings: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Tang Bin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86" w:lineRule="exact"/>
        <w:rPr>
          <w:sz w:val="20"/>
          <w:szCs w:val="20"/>
          <w:color w:val="auto"/>
        </w:rPr>
      </w:pPr>
    </w:p>
    <w:p>
      <w:pPr>
        <w:sectPr>
          <w:pgSz w:w="11900" w:h="16838" w:orient="portrait"/>
          <w:cols w:equalWidth="0" w:num="2">
            <w:col w:w="1140" w:space="720"/>
            <w:col w:w="8060"/>
          </w:cols>
          <w:pgMar w:left="980" w:top="609" w:right="999" w:bottom="1440" w:gutter="0" w:footer="0" w:header="0"/>
          <w:type w:val="continuous"/>
        </w:sectPr>
      </w:pPr>
    </w:p>
    <w:p>
      <w:pPr>
        <w:jc w:val="both"/>
        <w:spacing w:after="0" w:line="252" w:lineRule="auto"/>
        <w:rPr>
          <w:sz w:val="20"/>
          <w:szCs w:val="20"/>
          <w:color w:val="auto"/>
        </w:rPr>
      </w:pPr>
      <w:r>
        <w:rPr>
          <w:rFonts w:ascii="Times New Roman" w:cs="Times New Roman" w:eastAsia="Times New Roman" w:hAnsi="Times New Roman"/>
          <w:sz w:val="19"/>
          <w:szCs w:val="19"/>
          <w:color w:val="auto"/>
        </w:rPr>
        <w:t>Each notice, demand, or other communication given or served in accordance with the provisions of this Clause 9.2 shall be deemed to have been duly served: (i) if sent by registered or certified mail, on the third (3rd) Business Day after the date when the relevant notice, demand, or communication addressed to the receiving Party at the above-mentioned address is deposited in the mail and a receipt therefor is obtained from the post office; (ii) if sent by courier or delivered by hand, at the time when the relevant notice, demand, or communication is delivered to the above-mentioned address of the receiving Party; and (iii) if sent by email, at the time when the relevant notice, demand, or communication is transmitted to the above-mentioned email address of the receiving Party (provided that the sender does not receive a notification of failed delivery).</w:t>
      </w:r>
    </w:p>
    <w:p>
      <w:pPr>
        <w:spacing w:after="0" w:line="1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color w:val="auto"/>
        </w:rPr>
        <w:t>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type w:val="continuous"/>
        </w:sectPr>
      </w:pPr>
    </w:p>
    <w:bookmarkStart w:id="399" w:name="page400"/>
    <w:bookmarkEnd w:id="399"/>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600"/>
        <w:spacing w:after="0" w:line="242" w:lineRule="auto"/>
        <w:rPr>
          <w:sz w:val="20"/>
          <w:szCs w:val="20"/>
          <w:color w:val="auto"/>
        </w:rPr>
      </w:pPr>
      <w:r>
        <w:rPr>
          <w:rFonts w:ascii="Times New Roman" w:cs="Times New Roman" w:eastAsia="Times New Roman" w:hAnsi="Times New Roman"/>
          <w:sz w:val="20"/>
          <w:szCs w:val="20"/>
          <w:color w:val="auto"/>
        </w:rPr>
        <w:t>Save for the transfer of Company equity in accordance with this Agreement, no party may assign any of its rights or obligations hereunder without the prior written consent of the other parties. This Agreement shall be binding upon and inure to the benefit of each party and its legal successors and permitted assigns to whom rights are lawfully transferred under this Agreement.</w:t>
      </w:r>
    </w:p>
    <w:p>
      <w:pPr>
        <w:spacing w:after="0" w:line="16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color w:val="auto"/>
        </w:rPr>
        <w:t>Amendment</w:t>
      </w:r>
    </w:p>
    <w:p>
      <w:pPr>
        <w:spacing w:after="0" w:line="191" w:lineRule="exact"/>
        <w:rPr>
          <w:sz w:val="20"/>
          <w:szCs w:val="20"/>
          <w:color w:val="auto"/>
        </w:rPr>
      </w:pPr>
    </w:p>
    <w:p>
      <w:pPr>
        <w:ind w:right="1540" w:firstLine="594"/>
        <w:spacing w:after="0" w:line="439" w:lineRule="auto"/>
        <w:rPr>
          <w:sz w:val="20"/>
          <w:szCs w:val="20"/>
          <w:color w:val="auto"/>
        </w:rPr>
      </w:pPr>
      <w:r>
        <w:rPr>
          <w:rFonts w:ascii="Times New Roman" w:cs="Times New Roman" w:eastAsia="Times New Roman" w:hAnsi="Times New Roman"/>
          <w:sz w:val="20"/>
          <w:szCs w:val="20"/>
          <w:color w:val="auto"/>
        </w:rPr>
        <w:t>Any amendment to this Agreement shall be valid only if made in writing and signed by all parties. 9.5 Waiver</w:t>
      </w:r>
    </w:p>
    <w:p>
      <w:pPr>
        <w:jc w:val="both"/>
        <w:ind w:left="600"/>
        <w:spacing w:after="0" w:line="242" w:lineRule="auto"/>
        <w:rPr>
          <w:sz w:val="20"/>
          <w:szCs w:val="20"/>
          <w:color w:val="auto"/>
        </w:rPr>
      </w:pPr>
      <w:r>
        <w:rPr>
          <w:rFonts w:ascii="Times New Roman" w:cs="Times New Roman" w:eastAsia="Times New Roman" w:hAnsi="Times New Roman"/>
          <w:sz w:val="20"/>
          <w:szCs w:val="20"/>
          <w:color w:val="auto"/>
        </w:rPr>
        <w:t>The waiver by any party of any of its rights, powers, or remedies under this Agreement shall only be effective if made in writing and signed by such party. No failure or delay by any party in exercising any right, power, or remedy under this Agreement shall operate as a waiver thereof, nor shall any single or partial exercise of any such right, power, or remedy preclude any further exercise thereof or the exercise of any other right, power, or remedy.</w:t>
      </w:r>
    </w:p>
    <w:p>
      <w:pPr>
        <w:spacing w:after="0" w:line="16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color w:val="auto"/>
        </w:rPr>
        <w:t>Entire Agreement</w:t>
      </w:r>
    </w:p>
    <w:p>
      <w:pPr>
        <w:spacing w:after="0" w:line="191"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This Agreement, other Transaction Documents, and other documents referred to herein or therein constitute the entire agreement among the parties with respect to the subject matter hereof, and supersede all prior letters of intent, agreements, or understandings among the parties concerning such subject matter.</w:t>
      </w:r>
    </w:p>
    <w:p>
      <w:pPr>
        <w:spacing w:after="0" w:line="1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19"/>
          <w:szCs w:val="19"/>
          <w:color w:val="auto"/>
        </w:rPr>
        <w:t>Severability</w:t>
      </w:r>
    </w:p>
    <w:p>
      <w:pPr>
        <w:spacing w:after="0" w:line="191" w:lineRule="exact"/>
        <w:rPr>
          <w:sz w:val="20"/>
          <w:szCs w:val="20"/>
          <w:color w:val="auto"/>
        </w:rPr>
      </w:pPr>
    </w:p>
    <w:p>
      <w:pPr>
        <w:jc w:val="both"/>
        <w:ind w:left="600"/>
        <w:spacing w:after="0" w:line="255" w:lineRule="auto"/>
        <w:rPr>
          <w:sz w:val="20"/>
          <w:szCs w:val="20"/>
          <w:color w:val="auto"/>
        </w:rPr>
      </w:pPr>
      <w:r>
        <w:rPr>
          <w:rFonts w:ascii="Times New Roman" w:cs="Times New Roman" w:eastAsia="Times New Roman" w:hAnsi="Times New Roman"/>
          <w:sz w:val="19"/>
          <w:szCs w:val="19"/>
          <w:color w:val="auto"/>
        </w:rPr>
        <w:t>If any one or more of the provisions of this Agreement are held to be invalid, illegal, or unenforceable in any respect under the Laws of China, the validity, legality, and enforceability of the remaining provisions of this Agreement shall not in any way be affected or impaired thereby. The parties shall, through good-faith consultation, endeavor to replace such invalid, illegal, or unenforceable provisions with valid, legal, and enforceable provisions, the economic effect of which shall, to the extent possible, be similar to that of the invalid, illegal, or unenforceable provisions.</w:t>
      </w:r>
    </w:p>
    <w:p>
      <w:pPr>
        <w:spacing w:after="0" w:line="15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19"/>
          <w:szCs w:val="19"/>
          <w:color w:val="auto"/>
        </w:rPr>
        <w:t>Counterparts</w:t>
      </w:r>
    </w:p>
    <w:p>
      <w:pPr>
        <w:spacing w:after="0" w:line="1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This Agreement shall come into effect upon being signed and sealed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00" w:name="page401"/>
    <w:bookmarkEnd w:id="400"/>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15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20"/>
          <w:szCs w:val="20"/>
          <w:color w:val="auto"/>
        </w:rPr>
        <w:t>This Agreement is executed in twenty-one (21) copies, with each party holding one (1) original copy, and the remaining copies shall be retained by the Company for the purpose of completing necessary approval or filing and registration procedures.</w:t>
      </w:r>
    </w:p>
    <w:p>
      <w:pPr>
        <w:spacing w:after="0" w:line="1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9.9</w:t>
      </w:r>
      <w:r>
        <w:rPr>
          <w:sz w:val="20"/>
          <w:szCs w:val="20"/>
          <w:color w:val="auto"/>
        </w:rPr>
        <w:tab/>
      </w:r>
      <w:r>
        <w:rPr>
          <w:rFonts w:ascii="Times New Roman" w:cs="Times New Roman" w:eastAsia="Times New Roman" w:hAnsi="Times New Roman"/>
          <w:sz w:val="19"/>
          <w:szCs w:val="19"/>
          <w:color w:val="auto"/>
        </w:rPr>
        <w:t>Prevalence</w:t>
      </w:r>
    </w:p>
    <w:p>
      <w:pPr>
        <w:spacing w:after="0" w:line="191" w:lineRule="exact"/>
        <w:rPr>
          <w:sz w:val="20"/>
          <w:szCs w:val="20"/>
          <w:color w:val="auto"/>
        </w:rPr>
      </w:pPr>
    </w:p>
    <w:p>
      <w:pPr>
        <w:jc w:val="both"/>
        <w:ind w:left="600"/>
        <w:spacing w:after="0" w:line="239" w:lineRule="auto"/>
        <w:rPr>
          <w:sz w:val="20"/>
          <w:szCs w:val="20"/>
          <w:color w:val="auto"/>
        </w:rPr>
      </w:pPr>
      <w:r>
        <w:rPr>
          <w:rFonts w:ascii="Times New Roman" w:cs="Times New Roman" w:eastAsia="Times New Roman" w:hAnsi="Times New Roman"/>
          <w:sz w:val="20"/>
          <w:szCs w:val="20"/>
          <w:color w:val="auto"/>
        </w:rPr>
        <w:t>In the event of any conflict between the Articles of Association, the Subscription Agreement, and this Agreement, or if any matter is not provided for in the Articles of Association or the Subscription Agreement, this Agreement shall prevail in governing the relationship among the Parties. In such event, the Parties shall amend the Articles of Association and the Subscription Agreement within the scope permitted by Laws, regulations, and relevant competent authorities, and exert their best efforts to eliminate such conflicts.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310630" cy="234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01" w:name="page402"/>
    <w:bookmarkEnd w:id="401"/>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NIO Inc. </w:t>
      </w:r>
      <w:r>
        <w:rPr>
          <w:rFonts w:ascii="Times New Roman" w:cs="Times New Roman" w:eastAsia="Times New Roman" w:hAnsi="Times New Roman"/>
          <w:sz w:val="20"/>
          <w:szCs w:val="20"/>
          <w:color w:val="auto"/>
        </w:rPr>
        <w:t>(Company Chop)</w:t>
      </w:r>
    </w:p>
    <w:p>
      <w:pPr>
        <w:spacing w:after="0" w:line="20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2">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02" w:name="page403"/>
    <w:bookmarkEnd w:id="402"/>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4">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GeniTech Co., Ltd. </w:t>
      </w:r>
      <w:r>
        <w:rPr>
          <w:rFonts w:ascii="Times New Roman" w:cs="Times New Roman" w:eastAsia="Times New Roman" w:hAnsi="Times New Roman"/>
          <w:sz w:val="20"/>
          <w:szCs w:val="20"/>
          <w:color w:val="auto"/>
        </w:rPr>
        <w:t>(Company Chop)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11430</wp:posOffset>
            </wp:positionV>
            <wp:extent cx="304927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5">
                      <a:extLst>
                        <a:ext uri="{28A0092B-C50C-407E-A947-70E740481C1C}"/>
                      </a:extLst>
                    </a:blip>
                    <a:srcRect/>
                    <a:stretch>
                      <a:fillRect/>
                    </a:stretch>
                  </pic:blipFill>
                  <pic:spPr bwMode="auto">
                    <a:xfrm>
                      <a:off x="0" y="0"/>
                      <a:ext cx="304927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03" w:name="page404"/>
    <w:bookmarkEnd w:id="403"/>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NIO Technology (Anhui) Co., Ltd. </w:t>
      </w:r>
      <w:r>
        <w:rPr>
          <w:rFonts w:ascii="Times New Roman" w:cs="Times New Roman" w:eastAsia="Times New Roman" w:hAnsi="Times New Roman"/>
          <w:sz w:val="20"/>
          <w:szCs w:val="20"/>
          <w:color w:val="auto"/>
        </w:rPr>
        <w:t>(Company Chop)</w:t>
      </w:r>
    </w:p>
    <w:p>
      <w:pPr>
        <w:spacing w:after="0" w:line="20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8">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04" w:name="page405"/>
    <w:bookmarkEnd w:id="404"/>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0">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Hefei Shenrui No.1 Enterprise Management Consulting Partnership (Limited Partnership) </w:t>
      </w:r>
      <w:r>
        <w:rPr>
          <w:rFonts w:ascii="Times New Roman" w:cs="Times New Roman" w:eastAsia="Times New Roman" w:hAnsi="Times New Roman"/>
          <w:sz w:val="20"/>
          <w:szCs w:val="20"/>
          <w:color w:val="auto"/>
        </w:rPr>
        <w:t>(Company Chop)</w:t>
      </w:r>
    </w:p>
    <w:p>
      <w:pPr>
        <w:spacing w:after="0" w:line="19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1">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05" w:name="page406"/>
    <w:bookmarkEnd w:id="405"/>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Hefei Shenrui No.2 Enterprise Management Consulting Partnership (Limited Partnership) </w:t>
      </w:r>
      <w:r>
        <w:rPr>
          <w:rFonts w:ascii="Times New Roman" w:cs="Times New Roman" w:eastAsia="Times New Roman" w:hAnsi="Times New Roman"/>
          <w:sz w:val="20"/>
          <w:szCs w:val="20"/>
          <w:color w:val="auto"/>
        </w:rPr>
        <w:t>(Company Chop)</w:t>
      </w:r>
    </w:p>
    <w:p>
      <w:pPr>
        <w:spacing w:after="0" w:line="19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4">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06" w:name="page407"/>
    <w:bookmarkEnd w:id="406"/>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6">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Hefei Shenrui No.3 Enterprise Management Consulting Partnership (Limited Partnership) </w:t>
      </w:r>
      <w:r>
        <w:rPr>
          <w:rFonts w:ascii="Times New Roman" w:cs="Times New Roman" w:eastAsia="Times New Roman" w:hAnsi="Times New Roman"/>
          <w:sz w:val="20"/>
          <w:szCs w:val="20"/>
          <w:color w:val="auto"/>
        </w:rPr>
        <w:t>(Company Chop)</w:t>
      </w:r>
    </w:p>
    <w:p>
      <w:pPr>
        <w:spacing w:after="0" w:line="19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7">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1238885</wp:posOffset>
            </wp:positionV>
            <wp:extent cx="6310630" cy="2349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07" w:name="page408"/>
    <w:bookmarkEnd w:id="407"/>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Hefei Jiantou Emerging Industry Equity Investment Fund Partnership Enterprise (Limited Partnership) </w:t>
      </w:r>
      <w:r>
        <w:rPr>
          <w:rFonts w:ascii="Times New Roman" w:cs="Times New Roman" w:eastAsia="Times New Roman" w:hAnsi="Times New Roman"/>
          <w:sz w:val="20"/>
          <w:szCs w:val="20"/>
          <w:color w:val="auto"/>
        </w:rPr>
        <w:t>(Company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Chop)</w:t>
      </w:r>
    </w:p>
    <w:p>
      <w:pPr>
        <w:spacing w:after="0" w:line="13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0">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08" w:name="page409"/>
    <w:bookmarkEnd w:id="408"/>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2">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Hefei Haiheng Emerging Industry Equity Investment Fund Partnership Enterprise (Limited Partnership) </w:t>
      </w:r>
      <w:r>
        <w:rPr>
          <w:rFonts w:ascii="Times New Roman" w:cs="Times New Roman" w:eastAsia="Times New Roman" w:hAnsi="Times New Roman"/>
          <w:sz w:val="20"/>
          <w:szCs w:val="20"/>
          <w:color w:val="auto"/>
        </w:rPr>
        <w:t>(Company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Chop)</w:t>
      </w:r>
    </w:p>
    <w:p>
      <w:pPr>
        <w:spacing w:after="0" w:line="13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3">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09" w:name="page410"/>
    <w:bookmarkEnd w:id="409"/>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Shenzhen Harmonious Growth Phase III Technology Development Equity Investment Fund Partnership (Limited Partnership) </w:t>
      </w:r>
      <w:r>
        <w:rPr>
          <w:rFonts w:ascii="Times New Roman" w:cs="Times New Roman" w:eastAsia="Times New Roman" w:hAnsi="Times New Roman"/>
          <w:sz w:val="20"/>
          <w:szCs w:val="20"/>
          <w:color w:val="auto"/>
        </w:rPr>
        <w:t>(Company Chop)</w:t>
      </w:r>
    </w:p>
    <w:p>
      <w:pPr>
        <w:spacing w:after="0" w:line="13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6">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10" w:name="page411"/>
    <w:bookmarkEnd w:id="410"/>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8">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Social Security Fund Yangtze River Delta Technology Innovation Equity Investment Fund (Shanghai) Partnership Enterprise (Limited Partnership) </w:t>
      </w:r>
      <w:r>
        <w:rPr>
          <w:rFonts w:ascii="Times New Roman" w:cs="Times New Roman" w:eastAsia="Times New Roman" w:hAnsi="Times New Roman"/>
          <w:sz w:val="20"/>
          <w:szCs w:val="20"/>
          <w:color w:val="auto"/>
        </w:rPr>
        <w:t>(Company Chop)</w:t>
      </w:r>
    </w:p>
    <w:p>
      <w:pPr>
        <w:spacing w:after="0" w:line="13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9">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1113155</wp:posOffset>
            </wp:positionV>
            <wp:extent cx="6310630" cy="234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11" w:name="page412"/>
    <w:bookmarkEnd w:id="411"/>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1">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OmniVision Integrated Circuits Group, Inc. </w:t>
      </w:r>
      <w:r>
        <w:rPr>
          <w:rFonts w:ascii="Times New Roman" w:cs="Times New Roman" w:eastAsia="Times New Roman" w:hAnsi="Times New Roman"/>
          <w:sz w:val="20"/>
          <w:szCs w:val="20"/>
          <w:color w:val="auto"/>
        </w:rPr>
        <w:t>(Company Chop)</w:t>
      </w:r>
    </w:p>
    <w:p>
      <w:pPr>
        <w:spacing w:after="0" w:line="19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2">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12" w:name="page413"/>
    <w:bookmarkEnd w:id="412"/>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4">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Shanghai Keshi Management Partnership (Limited Partnership) </w:t>
      </w:r>
      <w:r>
        <w:rPr>
          <w:rFonts w:ascii="Times New Roman" w:cs="Times New Roman" w:eastAsia="Times New Roman" w:hAnsi="Times New Roman"/>
          <w:sz w:val="20"/>
          <w:szCs w:val="20"/>
          <w:color w:val="auto"/>
        </w:rPr>
        <w:t>(Company Chop)</w:t>
      </w:r>
    </w:p>
    <w:p>
      <w:pPr>
        <w:spacing w:after="0" w:line="20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5">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13" w:name="page414"/>
    <w:bookmarkEnd w:id="413"/>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7">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Shenzhen Juyuan Xinchuang Private Equity Investment Fund Partnership Enterprise (Limited Partnership)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Chop)</w:t>
      </w:r>
    </w:p>
    <w:p>
      <w:pPr>
        <w:spacing w:after="0" w:line="16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8">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14" w:name="page415"/>
    <w:bookmarkEnd w:id="414"/>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0">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Jiaxing Juyuan Zhiguang Equity Investment Partnership (Limited Partnership) </w:t>
      </w:r>
      <w:r>
        <w:rPr>
          <w:rFonts w:ascii="Times New Roman" w:cs="Times New Roman" w:eastAsia="Times New Roman" w:hAnsi="Times New Roman"/>
          <w:sz w:val="20"/>
          <w:szCs w:val="20"/>
          <w:color w:val="auto"/>
        </w:rPr>
        <w:t>(Company Chop)</w:t>
      </w:r>
    </w:p>
    <w:p>
      <w:pPr>
        <w:spacing w:after="0" w:line="20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1">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15" w:name="page416"/>
    <w:bookmarkEnd w:id="415"/>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Anhui Guokong Growth Energy Investment Fund Partnership Enterprise (Limited Partnership) </w:t>
      </w:r>
      <w:r>
        <w:rPr>
          <w:rFonts w:ascii="Times New Roman" w:cs="Times New Roman" w:eastAsia="Times New Roman" w:hAnsi="Times New Roman"/>
          <w:sz w:val="20"/>
          <w:szCs w:val="20"/>
          <w:color w:val="auto"/>
        </w:rPr>
        <w:t>(Company Chop)</w:t>
      </w:r>
    </w:p>
    <w:p>
      <w:pPr>
        <w:spacing w:after="0" w:line="20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4">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16" w:name="page417"/>
    <w:bookmarkEnd w:id="416"/>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6">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Anhui Gaoxin Yuanhe Puhua Private Equity Investment Fund Partnership Enterprise (Limited Partnership)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Chop)</w:t>
      </w:r>
    </w:p>
    <w:p>
      <w:pPr>
        <w:spacing w:after="0" w:line="16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7">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17" w:name="page418"/>
    <w:bookmarkEnd w:id="417"/>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Hefei Weilai Industrial Development Equity Investment Partnership Enterprise (Limited Partnership) </w:t>
      </w:r>
      <w:r>
        <w:rPr>
          <w:rFonts w:ascii="Times New Roman" w:cs="Times New Roman" w:eastAsia="Times New Roman" w:hAnsi="Times New Roman"/>
          <w:sz w:val="20"/>
          <w:szCs w:val="20"/>
          <w:color w:val="auto"/>
        </w:rPr>
        <w:t>(Company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Chop)</w:t>
      </w:r>
    </w:p>
    <w:p>
      <w:pPr>
        <w:spacing w:after="0" w:line="13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0">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18" w:name="page419"/>
    <w:bookmarkEnd w:id="418"/>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2">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Chongqing Manufacturing Transformation and Upgrade Private Equity Investment Fund Partnership (Limited Partnership) </w:t>
      </w:r>
      <w:r>
        <w:rPr>
          <w:rFonts w:ascii="Times New Roman" w:cs="Times New Roman" w:eastAsia="Times New Roman" w:hAnsi="Times New Roman"/>
          <w:sz w:val="20"/>
          <w:szCs w:val="20"/>
          <w:color w:val="auto"/>
        </w:rPr>
        <w:t>(Company Chop)</w:t>
      </w:r>
    </w:p>
    <w:p>
      <w:pPr>
        <w:spacing w:after="0" w:line="13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3">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972185</wp:posOffset>
            </wp:positionV>
            <wp:extent cx="6310630" cy="2349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19" w:name="page420"/>
    <w:bookmarkEnd w:id="419"/>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Hubei Green Innovation Navigation Equity Investment Partnership (Limited Partnership) </w:t>
      </w:r>
      <w:r>
        <w:rPr>
          <w:rFonts w:ascii="Times New Roman" w:cs="Times New Roman" w:eastAsia="Times New Roman" w:hAnsi="Times New Roman"/>
          <w:sz w:val="20"/>
          <w:szCs w:val="20"/>
          <w:color w:val="auto"/>
        </w:rPr>
        <w:t>(Company Chop)</w:t>
      </w:r>
    </w:p>
    <w:p>
      <w:pPr>
        <w:spacing w:after="0" w:line="19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6">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1113155</wp:posOffset>
            </wp:positionV>
            <wp:extent cx="6310630" cy="234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20" w:name="page421"/>
    <w:bookmarkEnd w:id="420"/>
    <w:p>
      <w:pPr>
        <w:jc w:val="center"/>
        <w:spacing w:after="0"/>
        <w:rPr>
          <w:sz w:val="20"/>
          <w:szCs w:val="20"/>
          <w:color w:val="auto"/>
        </w:rPr>
      </w:pPr>
      <w:r>
        <w:rPr>
          <w:rFonts w:ascii="Times New Roman" w:cs="Times New Roman" w:eastAsia="Times New Roman" w:hAnsi="Times New Roman"/>
          <w:sz w:val="20"/>
          <w:szCs w:val="20"/>
          <w:color w:val="auto"/>
        </w:rPr>
        <w:t>GeniTech Co., Ltd.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31063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8">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WITNESS WHEREOF, the Parties have caused their respective authorized representatives to execute this Agreement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Kunshan Yuanhe Yucheng Venture Capital Partnership (Limited Partnership) </w:t>
      </w:r>
      <w:r>
        <w:rPr>
          <w:rFonts w:ascii="Times New Roman" w:cs="Times New Roman" w:eastAsia="Times New Roman" w:hAnsi="Times New Roman"/>
          <w:sz w:val="20"/>
          <w:szCs w:val="20"/>
          <w:color w:val="auto"/>
        </w:rPr>
        <w:t>(Company Chop)</w:t>
      </w:r>
    </w:p>
    <w:p>
      <w:pPr>
        <w:spacing w:after="0" w:line="19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Authorized Signatory &amp; Company chop is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11430</wp:posOffset>
            </wp:positionV>
            <wp:extent cx="304165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9">
                      <a:extLst>
                        <a:ext uri="{28A0092B-C50C-407E-A947-70E740481C1C}"/>
                      </a:extLst>
                    </a:blip>
                    <a:srcRect/>
                    <a:stretch>
                      <a:fillRect/>
                    </a:stretch>
                  </pic:blipFill>
                  <pic:spPr bwMode="auto">
                    <a:xfrm>
                      <a:off x="0" y="0"/>
                      <a:ext cx="3041650" cy="762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Authorized Signatory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830580</wp:posOffset>
            </wp:positionV>
            <wp:extent cx="6310630" cy="234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609" w:right="999" w:bottom="1440" w:gutter="0" w:footer="0" w:header="0"/>
        </w:sectPr>
      </w:pPr>
    </w:p>
    <w:bookmarkStart w:id="421" w:name="page422"/>
    <w:bookmarkEnd w:id="421"/>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Exhibit 8.1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Principal Subsidiaries and Consolidated Variable Interest Entities</w:t>
      </w:r>
    </w:p>
    <w:p>
      <w:pPr>
        <w:sectPr>
          <w:pgSz w:w="11900" w:h="16838" w:orient="portrait"/>
          <w:cols w:equalWidth="0" w:num="1">
            <w:col w:w="9940"/>
          </w:cols>
          <w:pgMar w:left="980" w:top="119" w:right="979" w:bottom="1440" w:gutter="0" w:footer="0" w:header="0"/>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Nextev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XPT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 Battery Asset (Hong Kong) Co.,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Power Express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User Enterprise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AI Technology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USA,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Battery Assets Europe B.V.</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Horizon B.V.</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Nextev Europe Holding B.V.</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 Battery Asset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AI Technology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GmbH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Holding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(Anhui)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Technology (Anhui)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Financial Leasing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GeniTech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XPT Holding (Anhui)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XPT EDS (Hefei)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XPT (Jiangsu) Investment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Sales and Services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NIO Energy Investment (Hubei)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Wuhan NIO Energy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XPT (Jiangsu) Automotive Technology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Anhui NIO Autonomous Driving Technology Co., Ltd.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​​​Place of incorporation</w:t>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Hong Kong</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Hong Kong</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Hong Kong</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Hong Kong</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Hong Kong</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Hong Kong</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California, United States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Netherlands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Netherlands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Netherlands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Cayman Islands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Cayman Islands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Germany</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PRC</w:t>
      </w:r>
    </w:p>
    <w:p>
      <w:pPr>
        <w:spacing w:after="0" w:line="191" w:lineRule="exact"/>
        <w:rPr>
          <w:sz w:val="20"/>
          <w:szCs w:val="20"/>
          <w:color w:val="auto"/>
        </w:rPr>
      </w:pPr>
    </w:p>
    <w:p>
      <w:pPr>
        <w:sectPr>
          <w:pgSz w:w="11900" w:h="16838" w:orient="portrait"/>
          <w:cols w:equalWidth="0" w:num="2">
            <w:col w:w="5320" w:space="720"/>
            <w:col w:w="3900"/>
          </w:cols>
          <w:pgMar w:left="980" w:top="119" w:right="97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variable interest entities and their subsidiary:</w:t>
            </w:r>
          </w:p>
        </w:tc>
        <w:tc>
          <w:tcPr>
            <w:tcW w:w="476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Place of incorporation</w:t>
            </w:r>
          </w:p>
        </w:tc>
      </w:tr>
      <w:tr>
        <w:trPr>
          <w:trHeight w:val="198"/>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Beijing NIO Network Technology Co., Ltd.</w:t>
            </w:r>
          </w:p>
        </w:tc>
        <w:tc>
          <w:tcPr>
            <w:tcW w:w="47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PRC</w:t>
            </w:r>
          </w:p>
        </w:tc>
      </w:tr>
      <w:tr>
        <w:trPr>
          <w:trHeight w:val="198"/>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Anhui NIO AI Technology Co., Ltd.</w:t>
            </w:r>
          </w:p>
        </w:tc>
        <w:tc>
          <w:tcPr>
            <w:tcW w:w="47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PRC</w:t>
            </w:r>
          </w:p>
        </w:tc>
      </w:tr>
      <w:tr>
        <w:trPr>
          <w:trHeight w:val="198"/>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Anhui NIO Data Technology Co., Ltd.</w:t>
            </w:r>
          </w:p>
        </w:tc>
        <w:tc>
          <w:tcPr>
            <w:tcW w:w="47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PRC</w:t>
            </w: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NIO Insurance Broker Co., Ltd.</w:t>
            </w:r>
          </w:p>
        </w:tc>
        <w:tc>
          <w:tcPr>
            <w:tcW w:w="47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PRC</w:t>
            </w:r>
          </w:p>
        </w:tc>
      </w:tr>
      <w:tr>
        <w:trPr>
          <w:trHeight w:val="710"/>
        </w:trPr>
        <w:tc>
          <w:tcPr>
            <w:tcW w:w="51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19" w:right="979" w:bottom="1440" w:gutter="0" w:footer="0" w:header="0"/>
          <w:type w:val="continuous"/>
        </w:sectPr>
      </w:pPr>
    </w:p>
    <w:bookmarkStart w:id="422" w:name="page423"/>
    <w:bookmarkEnd w:id="422"/>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Bin Li, certify that:</w:t>
      </w:r>
    </w:p>
    <w:p>
      <w:pPr>
        <w:spacing w:after="0" w:line="212" w:lineRule="exact"/>
        <w:rPr>
          <w:sz w:val="20"/>
          <w:szCs w:val="20"/>
          <w:color w:val="auto"/>
        </w:rPr>
      </w:pPr>
    </w:p>
    <w:p>
      <w:pPr>
        <w:ind w:left="600" w:hanging="600"/>
        <w:spacing w:after="0"/>
        <w:tabs>
          <w:tab w:leader="none" w:pos="60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NIO Inc. (the “Company”);</w:t>
      </w:r>
    </w:p>
    <w:p>
      <w:pPr>
        <w:spacing w:after="0" w:line="212" w:lineRule="exact"/>
        <w:rPr>
          <w:rFonts w:ascii="Times New Roman" w:cs="Times New Roman" w:eastAsia="Times New Roman" w:hAnsi="Times New Roman"/>
          <w:sz w:val="16"/>
          <w:szCs w:val="16"/>
          <w:color w:val="auto"/>
        </w:rPr>
      </w:pPr>
    </w:p>
    <w:p>
      <w:pPr>
        <w:ind w:left="600" w:right="160" w:hanging="600"/>
        <w:spacing w:after="0" w:line="278" w:lineRule="auto"/>
        <w:tabs>
          <w:tab w:leader="none" w:pos="60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6"/>
          <w:szCs w:val="16"/>
          <w:color w:val="auto"/>
        </w:rPr>
      </w:pPr>
    </w:p>
    <w:p>
      <w:pPr>
        <w:ind w:left="600" w:right="400" w:hanging="600"/>
        <w:spacing w:after="0" w:line="298" w:lineRule="auto"/>
        <w:tabs>
          <w:tab w:leader="none" w:pos="60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600" w:right="60" w:hanging="600"/>
        <w:spacing w:after="0" w:line="278" w:lineRule="auto"/>
        <w:tabs>
          <w:tab w:leader="none" w:pos="60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2" w:lineRule="exact"/>
        <w:rPr>
          <w:rFonts w:ascii="Times New Roman" w:cs="Times New Roman" w:eastAsia="Times New Roman" w:hAnsi="Times New Roman"/>
          <w:sz w:val="16"/>
          <w:szCs w:val="16"/>
          <w:color w:val="auto"/>
        </w:rPr>
      </w:pPr>
    </w:p>
    <w:p>
      <w:pPr>
        <w:ind w:left="900" w:right="20" w:hanging="603"/>
        <w:spacing w:after="0" w:line="278" w:lineRule="auto"/>
        <w:tabs>
          <w:tab w:leader="none" w:pos="900" w:val="left"/>
        </w:tabs>
        <w:numPr>
          <w:ilvl w:val="1"/>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6"/>
          <w:szCs w:val="16"/>
          <w:color w:val="auto"/>
        </w:rPr>
      </w:pPr>
    </w:p>
    <w:p>
      <w:pPr>
        <w:ind w:left="900" w:right="40" w:hanging="603"/>
        <w:spacing w:after="0" w:line="278" w:lineRule="auto"/>
        <w:tabs>
          <w:tab w:leader="none" w:pos="900" w:val="left"/>
        </w:tabs>
        <w:numPr>
          <w:ilvl w:val="1"/>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6"/>
          <w:szCs w:val="16"/>
          <w:color w:val="auto"/>
        </w:rPr>
      </w:pPr>
    </w:p>
    <w:p>
      <w:pPr>
        <w:jc w:val="both"/>
        <w:ind w:left="900" w:right="120" w:hanging="603"/>
        <w:spacing w:after="0" w:line="298" w:lineRule="auto"/>
        <w:tabs>
          <w:tab w:leader="none" w:pos="900" w:val="left"/>
        </w:tabs>
        <w:numPr>
          <w:ilvl w:val="1"/>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900" w:hanging="603"/>
        <w:spacing w:after="0" w:line="278" w:lineRule="auto"/>
        <w:tabs>
          <w:tab w:leader="none" w:pos="900" w:val="left"/>
        </w:tabs>
        <w:numPr>
          <w:ilvl w:val="1"/>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2" w:lineRule="exact"/>
        <w:rPr>
          <w:rFonts w:ascii="Times New Roman" w:cs="Times New Roman" w:eastAsia="Times New Roman" w:hAnsi="Times New Roman"/>
          <w:sz w:val="16"/>
          <w:szCs w:val="16"/>
          <w:color w:val="auto"/>
        </w:rPr>
      </w:pPr>
    </w:p>
    <w:p>
      <w:pPr>
        <w:ind w:left="600" w:right="20" w:hanging="600"/>
        <w:spacing w:after="0" w:line="298" w:lineRule="auto"/>
        <w:tabs>
          <w:tab w:leader="none" w:pos="60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900" w:right="340" w:hanging="603"/>
        <w:spacing w:after="0" w:line="298" w:lineRule="auto"/>
        <w:tabs>
          <w:tab w:leader="none" w:pos="900" w:val="left"/>
        </w:tabs>
        <w:numPr>
          <w:ilvl w:val="1"/>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900" w:right="40" w:hanging="603"/>
        <w:spacing w:after="0" w:line="298" w:lineRule="auto"/>
        <w:tabs>
          <w:tab w:leader="none" w:pos="900" w:val="left"/>
        </w:tabs>
        <w:numPr>
          <w:ilvl w:val="1"/>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10, 2026</w:t>
      </w: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19685</wp:posOffset>
            </wp:positionV>
            <wp:extent cx="2828925"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1">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Bin Li</w:t>
      </w:r>
    </w:p>
    <w:p>
      <w:pPr>
        <w:spacing w:after="0" w:line="2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448945</wp:posOffset>
            </wp:positionV>
            <wp:extent cx="6310630" cy="2349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Yu Qu, certify that:</w:t>
      </w:r>
    </w:p>
    <w:p>
      <w:pPr>
        <w:spacing w:after="0" w:line="212" w:lineRule="exact"/>
        <w:rPr>
          <w:sz w:val="20"/>
          <w:szCs w:val="20"/>
          <w:color w:val="auto"/>
        </w:rPr>
      </w:pPr>
    </w:p>
    <w:p>
      <w:pPr>
        <w:ind w:left="600" w:hanging="600"/>
        <w:spacing w:after="0"/>
        <w:tabs>
          <w:tab w:leader="none" w:pos="600"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NIO Inc. (the “Company”);</w:t>
      </w:r>
    </w:p>
    <w:p>
      <w:pPr>
        <w:spacing w:after="0" w:line="212" w:lineRule="exact"/>
        <w:rPr>
          <w:rFonts w:ascii="Times New Roman" w:cs="Times New Roman" w:eastAsia="Times New Roman" w:hAnsi="Times New Roman"/>
          <w:sz w:val="16"/>
          <w:szCs w:val="16"/>
          <w:color w:val="auto"/>
        </w:rPr>
      </w:pPr>
    </w:p>
    <w:p>
      <w:pPr>
        <w:ind w:left="600" w:right="160" w:hanging="600"/>
        <w:spacing w:after="0" w:line="278" w:lineRule="auto"/>
        <w:tabs>
          <w:tab w:leader="none" w:pos="600"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6"/>
          <w:szCs w:val="16"/>
          <w:color w:val="auto"/>
        </w:rPr>
      </w:pPr>
    </w:p>
    <w:p>
      <w:pPr>
        <w:ind w:left="600" w:right="400" w:hanging="600"/>
        <w:spacing w:after="0" w:line="298" w:lineRule="auto"/>
        <w:tabs>
          <w:tab w:leader="none" w:pos="600"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600" w:right="60" w:hanging="600"/>
        <w:spacing w:after="0" w:line="278" w:lineRule="auto"/>
        <w:tabs>
          <w:tab w:leader="none" w:pos="600"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2" w:lineRule="exact"/>
        <w:rPr>
          <w:rFonts w:ascii="Times New Roman" w:cs="Times New Roman" w:eastAsia="Times New Roman" w:hAnsi="Times New Roman"/>
          <w:sz w:val="16"/>
          <w:szCs w:val="16"/>
          <w:color w:val="auto"/>
        </w:rPr>
      </w:pPr>
    </w:p>
    <w:p>
      <w:pPr>
        <w:ind w:left="900" w:right="20" w:hanging="603"/>
        <w:spacing w:after="0" w:line="278" w:lineRule="auto"/>
        <w:tabs>
          <w:tab w:leader="none" w:pos="900" w:val="left"/>
        </w:tabs>
        <w:numPr>
          <w:ilvl w:val="1"/>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6"/>
          <w:szCs w:val="16"/>
          <w:color w:val="auto"/>
        </w:rPr>
      </w:pPr>
    </w:p>
    <w:p>
      <w:pPr>
        <w:ind w:left="900" w:right="40" w:hanging="603"/>
        <w:spacing w:after="0" w:line="278" w:lineRule="auto"/>
        <w:tabs>
          <w:tab w:leader="none" w:pos="900" w:val="left"/>
        </w:tabs>
        <w:numPr>
          <w:ilvl w:val="1"/>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6"/>
          <w:szCs w:val="16"/>
          <w:color w:val="auto"/>
        </w:rPr>
      </w:pPr>
    </w:p>
    <w:p>
      <w:pPr>
        <w:jc w:val="both"/>
        <w:ind w:left="900" w:right="120" w:hanging="603"/>
        <w:spacing w:after="0" w:line="298" w:lineRule="auto"/>
        <w:tabs>
          <w:tab w:leader="none" w:pos="900" w:val="left"/>
        </w:tabs>
        <w:numPr>
          <w:ilvl w:val="1"/>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900" w:hanging="603"/>
        <w:spacing w:after="0" w:line="278" w:lineRule="auto"/>
        <w:tabs>
          <w:tab w:leader="none" w:pos="900" w:val="left"/>
        </w:tabs>
        <w:numPr>
          <w:ilvl w:val="1"/>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2" w:lineRule="exact"/>
        <w:rPr>
          <w:rFonts w:ascii="Times New Roman" w:cs="Times New Roman" w:eastAsia="Times New Roman" w:hAnsi="Times New Roman"/>
          <w:sz w:val="16"/>
          <w:szCs w:val="16"/>
          <w:color w:val="auto"/>
        </w:rPr>
      </w:pPr>
    </w:p>
    <w:p>
      <w:pPr>
        <w:ind w:left="600" w:right="20" w:hanging="600"/>
        <w:spacing w:after="0" w:line="298" w:lineRule="auto"/>
        <w:tabs>
          <w:tab w:leader="none" w:pos="600"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900" w:right="340" w:hanging="603"/>
        <w:spacing w:after="0" w:line="298" w:lineRule="auto"/>
        <w:tabs>
          <w:tab w:leader="none" w:pos="900" w:val="left"/>
        </w:tabs>
        <w:numPr>
          <w:ilvl w:val="1"/>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900" w:right="40" w:hanging="603"/>
        <w:spacing w:after="0" w:line="298" w:lineRule="auto"/>
        <w:tabs>
          <w:tab w:leader="none" w:pos="900" w:val="left"/>
        </w:tabs>
        <w:numPr>
          <w:ilvl w:val="1"/>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10, 2026</w:t>
      </w: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Yu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19685</wp:posOffset>
            </wp:positionV>
            <wp:extent cx="2828925"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3">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Yu Qu</w:t>
      </w:r>
    </w:p>
    <w:p>
      <w:pPr>
        <w:spacing w:after="0" w:line="2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448945</wp:posOffset>
            </wp:positionV>
            <wp:extent cx="6310630" cy="2349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24" w:name="page425"/>
    <w:bookmarkEnd w:id="424"/>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95" w:lineRule="exact"/>
        <w:rPr>
          <w:sz w:val="20"/>
          <w:szCs w:val="20"/>
          <w:color w:val="auto"/>
        </w:rPr>
      </w:pPr>
    </w:p>
    <w:p>
      <w:pPr>
        <w:ind w:right="80" w:firstLine="1247"/>
        <w:spacing w:after="0" w:line="278" w:lineRule="auto"/>
        <w:rPr>
          <w:sz w:val="20"/>
          <w:szCs w:val="20"/>
          <w:color w:val="auto"/>
        </w:rPr>
      </w:pPr>
      <w:r>
        <w:rPr>
          <w:rFonts w:ascii="Times New Roman" w:cs="Times New Roman" w:eastAsia="Times New Roman" w:hAnsi="Times New Roman"/>
          <w:sz w:val="16"/>
          <w:szCs w:val="16"/>
          <w:color w:val="auto"/>
        </w:rPr>
        <w:t>In connection with the Annual Report of NIO Inc. (the “Company”) on Form 20-F for the fiscal year ended December 31, 2025 as filed with the Securities and Exchange Commission on the date hereof (the “Report”), I, Bin Li, Chief Executive Officer of the Company, certify, pursuant to 18 U.S.C. Section 1350, as adopted pursuant to Section 906 of the Sarbanes-Oxley Act of 2002, that to my knowledge:</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(1)  The Report fully complies with the requirements of Section 13(a) or 15(d) of the Securities Exchange Act of 1934,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amended; and</w:t>
      </w:r>
    </w:p>
    <w:p>
      <w:pPr>
        <w:spacing w:after="0" w:line="195" w:lineRule="exact"/>
        <w:rPr>
          <w:sz w:val="20"/>
          <w:szCs w:val="20"/>
          <w:color w:val="auto"/>
        </w:rPr>
      </w:pPr>
    </w:p>
    <w:p>
      <w:pPr>
        <w:ind w:right="660" w:firstLine="1248"/>
        <w:spacing w:after="0" w:line="298" w:lineRule="auto"/>
        <w:tabs>
          <w:tab w:leader="none" w:pos="1559"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10, 2026</w:t>
      </w:r>
    </w:p>
    <w:p>
      <w:pPr>
        <w:spacing w:after="0" w:line="13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19685</wp:posOffset>
            </wp:positionV>
            <wp:extent cx="2828925"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5">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Bin Li</w:t>
      </w:r>
    </w:p>
    <w:p>
      <w:pPr>
        <w:spacing w:after="0" w:line="2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448945</wp:posOffset>
            </wp:positionV>
            <wp:extent cx="6310630" cy="158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6">
                      <a:extLst>
                        <a:ext uri="{28A0092B-C50C-407E-A947-70E740481C1C}"/>
                      </a:extLst>
                    </a:blip>
                    <a:srcRect/>
                    <a:stretch>
                      <a:fillRect/>
                    </a:stretch>
                  </pic:blipFill>
                  <pic:spPr bwMode="auto">
                    <a:xfrm>
                      <a:off x="0" y="0"/>
                      <a:ext cx="6310630" cy="1587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25" w:name="page426"/>
    <w:bookmarkEnd w:id="425"/>
    <w:p>
      <w:pPr>
        <w:jc w:val="right"/>
        <w:spacing w:after="0"/>
        <w:rPr>
          <w:sz w:val="20"/>
          <w:szCs w:val="20"/>
          <w:color w:val="auto"/>
        </w:rPr>
      </w:pPr>
      <w:r>
        <w:rPr>
          <w:rFonts w:ascii="Times New Roman" w:cs="Times New Roman" w:eastAsia="Times New Roman" w:hAnsi="Times New Roman"/>
          <w:sz w:val="16"/>
          <w:szCs w:val="16"/>
          <w:b w:val="1"/>
          <w:bCs w:val="1"/>
          <w:color w:val="auto"/>
        </w:rPr>
        <w:t>Exhibit 13.2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95" w:lineRule="exact"/>
        <w:rPr>
          <w:sz w:val="20"/>
          <w:szCs w:val="20"/>
          <w:color w:val="auto"/>
        </w:rPr>
      </w:pPr>
    </w:p>
    <w:p>
      <w:pPr>
        <w:ind w:right="80" w:firstLine="1247"/>
        <w:spacing w:after="0" w:line="278" w:lineRule="auto"/>
        <w:rPr>
          <w:sz w:val="20"/>
          <w:szCs w:val="20"/>
          <w:color w:val="auto"/>
        </w:rPr>
      </w:pPr>
      <w:r>
        <w:rPr>
          <w:rFonts w:ascii="Times New Roman" w:cs="Times New Roman" w:eastAsia="Times New Roman" w:hAnsi="Times New Roman"/>
          <w:sz w:val="16"/>
          <w:szCs w:val="16"/>
          <w:color w:val="auto"/>
        </w:rPr>
        <w:t>In connection with the Annual Report of NIO Inc. (the “Company”) on Form 20-F for the fiscal year ended December 31, 2025 as filed with the Securities and Exchange Commission on the date hereof (the “Report”), I, Yu Qu, Chief Financial Officer of the Company, certify, pursuant to 18 U.S.C. Section 1350, as adopted pursuant to Section 906 of the Sarbanes-Oxley Act of 2002, that to my knowledge:</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(1)  The Report fully complies with the requirements of Section 13(a) or 15(d) of the Securities Exchange Act of 1934,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amended; and</w:t>
      </w:r>
    </w:p>
    <w:p>
      <w:pPr>
        <w:spacing w:after="0" w:line="195" w:lineRule="exact"/>
        <w:rPr>
          <w:sz w:val="20"/>
          <w:szCs w:val="20"/>
          <w:color w:val="auto"/>
        </w:rPr>
      </w:pPr>
    </w:p>
    <w:p>
      <w:pPr>
        <w:ind w:right="660" w:firstLine="1248"/>
        <w:spacing w:after="0" w:line="298" w:lineRule="auto"/>
        <w:tabs>
          <w:tab w:leader="none" w:pos="1559"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10, 2026</w:t>
      </w: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Yu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19685</wp:posOffset>
            </wp:positionV>
            <wp:extent cx="2828925"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7">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Yu Qu</w:t>
      </w:r>
    </w:p>
    <w:p>
      <w:pPr>
        <w:spacing w:after="0" w:line="2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448945</wp:posOffset>
            </wp:positionV>
            <wp:extent cx="6310630" cy="2349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426" w:name="page427"/>
    <w:bookmarkEnd w:id="426"/>
    <w:p>
      <w:pPr>
        <w:jc w:val="right"/>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S-8 (No. 333-229952, No. 333-272537, No. 333-280728 and No. 333-294166) and Form F-3 (No. 333-279584) of NIO Inc. of our report dated April 10, 2026 relating to the financial statements and the effectiveness of internal control over financial reporting, which appears in this Form 20-F.</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/s/PricewaterhouseCoopers Zhong Tian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the People</w:t>
      </w:r>
      <w:r>
        <w:rPr>
          <w:rFonts w:ascii="Georgia" w:cs="Georgia" w:eastAsia="Georgia" w:hAnsi="Georgia"/>
          <w:sz w:val="16"/>
          <w:szCs w:val="16"/>
          <w:color w:val="auto"/>
        </w:rPr>
        <w:t>’</w:t>
      </w:r>
      <w:r>
        <w:rPr>
          <w:rFonts w:ascii="Times New Roman" w:cs="Times New Roman" w:eastAsia="Times New Roman" w:hAnsi="Times New Roman"/>
          <w:sz w:val="16"/>
          <w:szCs w:val="16"/>
          <w:color w:val="auto"/>
        </w:rPr>
        <w:t>s Republic of China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10630" cy="234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27" w:name="page428"/>
    <w:bookmarkEnd w:id="427"/>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228" w:lineRule="exact"/>
        <w:rPr>
          <w:sz w:val="20"/>
          <w:szCs w:val="20"/>
          <w:color w:val="auto"/>
        </w:rPr>
      </w:pPr>
    </w:p>
    <w:p>
      <w:pPr>
        <w:ind w:right="4560"/>
        <w:spacing w:after="0" w:line="277" w:lineRule="auto"/>
        <w:rPr>
          <w:sz w:val="20"/>
          <w:szCs w:val="20"/>
          <w:color w:val="auto"/>
        </w:rPr>
      </w:pPr>
      <w:r>
        <w:rPr>
          <w:rFonts w:ascii="Times New Roman" w:cs="Times New Roman" w:eastAsia="Times New Roman" w:hAnsi="Times New Roman"/>
          <w:sz w:val="16"/>
          <w:szCs w:val="16"/>
          <w:color w:val="auto"/>
        </w:rPr>
        <w:t>9/F, Office Tower C1, Oriental Plaza, 1 East Chang An Ave., Dongcheng District Beijing 100738,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5419725</wp:posOffset>
            </wp:positionH>
            <wp:positionV relativeFrom="paragraph">
              <wp:posOffset>-258445</wp:posOffset>
            </wp:positionV>
            <wp:extent cx="880110" cy="36957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0">
                      <a:extLst>
                        <a:ext uri="{28A0092B-C50C-407E-A947-70E740481C1C}"/>
                      </a:extLst>
                    </a:blip>
                    <a:srcRect/>
                    <a:stretch>
                      <a:fillRect/>
                    </a:stretch>
                  </pic:blipFill>
                  <pic:spPr bwMode="auto">
                    <a:xfrm>
                      <a:off x="0" y="0"/>
                      <a:ext cx="880110" cy="3695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Tel: +86 10 8525 5500 Fax: +86 10 8525 5511 / 8525 5522</w:t>
      </w:r>
    </w:p>
    <w:p>
      <w:pPr>
        <w:spacing w:after="0" w:line="26" w:lineRule="exact"/>
        <w:rPr>
          <w:sz w:val="20"/>
          <w:szCs w:val="20"/>
          <w:color w:val="auto"/>
        </w:rPr>
      </w:pPr>
    </w:p>
    <w:p>
      <w:pPr>
        <w:ind w:right="3840"/>
        <w:spacing w:after="0" w:line="292" w:lineRule="auto"/>
        <w:rPr>
          <w:sz w:val="20"/>
          <w:szCs w:val="20"/>
          <w:color w:val="auto"/>
        </w:rPr>
      </w:pPr>
      <w:r>
        <w:rPr>
          <w:rFonts w:ascii="Times New Roman" w:cs="Times New Roman" w:eastAsia="Times New Roman" w:hAnsi="Times New Roman"/>
          <w:sz w:val="16"/>
          <w:szCs w:val="16"/>
          <w:color w:val="auto"/>
        </w:rPr>
        <w:t>Beijing Shanghai Shenzhen Hong Kong Haikou Wuhan Singapore New York Silicon Valley www.hankunlaw.com</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10,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Building 19, No. 1355, Caobao Road, Minhang District Shanghai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People’s Republic of China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Sir/Madam:</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hereby consent to the reference of our name under the headings “Item 3. Key Information—D. Risk Factors—Risks Related to Our Corporate Structure” and “Item 4. Information on the Company—C. Organizational Structure” in NIO Inc.’s Annual Report on Form 20-F for the year ended December 31, 2025 (the “</w:t>
      </w:r>
      <w:r>
        <w:rPr>
          <w:rFonts w:ascii="Times New Roman" w:cs="Times New Roman" w:eastAsia="Times New Roman" w:hAnsi="Times New Roman"/>
          <w:sz w:val="16"/>
          <w:szCs w:val="16"/>
          <w:b w:val="1"/>
          <w:bCs w:val="1"/>
          <w:color w:val="auto"/>
        </w:rPr>
        <w:t>Annual Report</w:t>
      </w:r>
      <w:r>
        <w:rPr>
          <w:rFonts w:ascii="Times New Roman" w:cs="Times New Roman" w:eastAsia="Times New Roman" w:hAnsi="Times New Roman"/>
          <w:sz w:val="16"/>
          <w:szCs w:val="16"/>
          <w:color w:val="auto"/>
        </w:rPr>
        <w:t>”), which will be filed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on the date hereof, and further consent to the incorporation by reference, in NIO Inc.’s registration statements on Form S-8 (File No. 333-229952), Form S-8 (File No. 333-272537), Form S-8 (File No. 333-280728), Form S-8 (File No. 333-294166) and Form F-3 (File No. 333-279584), of the summary of our opinion under the headings “Item 3. Key Information—D. Risk Factors—Risks Related to Our Corporate Structure” and “Item 4. Information on the Company—C. Organizational Structure” in the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consent to the filing of this consent letter with the SEC as an exhibit to the Annual Report.</w:t>
      </w:r>
    </w:p>
    <w:p>
      <w:pPr>
        <w:spacing w:after="0" w:line="21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315150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1">
                      <a:extLst>
                        <a:ext uri="{28A0092B-C50C-407E-A947-70E740481C1C}"/>
                      </a:extLst>
                    </a:blip>
                    <a:srcRect/>
                    <a:stretch>
                      <a:fillRect/>
                    </a:stretch>
                  </pic:blipFill>
                  <pic:spPr bwMode="auto">
                    <a:xfrm>
                      <a:off x="0" y="0"/>
                      <a:ext cx="315150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459740</wp:posOffset>
            </wp:positionV>
            <wp:extent cx="6310630" cy="2349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9E7F3E5"/>
    <w:multiLevelType w:val="hybridMultilevel"/>
    <w:lvl w:ilvl="0">
      <w:lvlJc w:val="left"/>
      <w:lvlText w:val="☐"/>
      <w:numFmt w:val="bullet"/>
      <w:start w:val="1"/>
    </w:lvl>
  </w:abstractNum>
  <w:abstractNum w:abstractNumId="1">
    <w:nsid w:val="2A6DE806"/>
    <w:multiLevelType w:val="hybridMultilevel"/>
    <w:lvl w:ilvl="0">
      <w:lvlJc w:val="left"/>
      <w:lvlText w:val="☒"/>
      <w:numFmt w:val="bullet"/>
      <w:start w:val="1"/>
    </w:lvl>
  </w:abstractNum>
  <w:abstractNum w:abstractNumId="2">
    <w:nsid w:val="1816F8C4"/>
    <w:multiLevelType w:val="hybridMultilevel"/>
    <w:lvl w:ilvl="0">
      <w:lvlJc w:val="left"/>
      <w:lvlText w:val="☐"/>
      <w:numFmt w:val="bullet"/>
      <w:start w:val="1"/>
    </w:lvl>
  </w:abstractNum>
  <w:abstractNum w:abstractNumId="3">
    <w:nsid w:val="37DF2233"/>
    <w:multiLevelType w:val="hybridMultilevel"/>
    <w:lvl w:ilvl="0">
      <w:lvlJc w:val="left"/>
      <w:lvlText w:val="☒"/>
      <w:numFmt w:val="bullet"/>
      <w:start w:val="1"/>
    </w:lvl>
  </w:abstractNum>
  <w:abstractNum w:abstractNumId="4">
    <w:nsid w:val="7AB49DAF"/>
    <w:multiLevelType w:val="hybridMultilevel"/>
    <w:lvl w:ilvl="0">
      <w:lvlJc w:val="left"/>
      <w:lvlText w:val="●"/>
      <w:numFmt w:val="bullet"/>
      <w:start w:val="1"/>
    </w:lvl>
  </w:abstractNum>
  <w:abstractNum w:abstractNumId="5">
    <w:nsid w:val="759F82CD"/>
    <w:multiLevelType w:val="hybridMultilevel"/>
    <w:lvl w:ilvl="0">
      <w:lvlJc w:val="left"/>
      <w:lvlText w:val="●"/>
      <w:numFmt w:val="bullet"/>
      <w:start w:val="1"/>
    </w:lvl>
  </w:abstractNum>
  <w:abstractNum w:abstractNumId="6">
    <w:nsid w:val="61E74EA3"/>
    <w:multiLevelType w:val="hybridMultilevel"/>
    <w:lvl w:ilvl="0">
      <w:lvlJc w:val="left"/>
      <w:lvlText w:val="(%1)"/>
      <w:numFmt w:val="decimal"/>
      <w:start w:val="1"/>
    </w:lvl>
  </w:abstractNum>
  <w:abstractNum w:abstractNumId="7">
    <w:nsid w:val="597B4D84"/>
    <w:multiLevelType w:val="hybridMultilevel"/>
    <w:lvl w:ilvl="0">
      <w:lvlJc w:val="left"/>
      <w:lvlText w:val="●"/>
      <w:numFmt w:val="bullet"/>
      <w:start w:val="1"/>
    </w:lvl>
  </w:abstractNum>
  <w:abstractNum w:abstractNumId="8">
    <w:nsid w:val="F819E7F"/>
    <w:multiLevelType w:val="hybridMultilevel"/>
    <w:lvl w:ilvl="0">
      <w:lvlJc w:val="left"/>
      <w:lvlText w:val="(%1)"/>
      <w:numFmt w:val="decimal"/>
      <w:start w:val="1"/>
    </w:lvl>
  </w:abstractNum>
  <w:abstractNum w:abstractNumId="9">
    <w:nsid w:val="57C7D42D"/>
    <w:multiLevelType w:val="hybridMultilevel"/>
    <w:lvl w:ilvl="0">
      <w:lvlJc w:val="left"/>
      <w:lvlText w:val="%1."/>
      <w:numFmt w:val="upperLetter"/>
      <w:start w:val="1"/>
    </w:lvl>
  </w:abstractNum>
  <w:abstractNum w:abstractNumId="10">
    <w:nsid w:val="312167AD"/>
    <w:multiLevelType w:val="hybridMultilevel"/>
    <w:lvl w:ilvl="0">
      <w:lvlJc w:val="left"/>
      <w:lvlText w:val="●"/>
      <w:numFmt w:val="bullet"/>
      <w:start w:val="1"/>
    </w:lvl>
  </w:abstractNum>
  <w:abstractNum w:abstractNumId="11">
    <w:nsid w:val="631B64D4"/>
    <w:multiLevelType w:val="hybridMultilevel"/>
    <w:lvl w:ilvl="0">
      <w:lvlJc w:val="left"/>
      <w:lvlText w:val="●"/>
      <w:numFmt w:val="bullet"/>
      <w:start w:val="1"/>
    </w:lvl>
  </w:abstractNum>
  <w:abstractNum w:abstractNumId="12">
    <w:nsid w:val="78B5E776"/>
    <w:multiLevelType w:val="hybridMultilevel"/>
    <w:lvl w:ilvl="0">
      <w:lvlJc w:val="left"/>
      <w:lvlText w:val="●"/>
      <w:numFmt w:val="bullet"/>
      <w:start w:val="1"/>
    </w:lvl>
  </w:abstractNum>
  <w:abstractNum w:abstractNumId="13">
    <w:nsid w:val="75486E47"/>
    <w:multiLevelType w:val="hybridMultilevel"/>
    <w:lvl w:ilvl="0">
      <w:lvlJc w:val="left"/>
      <w:lvlText w:val="●"/>
      <w:numFmt w:val="bullet"/>
      <w:start w:val="1"/>
    </w:lvl>
  </w:abstractNum>
  <w:abstractNum w:abstractNumId="14">
    <w:nsid w:val="6E534CDE"/>
    <w:multiLevelType w:val="hybridMultilevel"/>
    <w:lvl w:ilvl="0">
      <w:lvlJc w:val="left"/>
      <w:lvlText w:val="●"/>
      <w:numFmt w:val="bullet"/>
      <w:start w:val="1"/>
    </w:lvl>
  </w:abstractNum>
  <w:abstractNum w:abstractNumId="15">
    <w:nsid w:val="1A0DDE32"/>
    <w:multiLevelType w:val="hybridMultilevel"/>
    <w:lvl w:ilvl="0">
      <w:lvlJc w:val="left"/>
      <w:lvlText w:val="●"/>
      <w:numFmt w:val="bullet"/>
      <w:start w:val="1"/>
    </w:lvl>
  </w:abstractNum>
  <w:abstractNum w:abstractNumId="16">
    <w:nsid w:val="65968C1C"/>
    <w:multiLevelType w:val="hybridMultilevel"/>
    <w:lvl w:ilvl="0">
      <w:lvlJc w:val="left"/>
      <w:lvlText w:val="●"/>
      <w:numFmt w:val="bullet"/>
      <w:start w:val="1"/>
    </w:lvl>
  </w:abstractNum>
  <w:abstractNum w:abstractNumId="17">
    <w:nsid w:val="46263DEC"/>
    <w:multiLevelType w:val="hybridMultilevel"/>
    <w:lvl w:ilvl="0">
      <w:lvlJc w:val="left"/>
      <w:lvlText w:val="●"/>
      <w:numFmt w:val="bullet"/>
      <w:start w:val="1"/>
    </w:lvl>
  </w:abstractNum>
  <w:abstractNum w:abstractNumId="18">
    <w:nsid w:val="260D8C4A"/>
    <w:multiLevelType w:val="hybridMultilevel"/>
    <w:lvl w:ilvl="0">
      <w:lvlJc w:val="left"/>
      <w:lvlText w:val="●"/>
      <w:numFmt w:val="bullet"/>
      <w:start w:val="1"/>
    </w:lvl>
  </w:abstractNum>
  <w:abstractNum w:abstractNumId="19">
    <w:nsid w:val="73D4D3C4"/>
    <w:multiLevelType w:val="hybridMultilevel"/>
    <w:lvl w:ilvl="0">
      <w:lvlJc w:val="left"/>
      <w:lvlText w:val="●"/>
      <w:numFmt w:val="bullet"/>
      <w:start w:val="1"/>
    </w:lvl>
  </w:abstractNum>
  <w:abstractNum w:abstractNumId="20">
    <w:nsid w:val="746F2E30"/>
    <w:multiLevelType w:val="hybridMultilevel"/>
    <w:lvl w:ilvl="0">
      <w:lvlJc w:val="left"/>
      <w:lvlText w:val="●"/>
      <w:numFmt w:val="bullet"/>
      <w:start w:val="1"/>
    </w:lvl>
  </w:abstractNum>
  <w:abstractNum w:abstractNumId="21">
    <w:nsid w:val="6FDE8AF6"/>
    <w:multiLevelType w:val="hybridMultilevel"/>
    <w:lvl w:ilvl="0">
      <w:lvlJc w:val="left"/>
      <w:lvlText w:val="●"/>
      <w:numFmt w:val="bullet"/>
      <w:start w:val="1"/>
    </w:lvl>
  </w:abstractNum>
  <w:abstractNum w:abstractNumId="22">
    <w:nsid w:val="3FC32E20"/>
    <w:multiLevelType w:val="hybridMultilevel"/>
    <w:lvl w:ilvl="0">
      <w:lvlJc w:val="left"/>
      <w:lvlText w:val="●"/>
      <w:numFmt w:val="bullet"/>
      <w:start w:val="1"/>
    </w:lvl>
  </w:abstractNum>
  <w:abstractNum w:abstractNumId="23">
    <w:nsid w:val="49C0E823"/>
    <w:multiLevelType w:val="hybridMultilevel"/>
    <w:lvl w:ilvl="0">
      <w:lvlJc w:val="left"/>
      <w:lvlText w:val="●"/>
      <w:numFmt w:val="bullet"/>
      <w:start w:val="1"/>
    </w:lvl>
  </w:abstractNum>
  <w:abstractNum w:abstractNumId="24">
    <w:nsid w:val="14D53685"/>
    <w:multiLevelType w:val="hybridMultilevel"/>
    <w:lvl w:ilvl="0">
      <w:lvlJc w:val="left"/>
      <w:lvlText w:val="●"/>
      <w:numFmt w:val="bullet"/>
      <w:start w:val="1"/>
    </w:lvl>
  </w:abstractNum>
  <w:abstractNum w:abstractNumId="25">
    <w:nsid w:val="230F856C"/>
    <w:multiLevelType w:val="hybridMultilevel"/>
    <w:lvl w:ilvl="0">
      <w:lvlJc w:val="left"/>
      <w:lvlText w:val="●"/>
      <w:numFmt w:val="bullet"/>
      <w:start w:val="1"/>
    </w:lvl>
  </w:abstractNum>
  <w:abstractNum w:abstractNumId="26">
    <w:nsid w:val="6EAA85FB"/>
    <w:multiLevelType w:val="hybridMultilevel"/>
    <w:lvl w:ilvl="0">
      <w:lvlJc w:val="left"/>
      <w:lvlText w:val="%1."/>
      <w:numFmt w:val="decimal"/>
      <w:start w:val="3"/>
    </w:lvl>
  </w:abstractNum>
  <w:abstractNum w:abstractNumId="27">
    <w:nsid w:val="3F06ECB2"/>
    <w:multiLevelType w:val="hybridMultilevel"/>
    <w:lvl w:ilvl="0">
      <w:lvlJc w:val="left"/>
      <w:lvlText w:val="●"/>
      <w:numFmt w:val="bullet"/>
      <w:start w:val="1"/>
    </w:lvl>
  </w:abstractNum>
  <w:abstractNum w:abstractNumId="28">
    <w:nsid w:val="3B594807"/>
    <w:multiLevelType w:val="hybridMultilevel"/>
    <w:lvl w:ilvl="0">
      <w:lvlJc w:val="left"/>
      <w:lvlText w:val="(%1)"/>
      <w:numFmt w:val="lowerRoman"/>
      <w:start w:val="3"/>
    </w:lvl>
  </w:abstractNum>
  <w:abstractNum w:abstractNumId="29">
    <w:nsid w:val="6CAA2304"/>
    <w:multiLevelType w:val="hybridMultilevel"/>
    <w:lvl w:ilvl="0">
      <w:lvlJc w:val="left"/>
      <w:lvlText w:val="●"/>
      <w:numFmt w:val="bullet"/>
      <w:start w:val="1"/>
    </w:lvl>
  </w:abstractNum>
  <w:abstractNum w:abstractNumId="30">
    <w:nsid w:val="3F7C2FF4"/>
    <w:multiLevelType w:val="hybridMultilevel"/>
    <w:lvl w:ilvl="0">
      <w:lvlJc w:val="left"/>
      <w:lvlText w:val="●"/>
      <w:numFmt w:val="bullet"/>
      <w:start w:val="1"/>
    </w:lvl>
  </w:abstractNum>
  <w:abstractNum w:abstractNumId="31">
    <w:nsid w:val="25413BEC"/>
    <w:multiLevelType w:val="hybridMultilevel"/>
    <w:lvl w:ilvl="0">
      <w:lvlJc w:val="left"/>
      <w:lvlText w:val="●"/>
      <w:numFmt w:val="bullet"/>
      <w:start w:val="1"/>
    </w:lvl>
  </w:abstractNum>
  <w:abstractNum w:abstractNumId="32">
    <w:nsid w:val="17180B0B"/>
    <w:multiLevelType w:val="hybridMultilevel"/>
    <w:lvl w:ilvl="0">
      <w:lvlJc w:val="left"/>
      <w:lvlText w:val="●"/>
      <w:numFmt w:val="bullet"/>
      <w:start w:val="1"/>
    </w:lvl>
  </w:abstractNum>
  <w:abstractNum w:abstractNumId="33">
    <w:nsid w:val="579328B9"/>
    <w:multiLevelType w:val="hybridMultilevel"/>
    <w:lvl w:ilvl="0">
      <w:lvlJc w:val="left"/>
      <w:lvlText w:val="●"/>
      <w:numFmt w:val="bullet"/>
      <w:start w:val="1"/>
    </w:lvl>
  </w:abstractNum>
  <w:abstractNum w:abstractNumId="34">
    <w:nsid w:val="5D205E20"/>
    <w:multiLevelType w:val="hybridMultilevel"/>
    <w:lvl w:ilvl="0">
      <w:lvlJc w:val="left"/>
      <w:lvlText w:val="%1."/>
      <w:numFmt w:val="upperLetter"/>
      <w:start w:val="1"/>
    </w:lvl>
  </w:abstractNum>
  <w:abstractNum w:abstractNumId="35">
    <w:nsid w:val="11CCA8BA"/>
    <w:multiLevelType w:val="hybridMultilevel"/>
    <w:lvl w:ilvl="0">
      <w:lvlJc w:val="left"/>
      <w:lvlText w:val="●"/>
      <w:numFmt w:val="bullet"/>
      <w:start w:val="1"/>
    </w:lvl>
  </w:abstractNum>
  <w:abstractNum w:abstractNumId="36">
    <w:nsid w:val="4D32AB86"/>
    <w:multiLevelType w:val="hybridMultilevel"/>
    <w:lvl w:ilvl="0">
      <w:lvlJc w:val="left"/>
      <w:lvlText w:val="%1."/>
      <w:numFmt w:val="upperLetter"/>
      <w:start w:val="2"/>
    </w:lvl>
  </w:abstractNum>
  <w:abstractNum w:abstractNumId="37">
    <w:nsid w:val="3F07ACC3"/>
    <w:multiLevelType w:val="hybridMultilevel"/>
    <w:lvl w:ilvl="0">
      <w:lvlJc w:val="left"/>
      <w:lvlText w:val="●"/>
      <w:numFmt w:val="bullet"/>
      <w:start w:val="1"/>
    </w:lvl>
  </w:abstractNum>
  <w:abstractNum w:abstractNumId="38">
    <w:nsid w:val="6B47F63E"/>
    <w:multiLevelType w:val="hybridMultilevel"/>
    <w:lvl w:ilvl="0">
      <w:lvlJc w:val="left"/>
      <w:lvlText w:val="(%1)"/>
      <w:numFmt w:val="lowerRoman"/>
      <w:start w:val="5"/>
    </w:lvl>
  </w:abstractNum>
  <w:abstractNum w:abstractNumId="39">
    <w:nsid w:val="5CB44A05"/>
    <w:multiLevelType w:val="hybridMultilevel"/>
    <w:lvl w:ilvl="0">
      <w:lvlJc w:val="left"/>
      <w:lvlText w:val="(%1)"/>
      <w:numFmt w:val="lowerRoman"/>
      <w:start w:val="2"/>
    </w:lvl>
  </w:abstractNum>
  <w:abstractNum w:abstractNumId="40">
    <w:nsid w:val="16CF80F1"/>
    <w:multiLevelType w:val="hybridMultilevel"/>
    <w:lvl w:ilvl="0">
      <w:lvlJc w:val="left"/>
      <w:lvlText w:val="(%1)"/>
      <w:numFmt w:val="lowerRoman"/>
      <w:start w:val="3"/>
    </w:lvl>
  </w:abstractNum>
  <w:abstractNum w:abstractNumId="41">
    <w:nsid w:val="1C695DEC"/>
    <w:multiLevelType w:val="hybridMultilevel"/>
    <w:lvl w:ilvl="0">
      <w:lvlJc w:val="left"/>
      <w:lvlText w:val="%1."/>
      <w:numFmt w:val="upperLetter"/>
      <w:start w:val="3"/>
    </w:lvl>
  </w:abstractNum>
  <w:abstractNum w:abstractNumId="42">
    <w:nsid w:val="3FCFAED9"/>
    <w:multiLevelType w:val="hybridMultilevel"/>
    <w:lvl w:ilvl="0">
      <w:lvlJc w:val="left"/>
      <w:lvlText w:val="(%1)"/>
      <w:numFmt w:val="decimal"/>
      <w:start w:val="1"/>
    </w:lvl>
  </w:abstractNum>
  <w:abstractNum w:abstractNumId="43">
    <w:nsid w:val="F856867"/>
    <w:multiLevelType w:val="hybridMultilevel"/>
    <w:lvl w:ilvl="0">
      <w:lvlJc w:val="left"/>
      <w:lvlText w:val="(%1)"/>
      <w:numFmt w:val="lowerRoman"/>
      <w:start w:val="2"/>
    </w:lvl>
  </w:abstractNum>
  <w:abstractNum w:abstractNumId="44">
    <w:nsid w:val="11B1CC33"/>
    <w:multiLevelType w:val="hybridMultilevel"/>
    <w:lvl w:ilvl="0">
      <w:lvlJc w:val="left"/>
      <w:lvlText w:val="(%1)"/>
      <w:numFmt w:val="lowerRoman"/>
      <w:start w:val="1"/>
    </w:lvl>
  </w:abstractNum>
  <w:abstractNum w:abstractNumId="45">
    <w:nsid w:val="2E22FBB7"/>
    <w:multiLevelType w:val="hybridMultilevel"/>
    <w:lvl w:ilvl="0">
      <w:lvlJc w:val="left"/>
      <w:lvlText w:val="(%1)"/>
      <w:numFmt w:val="lowerRoman"/>
      <w:start w:val="1"/>
    </w:lvl>
  </w:abstractNum>
  <w:abstractNum w:abstractNumId="46">
    <w:nsid w:val="29934699"/>
    <w:multiLevelType w:val="hybridMultilevel"/>
    <w:lvl w:ilvl="0">
      <w:lvlJc w:val="left"/>
      <w:lvlText w:val="%1."/>
      <w:numFmt w:val="upperLetter"/>
      <w:start w:val="4"/>
    </w:lvl>
  </w:abstractNum>
  <w:abstractNum w:abstractNumId="47">
    <w:nsid w:val="77485850"/>
    <w:multiLevelType w:val="hybridMultilevel"/>
    <w:lvl w:ilvl="0">
      <w:lvlJc w:val="left"/>
      <w:lvlText w:val="%1."/>
      <w:numFmt w:val="upperLetter"/>
      <w:start w:val="1"/>
    </w:lvl>
  </w:abstractNum>
  <w:abstractNum w:abstractNumId="48">
    <w:nsid w:val="744939A3"/>
    <w:multiLevelType w:val="hybridMultilevel"/>
    <w:lvl w:ilvl="0">
      <w:lvlJc w:val="left"/>
      <w:lvlText w:val="(%1)"/>
      <w:numFmt w:val="decimal"/>
      <w:start w:val="1"/>
    </w:lvl>
  </w:abstractNum>
  <w:abstractNum w:abstractNumId="49">
    <w:nsid w:val="4FA0D2E3"/>
    <w:multiLevelType w:val="hybridMultilevel"/>
    <w:lvl w:ilvl="0">
      <w:lvlJc w:val="left"/>
      <w:lvlText w:val="(%1)"/>
      <w:numFmt w:val="decimal"/>
      <w:start w:val="3"/>
    </w:lvl>
  </w:abstractNum>
  <w:abstractNum w:abstractNumId="50">
    <w:nsid w:val="6B1D2C14"/>
    <w:multiLevelType w:val="hybridMultilevel"/>
    <w:lvl w:ilvl="0">
      <w:lvlJc w:val="left"/>
      <w:lvlText w:val="(%1)"/>
      <w:numFmt w:val="lowerRoman"/>
      <w:start w:val="2"/>
    </w:lvl>
  </w:abstractNum>
  <w:abstractNum w:abstractNumId="51">
    <w:nsid w:val="68B867D3"/>
    <w:multiLevelType w:val="hybridMultilevel"/>
    <w:lvl w:ilvl="0">
      <w:lvlJc w:val="left"/>
      <w:lvlText w:val="%1."/>
      <w:numFmt w:val="upperLetter"/>
      <w:start w:val="2"/>
    </w:lvl>
  </w:abstractNum>
  <w:abstractNum w:abstractNumId="52">
    <w:nsid w:val="3F7F5DD9"/>
    <w:multiLevelType w:val="hybridMultilevel"/>
    <w:lvl w:ilvl="0">
      <w:lvlJc w:val="left"/>
      <w:lvlText w:val="%1."/>
      <w:numFmt w:val="upperLetter"/>
      <w:start w:val="3"/>
    </w:lvl>
  </w:abstractNum>
  <w:abstractNum w:abstractNumId="53">
    <w:nsid w:val="2AE05A34"/>
    <w:multiLevelType w:val="hybridMultilevel"/>
    <w:lvl w:ilvl="0">
      <w:lvlJc w:val="left"/>
      <w:lvlText w:val="%1."/>
      <w:numFmt w:val="upperLetter"/>
      <w:start w:val="5"/>
    </w:lvl>
  </w:abstractNum>
  <w:abstractNum w:abstractNumId="54">
    <w:nsid w:val="32794FF7"/>
    <w:multiLevelType w:val="hybridMultilevel"/>
    <w:lvl w:ilvl="0">
      <w:lvlJc w:val="left"/>
      <w:lvlText w:val="%1."/>
      <w:numFmt w:val="upperLetter"/>
      <w:start w:val="1"/>
    </w:lvl>
  </w:abstractNum>
  <w:abstractNum w:abstractNumId="55">
    <w:nsid w:val="5454945E"/>
    <w:multiLevelType w:val="hybridMultilevel"/>
    <w:lvl w:ilvl="0">
      <w:lvlJc w:val="left"/>
      <w:lvlText w:val="%1."/>
      <w:numFmt w:val="upperLetter"/>
      <w:start w:val="2"/>
    </w:lvl>
  </w:abstractNum>
  <w:abstractNum w:abstractNumId="56">
    <w:nsid w:val="4DEFDFA0"/>
    <w:multiLevelType w:val="hybridMultilevel"/>
    <w:lvl w:ilvl="0">
      <w:lvlJc w:val="left"/>
      <w:lvlText w:val="*"/>
      <w:numFmt w:val="bullet"/>
      <w:start w:val="1"/>
    </w:lvl>
  </w:abstractNum>
  <w:abstractNum w:abstractNumId="57">
    <w:nsid w:val="2123D5F2"/>
    <w:multiLevelType w:val="hybridMultilevel"/>
    <w:lvl w:ilvl="0">
      <w:lvlJc w:val="left"/>
      <w:lvlText w:val="(%1)"/>
      <w:numFmt w:val="decimal"/>
      <w:start w:val="1"/>
    </w:lvl>
  </w:abstractNum>
  <w:abstractNum w:abstractNumId="58">
    <w:nsid w:val="135B8110"/>
    <w:multiLevelType w:val="hybridMultilevel"/>
    <w:lvl w:ilvl="0">
      <w:lvlJc w:val="left"/>
      <w:lvlText w:val="%1."/>
      <w:numFmt w:val="upperLetter"/>
      <w:start w:val="3"/>
    </w:lvl>
  </w:abstractNum>
  <w:abstractNum w:abstractNumId="59">
    <w:nsid w:val="94927A8"/>
    <w:multiLevelType w:val="hybridMultilevel"/>
    <w:lvl w:ilvl="0">
      <w:lvlJc w:val="left"/>
      <w:lvlText w:val="(%1)"/>
      <w:numFmt w:val="lowerLetter"/>
      <w:start w:val="1"/>
    </w:lvl>
  </w:abstractNum>
  <w:abstractNum w:abstractNumId="60">
    <w:nsid w:val="DCDF8F6"/>
    <w:multiLevelType w:val="hybridMultilevel"/>
    <w:lvl w:ilvl="0">
      <w:lvlJc w:val="left"/>
      <w:lvlText w:val="●"/>
      <w:numFmt w:val="bullet"/>
      <w:start w:val="1"/>
    </w:lvl>
  </w:abstractNum>
  <w:abstractNum w:abstractNumId="61">
    <w:nsid w:val="52D7B105"/>
    <w:multiLevelType w:val="hybridMultilevel"/>
    <w:lvl w:ilvl="0">
      <w:lvlJc w:val="left"/>
      <w:lvlText w:val="●"/>
      <w:numFmt w:val="bullet"/>
      <w:start w:val="1"/>
    </w:lvl>
  </w:abstractNum>
  <w:abstractNum w:abstractNumId="62">
    <w:nsid w:val="2E8A6394"/>
    <w:multiLevelType w:val="hybridMultilevel"/>
    <w:lvl w:ilvl="0">
      <w:lvlJc w:val="left"/>
      <w:lvlText w:val="●"/>
      <w:numFmt w:val="bullet"/>
      <w:start w:val="1"/>
    </w:lvl>
  </w:abstractNum>
  <w:abstractNum w:abstractNumId="63">
    <w:nsid w:val="24E60401"/>
    <w:multiLevelType w:val="hybridMultilevel"/>
    <w:lvl w:ilvl="0">
      <w:lvlJc w:val="left"/>
      <w:lvlText w:val="●"/>
      <w:numFmt w:val="bullet"/>
      <w:start w:val="1"/>
    </w:lvl>
  </w:abstractNum>
  <w:abstractNum w:abstractNumId="64">
    <w:nsid w:val="2A6AD9BE"/>
    <w:multiLevelType w:val="hybridMultilevel"/>
    <w:lvl w:ilvl="0">
      <w:lvlJc w:val="left"/>
      <w:lvlText w:val="●"/>
      <w:numFmt w:val="bullet"/>
      <w:start w:val="1"/>
    </w:lvl>
  </w:abstractNum>
  <w:abstractNum w:abstractNumId="65">
    <w:nsid w:val="BAAC1B4"/>
    <w:multiLevelType w:val="hybridMultilevel"/>
    <w:lvl w:ilvl="0">
      <w:lvlJc w:val="left"/>
      <w:lvlText w:val="●"/>
      <w:numFmt w:val="bullet"/>
      <w:start w:val="1"/>
    </w:lvl>
  </w:abstractNum>
  <w:abstractNum w:abstractNumId="66">
    <w:nsid w:val="36B2ACBC"/>
    <w:multiLevelType w:val="hybridMultilevel"/>
    <w:lvl w:ilvl="0">
      <w:lvlJc w:val="left"/>
      <w:lvlText w:val="%1."/>
      <w:numFmt w:val="upperLetter"/>
      <w:start w:val="4"/>
    </w:lvl>
  </w:abstractNum>
  <w:abstractNum w:abstractNumId="67">
    <w:nsid w:val="779D8544"/>
    <w:multiLevelType w:val="hybridMultilevel"/>
    <w:lvl w:ilvl="0">
      <w:lvlJc w:val="left"/>
      <w:lvlText w:val="%1."/>
      <w:numFmt w:val="upperLetter"/>
      <w:start w:val="5"/>
    </w:lvl>
  </w:abstractNum>
  <w:abstractNum w:abstractNumId="68">
    <w:nsid w:val="4AB26E78"/>
    <w:multiLevelType w:val="hybridMultilevel"/>
    <w:lvl w:ilvl="0">
      <w:lvlJc w:val="left"/>
      <w:lvlText w:val="●"/>
      <w:numFmt w:val="bullet"/>
      <w:start w:val="1"/>
    </w:lvl>
  </w:abstractNum>
  <w:abstractNum w:abstractNumId="69">
    <w:nsid w:val="21FAA2FA"/>
    <w:multiLevelType w:val="hybridMultilevel"/>
    <w:lvl w:ilvl="0">
      <w:lvlJc w:val="left"/>
      <w:lvlText w:val="*"/>
      <w:numFmt w:val="bullet"/>
      <w:start w:val="1"/>
    </w:lvl>
    <w:lvl w:ilvl="1">
      <w:lvlJc w:val="left"/>
      <w:lvlText w:val="†"/>
      <w:numFmt w:val="bullet"/>
      <w:start w:val="1"/>
    </w:lvl>
  </w:abstractNum>
  <w:abstractNum w:abstractNumId="70">
    <w:nsid w:val="5451CF49"/>
    <w:multiLevelType w:val="hybridMultilevel"/>
    <w:lvl w:ilvl="0">
      <w:lvlJc w:val="left"/>
      <w:lvlText w:val="(%1)"/>
      <w:numFmt w:val="decimal"/>
      <w:start w:val="1"/>
    </w:lvl>
  </w:abstractNum>
  <w:abstractNum w:abstractNumId="71">
    <w:nsid w:val="6181EF69"/>
    <w:multiLevelType w:val="hybridMultilevel"/>
    <w:lvl w:ilvl="0">
      <w:lvlJc w:val="left"/>
      <w:lvlText w:val="(%1)"/>
      <w:numFmt w:val="decimal"/>
      <w:start w:val="9"/>
    </w:lvl>
  </w:abstractNum>
  <w:abstractNum w:abstractNumId="72">
    <w:nsid w:val="3E6400E6"/>
    <w:multiLevelType w:val="hybridMultilevel"/>
    <w:lvl w:ilvl="0">
      <w:lvlJc w:val="left"/>
      <w:lvlText w:val="%1."/>
      <w:numFmt w:val="upperLetter"/>
      <w:start w:val="6"/>
    </w:lvl>
  </w:abstractNum>
  <w:abstractNum w:abstractNumId="73">
    <w:nsid w:val="14217E23"/>
    <w:multiLevelType w:val="hybridMultilevel"/>
    <w:lvl w:ilvl="0">
      <w:lvlJc w:val="left"/>
      <w:lvlText w:val="%1."/>
      <w:numFmt w:val="upperLetter"/>
      <w:start w:val="1"/>
    </w:lvl>
  </w:abstractNum>
  <w:abstractNum w:abstractNumId="74">
    <w:nsid w:val="710757D0"/>
    <w:multiLevelType w:val="hybridMultilevel"/>
    <w:lvl w:ilvl="0">
      <w:lvlJc w:val="left"/>
      <w:lvlText w:val="%1."/>
      <w:numFmt w:val="upperLetter"/>
      <w:start w:val="2"/>
    </w:lvl>
  </w:abstractNum>
  <w:abstractNum w:abstractNumId="75">
    <w:nsid w:val="5015CD1A"/>
    <w:multiLevelType w:val="hybridMultilevel"/>
    <w:lvl w:ilvl="0">
      <w:lvlJc w:val="left"/>
      <w:lvlText w:val="(%1)"/>
      <w:numFmt w:val="lowerRoman"/>
      <w:start w:val="1"/>
    </w:lvl>
  </w:abstractNum>
  <w:abstractNum w:abstractNumId="76">
    <w:nsid w:val="424479DA"/>
    <w:multiLevelType w:val="hybridMultilevel"/>
    <w:lvl w:ilvl="0">
      <w:lvlJc w:val="left"/>
      <w:lvlText w:val="%1."/>
      <w:numFmt w:val="upperLetter"/>
      <w:start w:val="3"/>
    </w:lvl>
  </w:abstractNum>
  <w:abstractNum w:abstractNumId="77">
    <w:nsid w:val="1A9A9E69"/>
    <w:multiLevelType w:val="hybridMultilevel"/>
    <w:lvl w:ilvl="0">
      <w:lvlJc w:val="left"/>
      <w:lvlText w:val="%1."/>
      <w:numFmt w:val="upperLetter"/>
      <w:start w:val="1"/>
    </w:lvl>
  </w:abstractNum>
  <w:abstractNum w:abstractNumId="78">
    <w:nsid w:val="475E256A"/>
    <w:multiLevelType w:val="hybridMultilevel"/>
    <w:lvl w:ilvl="0">
      <w:lvlJc w:val="left"/>
      <w:lvlText w:val="%1."/>
      <w:numFmt w:val="upperLetter"/>
      <w:start w:val="2"/>
    </w:lvl>
  </w:abstractNum>
  <w:abstractNum w:abstractNumId="79">
    <w:nsid w:val="368DB37E"/>
    <w:multiLevelType w:val="hybridMultilevel"/>
    <w:lvl w:ilvl="0">
      <w:lvlJc w:val="left"/>
      <w:lvlText w:val="%1."/>
      <w:numFmt w:val="upperLetter"/>
      <w:start w:val="1"/>
    </w:lvl>
  </w:abstractNum>
  <w:abstractNum w:abstractNumId="80">
    <w:nsid w:val="6A3B714C"/>
    <w:multiLevelType w:val="hybridMultilevel"/>
    <w:lvl w:ilvl="0">
      <w:lvlJc w:val="left"/>
      <w:lvlText w:val="%1."/>
      <w:numFmt w:val="upperLetter"/>
      <w:start w:val="2"/>
    </w:lvl>
  </w:abstractNum>
  <w:abstractNum w:abstractNumId="81">
    <w:nsid w:val="327B517E"/>
    <w:multiLevelType w:val="hybridMultilevel"/>
    <w:lvl w:ilvl="0">
      <w:lvlJc w:val="left"/>
      <w:lvlText w:val="%1."/>
      <w:numFmt w:val="upperLetter"/>
      <w:start w:val="4"/>
    </w:lvl>
  </w:abstractNum>
  <w:abstractNum w:abstractNumId="82">
    <w:nsid w:val="1F461B51"/>
    <w:multiLevelType w:val="hybridMultilevel"/>
    <w:lvl w:ilvl="0">
      <w:lvlJc w:val="left"/>
      <w:lvlText w:val="%1."/>
      <w:numFmt w:val="upperLetter"/>
      <w:start w:val="6"/>
    </w:lvl>
  </w:abstractNum>
  <w:abstractNum w:abstractNumId="83">
    <w:nsid w:val="29BACF25"/>
    <w:multiLevelType w:val="hybridMultilevel"/>
    <w:lvl w:ilvl="0">
      <w:lvlJc w:val="left"/>
      <w:lvlText w:val="%1."/>
      <w:numFmt w:val="upperLetter"/>
      <w:start w:val="1"/>
    </w:lvl>
  </w:abstractNum>
  <w:abstractNum w:abstractNumId="84">
    <w:nsid w:val="5D5BABB3"/>
    <w:multiLevelType w:val="hybridMultilevel"/>
    <w:lvl w:ilvl="0">
      <w:lvlJc w:val="left"/>
      <w:lvlText w:val="(%1)"/>
      <w:numFmt w:val="lowerRoman"/>
      <w:start w:val="1"/>
    </w:lvl>
  </w:abstractNum>
  <w:abstractNum w:abstractNumId="85">
    <w:nsid w:val="51BF6B48"/>
    <w:multiLevelType w:val="hybridMultilevel"/>
    <w:lvl w:ilvl="0">
      <w:lvlJc w:val="left"/>
      <w:lvlText w:val="●"/>
      <w:numFmt w:val="bullet"/>
      <w:start w:val="1"/>
    </w:lvl>
  </w:abstractNum>
  <w:abstractNum w:abstractNumId="86">
    <w:nsid w:val="7E0F6384"/>
    <w:multiLevelType w:val="hybridMultilevel"/>
    <w:lvl w:ilvl="0">
      <w:lvlJc w:val="left"/>
      <w:lvlText w:val="●"/>
      <w:numFmt w:val="bullet"/>
      <w:start w:val="1"/>
    </w:lvl>
  </w:abstractNum>
  <w:abstractNum w:abstractNumId="87">
    <w:nsid w:val="2B4B8B53"/>
    <w:multiLevelType w:val="hybridMultilevel"/>
    <w:lvl w:ilvl="0">
      <w:lvlJc w:val="left"/>
      <w:lvlText w:val="●"/>
      <w:numFmt w:val="bullet"/>
      <w:start w:val="1"/>
    </w:lvl>
  </w:abstractNum>
  <w:abstractNum w:abstractNumId="88">
    <w:nsid w:val="72E3413A"/>
    <w:multiLevelType w:val="hybridMultilevel"/>
    <w:lvl w:ilvl="0">
      <w:lvlJc w:val="left"/>
      <w:lvlText w:val="●"/>
      <w:numFmt w:val="bullet"/>
      <w:start w:val="1"/>
    </w:lvl>
  </w:abstractNum>
  <w:abstractNum w:abstractNumId="89">
    <w:nsid w:val="116AE494"/>
    <w:multiLevelType w:val="hybridMultilevel"/>
    <w:lvl w:ilvl="0">
      <w:lvlJc w:val="left"/>
      <w:lvlText w:val="●"/>
      <w:numFmt w:val="bullet"/>
      <w:start w:val="1"/>
    </w:lvl>
  </w:abstractNum>
  <w:abstractNum w:abstractNumId="90">
    <w:nsid w:val="3494B2FB"/>
    <w:multiLevelType w:val="hybridMultilevel"/>
    <w:lvl w:ilvl="0">
      <w:lvlJc w:val="left"/>
      <w:lvlText w:val="●"/>
      <w:numFmt w:val="bullet"/>
      <w:start w:val="1"/>
    </w:lvl>
  </w:abstractNum>
  <w:abstractNum w:abstractNumId="91">
    <w:nsid w:val="B13A31"/>
    <w:multiLevelType w:val="hybridMultilevel"/>
    <w:lvl w:ilvl="0">
      <w:lvlJc w:val="left"/>
      <w:lvlText w:val="●"/>
      <w:numFmt w:val="bullet"/>
      <w:start w:val="1"/>
    </w:lvl>
  </w:abstractNum>
  <w:abstractNum w:abstractNumId="92">
    <w:nsid w:val="64429599"/>
    <w:multiLevelType w:val="hybridMultilevel"/>
    <w:lvl w:ilvl="0">
      <w:lvlJc w:val="left"/>
      <w:lvlText w:val="●"/>
      <w:numFmt w:val="bullet"/>
      <w:start w:val="1"/>
    </w:lvl>
  </w:abstractNum>
  <w:abstractNum w:abstractNumId="93">
    <w:nsid w:val="631F1690"/>
    <w:multiLevelType w:val="hybridMultilevel"/>
    <w:lvl w:ilvl="0">
      <w:lvlJc w:val="left"/>
      <w:lvlText w:val="●"/>
      <w:numFmt w:val="bullet"/>
      <w:start w:val="1"/>
    </w:lvl>
  </w:abstractNum>
  <w:abstractNum w:abstractNumId="94">
    <w:nsid w:val="25973E32"/>
    <w:multiLevelType w:val="hybridMultilevel"/>
    <w:lvl w:ilvl="0">
      <w:lvlJc w:val="left"/>
      <w:lvlText w:val="(%1)"/>
      <w:numFmt w:val="lowerLetter"/>
      <w:start w:val="1"/>
    </w:lvl>
  </w:abstractNum>
  <w:abstractNum w:abstractNumId="95">
    <w:nsid w:val="EAD6F57"/>
    <w:multiLevelType w:val="hybridMultilevel"/>
    <w:lvl w:ilvl="0">
      <w:lvlJc w:val="left"/>
      <w:lvlText w:val="%1."/>
      <w:numFmt w:val="upperLetter"/>
      <w:start w:val="3"/>
    </w:lvl>
  </w:abstractNum>
  <w:abstractNum w:abstractNumId="96">
    <w:nsid w:val="6EC9D844"/>
    <w:multiLevelType w:val="hybridMultilevel"/>
    <w:lvl w:ilvl="0">
      <w:lvlJc w:val="left"/>
      <w:lvlText w:val="%1."/>
      <w:numFmt w:val="upperLetter"/>
      <w:start w:val="4"/>
    </w:lvl>
  </w:abstractNum>
  <w:abstractNum w:abstractNumId="97">
    <w:nsid w:val="5C49EAEE"/>
    <w:multiLevelType w:val="hybridMultilevel"/>
    <w:lvl w:ilvl="0">
      <w:lvlJc w:val="left"/>
      <w:lvlText w:val="%1."/>
      <w:numFmt w:val="upperLetter"/>
      <w:start w:val="5"/>
    </w:lvl>
  </w:abstractNum>
  <w:abstractNum w:abstractNumId="98">
    <w:nsid w:val="64AF49B"/>
    <w:multiLevelType w:val="hybridMultilevel"/>
    <w:lvl w:ilvl="0">
      <w:lvlJc w:val="left"/>
      <w:lvlText w:val="●"/>
      <w:numFmt w:val="bullet"/>
      <w:start w:val="1"/>
    </w:lvl>
  </w:abstractNum>
  <w:abstractNum w:abstractNumId="99">
    <w:nsid w:val="397C46BC"/>
    <w:multiLevelType w:val="hybridMultilevel"/>
    <w:lvl w:ilvl="0">
      <w:lvlJc w:val="left"/>
      <w:lvlText w:val="●"/>
      <w:numFmt w:val="bullet"/>
      <w:start w:val="1"/>
    </w:lvl>
  </w:abstractNum>
  <w:abstractNum w:abstractNumId="100">
    <w:nsid w:val="7E448DE9"/>
    <w:multiLevelType w:val="hybridMultilevel"/>
    <w:lvl w:ilvl="0">
      <w:lvlJc w:val="left"/>
      <w:lvlText w:val="(%1)"/>
      <w:numFmt w:val="lowerRoman"/>
      <w:start w:val="1"/>
    </w:lvl>
  </w:abstractNum>
  <w:abstractNum w:abstractNumId="101">
    <w:nsid w:val="5A9CC3E5"/>
    <w:multiLevelType w:val="hybridMultilevel"/>
    <w:lvl w:ilvl="0">
      <w:lvlJc w:val="left"/>
      <w:lvlText w:val="●"/>
      <w:numFmt w:val="bullet"/>
      <w:start w:val="1"/>
    </w:lvl>
  </w:abstractNum>
  <w:abstractNum w:abstractNumId="102">
    <w:nsid w:val="1AFE3625"/>
    <w:multiLevelType w:val="hybridMultilevel"/>
    <w:lvl w:ilvl="0">
      <w:lvlJc w:val="left"/>
      <w:lvlText w:val="%1."/>
      <w:numFmt w:val="upperLetter"/>
      <w:start w:val="6"/>
    </w:lvl>
  </w:abstractNum>
  <w:abstractNum w:abstractNumId="103">
    <w:nsid w:val="3CA88ECF"/>
    <w:multiLevelType w:val="hybridMultilevel"/>
    <w:lvl w:ilvl="0">
      <w:lvlJc w:val="left"/>
      <w:lvlText w:val="%1."/>
      <w:numFmt w:val="upperLetter"/>
      <w:start w:val="9"/>
    </w:lvl>
  </w:abstractNum>
  <w:abstractNum w:abstractNumId="104">
    <w:nsid w:val="6EBE4208"/>
    <w:multiLevelType w:val="hybridMultilevel"/>
    <w:lvl w:ilvl="0">
      <w:lvlJc w:val="left"/>
      <w:lvlText w:val="%1."/>
      <w:numFmt w:val="upperLetter"/>
      <w:start w:val="1"/>
    </w:lvl>
  </w:abstractNum>
  <w:abstractNum w:abstractNumId="105">
    <w:nsid w:val="C058DF5"/>
    <w:multiLevelType w:val="hybridMultilevel"/>
    <w:lvl w:ilvl="0">
      <w:lvlJc w:val="left"/>
      <w:lvlText w:val="%1."/>
      <w:numFmt w:val="upperLetter"/>
      <w:start w:val="4"/>
    </w:lvl>
  </w:abstractNum>
  <w:abstractNum w:abstractNumId="106">
    <w:nsid w:val="CBE5BE9"/>
    <w:multiLevelType w:val="hybridMultilevel"/>
    <w:lvl w:ilvl="0">
      <w:lvlJc w:val="left"/>
      <w:lvlText w:val="●"/>
      <w:numFmt w:val="bullet"/>
      <w:start w:val="1"/>
    </w:lvl>
  </w:abstractNum>
  <w:abstractNum w:abstractNumId="107">
    <w:nsid w:val="3102BBE2"/>
    <w:multiLevelType w:val="hybridMultilevel"/>
    <w:lvl w:ilvl="0">
      <w:lvlJc w:val="left"/>
      <w:lvlText w:val="%1."/>
      <w:numFmt w:val="upperLetter"/>
      <w:start w:val="1"/>
    </w:lvl>
  </w:abstractNum>
  <w:abstractNum w:abstractNumId="108">
    <w:nsid w:val="26A02C5E"/>
    <w:multiLevelType w:val="hybridMultilevel"/>
    <w:lvl w:ilvl="0">
      <w:lvlJc w:val="left"/>
      <w:lvlText w:val="●"/>
      <w:numFmt w:val="bullet"/>
      <w:start w:val="1"/>
    </w:lvl>
  </w:abstractNum>
  <w:abstractNum w:abstractNumId="109">
    <w:nsid w:val="541C8153"/>
    <w:multiLevelType w:val="hybridMultilevel"/>
    <w:lvl w:ilvl="0">
      <w:lvlJc w:val="left"/>
      <w:lvlText w:val="●"/>
      <w:numFmt w:val="bullet"/>
      <w:start w:val="1"/>
    </w:lvl>
  </w:abstractNum>
  <w:abstractNum w:abstractNumId="110">
    <w:nsid w:val="67906F60"/>
    <w:multiLevelType w:val="hybridMultilevel"/>
    <w:lvl w:ilvl="0">
      <w:lvlJc w:val="left"/>
      <w:lvlText w:val="%1."/>
      <w:numFmt w:val="upperLetter"/>
      <w:start w:val="2"/>
    </w:lvl>
  </w:abstractNum>
  <w:abstractNum w:abstractNumId="111">
    <w:nsid w:val="10DB9DAA"/>
    <w:multiLevelType w:val="hybridMultilevel"/>
    <w:lvl w:ilvl="0">
      <w:lvlJc w:val="left"/>
      <w:lvlText w:val="%1."/>
      <w:numFmt w:val="upperLetter"/>
      <w:start w:val="3"/>
    </w:lvl>
  </w:abstractNum>
  <w:abstractNum w:abstractNumId="112">
    <w:nsid w:val="697D2D2"/>
    <w:multiLevelType w:val="hybridMultilevel"/>
    <w:lvl w:ilvl="0">
      <w:lvlJc w:val="left"/>
      <w:lvlText w:val="●"/>
      <w:numFmt w:val="bullet"/>
      <w:start w:val="1"/>
    </w:lvl>
  </w:abstractNum>
  <w:abstractNum w:abstractNumId="113">
    <w:nsid w:val="6D68AB2"/>
    <w:multiLevelType w:val="hybridMultilevel"/>
    <w:lvl w:ilvl="0">
      <w:lvlJc w:val="left"/>
      <w:lvlText w:val="%1."/>
      <w:numFmt w:val="upperLetter"/>
      <w:start w:val="4"/>
    </w:lvl>
  </w:abstractNum>
  <w:abstractNum w:abstractNumId="114">
    <w:nsid w:val="3A966CD0"/>
    <w:multiLevelType w:val="hybridMultilevel"/>
    <w:lvl w:ilvl="0">
      <w:lvlJc w:val="left"/>
      <w:lvlText w:val="●"/>
      <w:numFmt w:val="bullet"/>
      <w:start w:val="1"/>
    </w:lvl>
  </w:abstractNum>
  <w:abstractNum w:abstractNumId="115">
    <w:nsid w:val="63F37E85"/>
    <w:multiLevelType w:val="hybridMultilevel"/>
    <w:lvl w:ilvl="0">
      <w:lvlJc w:val="left"/>
      <w:lvlText w:val="%1."/>
      <w:numFmt w:val="upperLetter"/>
      <w:start w:val="5"/>
    </w:lvl>
    <w:lvl w:ilvl="1">
      <w:lvlJc w:val="left"/>
      <w:lvlText w:val="●"/>
      <w:numFmt w:val="bullet"/>
      <w:start w:val="1"/>
    </w:lvl>
  </w:abstractNum>
  <w:abstractNum w:abstractNumId="116">
    <w:nsid w:val="5895F5FA"/>
    <w:multiLevelType w:val="hybridMultilevel"/>
    <w:lvl w:ilvl="0">
      <w:lvlJc w:val="left"/>
      <w:lvlText w:val="%1."/>
      <w:numFmt w:val="upperLetter"/>
      <w:start w:val="1"/>
    </w:lvl>
  </w:abstractNum>
  <w:abstractNum w:abstractNumId="117">
    <w:nsid w:val="38A5D054"/>
    <w:multiLevelType w:val="hybridMultilevel"/>
    <w:lvl w:ilvl="0">
      <w:lvlJc w:val="left"/>
      <w:lvlText w:val="(%1)"/>
      <w:numFmt w:val="decimal"/>
      <w:start w:val="1"/>
    </w:lvl>
  </w:abstractNum>
  <w:abstractNum w:abstractNumId="118">
    <w:nsid w:val="F3F09D8"/>
    <w:multiLevelType w:val="hybridMultilevel"/>
    <w:lvl w:ilvl="0">
      <w:lvlJc w:val="left"/>
      <w:lvlText w:val="%1."/>
      <w:numFmt w:val="upperLetter"/>
      <w:start w:val="2"/>
    </w:lvl>
  </w:abstractNum>
  <w:abstractNum w:abstractNumId="119">
    <w:nsid w:val="4B793735"/>
    <w:multiLevelType w:val="hybridMultilevel"/>
    <w:lvl w:ilvl="0">
      <w:lvlJc w:val="left"/>
      <w:lvlText w:val="%1."/>
      <w:numFmt w:val="upperLetter"/>
      <w:start w:val="3"/>
    </w:lvl>
  </w:abstractNum>
  <w:abstractNum w:abstractNumId="120">
    <w:nsid w:val="4A10B4E8"/>
    <w:multiLevelType w:val="hybridMultilevel"/>
    <w:lvl w:ilvl="0">
      <w:lvlJc w:val="left"/>
      <w:lvlText w:val="%1."/>
      <w:numFmt w:val="upperLetter"/>
      <w:start w:val="4"/>
    </w:lvl>
  </w:abstractNum>
  <w:abstractNum w:abstractNumId="121">
    <w:nsid w:val="43D3BCD4"/>
    <w:multiLevelType w:val="hybridMultilevel"/>
    <w:lvl w:ilvl="0">
      <w:lvlJc w:val="left"/>
      <w:lvlText w:val="%1."/>
      <w:numFmt w:val="upperLetter"/>
      <w:start w:val="5"/>
    </w:lvl>
  </w:abstractNum>
  <w:abstractNum w:abstractNumId="122">
    <w:nsid w:val="4C2A7166"/>
    <w:multiLevelType w:val="hybridMultilevel"/>
    <w:lvl w:ilvl="0">
      <w:lvlJc w:val="left"/>
      <w:lvlText w:val="%1."/>
      <w:numFmt w:val="upperLetter"/>
      <w:start w:val="6"/>
    </w:lvl>
  </w:abstractNum>
  <w:abstractNum w:abstractNumId="123">
    <w:nsid w:val="2E534A82"/>
    <w:multiLevelType w:val="hybridMultilevel"/>
    <w:lvl w:ilvl="0">
      <w:lvlJc w:val="left"/>
      <w:lvlText w:val="%1."/>
      <w:numFmt w:val="upperLetter"/>
      <w:start w:val="7"/>
    </w:lvl>
  </w:abstractNum>
  <w:abstractNum w:abstractNumId="124">
    <w:nsid w:val="26F2D364"/>
    <w:multiLevelType w:val="hybridMultilevel"/>
    <w:lvl w:ilvl="0">
      <w:lvlJc w:val="left"/>
      <w:lvlText w:val="%1."/>
      <w:numFmt w:val="upperLetter"/>
      <w:start w:val="8"/>
    </w:lvl>
  </w:abstractNum>
  <w:abstractNum w:abstractNumId="125">
    <w:nsid w:val="71C1AF98"/>
    <w:multiLevelType w:val="hybridMultilevel"/>
    <w:lvl w:ilvl="0">
      <w:lvlJc w:val="left"/>
      <w:lvlText w:val="%1."/>
      <w:numFmt w:val="upperLetter"/>
      <w:start w:val="9"/>
    </w:lvl>
  </w:abstractNum>
  <w:abstractNum w:abstractNumId="126">
    <w:nsid w:val="3D00B9D9"/>
    <w:multiLevelType w:val="hybridMultilevel"/>
    <w:lvl w:ilvl="0">
      <w:lvlJc w:val="left"/>
      <w:lvlText w:val="●"/>
      <w:numFmt w:val="bullet"/>
      <w:start w:val="1"/>
    </w:lvl>
  </w:abstractNum>
  <w:abstractNum w:abstractNumId="127">
    <w:nsid w:val="15BCABA8"/>
    <w:multiLevelType w:val="hybridMultilevel"/>
    <w:lvl w:ilvl="0">
      <w:lvlJc w:val="left"/>
      <w:lvlText w:val="(%1)"/>
      <w:numFmt w:val="decimal"/>
      <w:start w:val="1"/>
    </w:lvl>
  </w:abstractNum>
  <w:abstractNum w:abstractNumId="128">
    <w:nsid w:val="4E0B9A87"/>
    <w:multiLevelType w:val="hybridMultilevel"/>
    <w:lvl w:ilvl="0">
      <w:lvlJc w:val="left"/>
      <w:lvlText w:val="(%1)"/>
      <w:numFmt w:val="decimal"/>
      <w:start w:val="1"/>
    </w:lvl>
  </w:abstractNum>
  <w:abstractNum w:abstractNumId="129">
    <w:nsid w:val="434BAE75"/>
    <w:multiLevelType w:val="hybridMultilevel"/>
    <w:lvl w:ilvl="0">
      <w:lvlJc w:val="left"/>
      <w:lvlText w:val="(%1)"/>
      <w:numFmt w:val="decimal"/>
      <w:start w:val="4"/>
    </w:lvl>
  </w:abstractNum>
  <w:abstractNum w:abstractNumId="130">
    <w:nsid w:val="4F38F265"/>
    <w:multiLevelType w:val="hybridMultilevel"/>
    <w:lvl w:ilvl="0">
      <w:lvlJc w:val="left"/>
      <w:lvlText w:val="*"/>
      <w:numFmt w:val="bullet"/>
      <w:start w:val="1"/>
    </w:lvl>
  </w:abstractNum>
  <w:abstractNum w:abstractNumId="131">
    <w:nsid w:val="4C502870"/>
    <w:multiLevelType w:val="hybridMultilevel"/>
    <w:lvl w:ilvl="0">
      <w:lvlJc w:val="left"/>
      <w:lvlText w:val="†"/>
      <w:numFmt w:val="bullet"/>
      <w:start w:val="1"/>
    </w:lvl>
  </w:abstractNum>
  <w:abstractNum w:abstractNumId="132">
    <w:nsid w:val="1DE8725A"/>
    <w:multiLevelType w:val="hybridMultilevel"/>
    <w:lvl w:ilvl="0">
      <w:lvlJc w:val="left"/>
      <w:lvlText w:val="%1."/>
      <w:numFmt w:val="decimal"/>
      <w:start w:val="1"/>
    </w:lvl>
  </w:abstractNum>
  <w:abstractNum w:abstractNumId="133">
    <w:nsid w:val="6A37288A"/>
    <w:multiLevelType w:val="hybridMultilevel"/>
    <w:lvl w:ilvl="0">
      <w:lvlJc w:val="left"/>
      <w:lvlText w:val="%1."/>
      <w:numFmt w:val="decimal"/>
      <w:start w:val="2"/>
    </w:lvl>
  </w:abstractNum>
  <w:abstractNum w:abstractNumId="134">
    <w:nsid w:val="8F8B73F"/>
    <w:multiLevelType w:val="hybridMultilevel"/>
    <w:lvl w:ilvl="0">
      <w:lvlJc w:val="left"/>
      <w:lvlText w:val="●"/>
      <w:numFmt w:val="bullet"/>
      <w:start w:val="1"/>
    </w:lvl>
  </w:abstractNum>
  <w:abstractNum w:abstractNumId="135">
    <w:nsid w:val="CA6B462"/>
    <w:multiLevelType w:val="hybridMultilevel"/>
    <w:lvl w:ilvl="0">
      <w:lvlJc w:val="left"/>
      <w:lvlText w:val="●"/>
      <w:numFmt w:val="bullet"/>
      <w:start w:val="1"/>
    </w:lvl>
  </w:abstractNum>
  <w:abstractNum w:abstractNumId="136">
    <w:nsid w:val="763CB680"/>
    <w:multiLevelType w:val="hybridMultilevel"/>
    <w:lvl w:ilvl="0">
      <w:lvlJc w:val="left"/>
      <w:lvlText w:val="(%1)"/>
      <w:numFmt w:val="lowerRoman"/>
      <w:start w:val="4"/>
    </w:lvl>
  </w:abstractNum>
  <w:abstractNum w:abstractNumId="137">
    <w:nsid w:val="15B71329"/>
    <w:multiLevelType w:val="hybridMultilevel"/>
    <w:lvl w:ilvl="0">
      <w:lvlJc w:val="left"/>
      <w:lvlText w:val="%1."/>
      <w:numFmt w:val="decimal"/>
      <w:start w:val="3"/>
    </w:lvl>
  </w:abstractNum>
  <w:abstractNum w:abstractNumId="138">
    <w:nsid w:val="3DA97044"/>
    <w:multiLevelType w:val="hybridMultilevel"/>
    <w:lvl w:ilvl="0">
      <w:lvlJc w:val="left"/>
      <w:lvlText w:val="%1."/>
      <w:numFmt w:val="decimal"/>
      <w:start w:val="4"/>
    </w:lvl>
  </w:abstractNum>
  <w:abstractNum w:abstractNumId="139">
    <w:nsid w:val="1CDCE2DE"/>
    <w:multiLevelType w:val="hybridMultilevel"/>
    <w:lvl w:ilvl="0">
      <w:lvlJc w:val="left"/>
      <w:lvlText w:val="%1."/>
      <w:numFmt w:val="decimal"/>
      <w:start w:val="16"/>
    </w:lvl>
  </w:abstractNum>
  <w:abstractNum w:abstractNumId="140">
    <w:nsid w:val="69D3947C"/>
    <w:multiLevelType w:val="hybridMultilevel"/>
    <w:lvl w:ilvl="0">
      <w:lvlJc w:val="left"/>
      <w:lvlText w:val="%1."/>
      <w:numFmt w:val="decimal"/>
      <w:start w:val="22"/>
    </w:lvl>
  </w:abstractNum>
  <w:abstractNum w:abstractNumId="141">
    <w:nsid w:val="2539DFA5"/>
    <w:multiLevelType w:val="hybridMultilevel"/>
    <w:lvl w:ilvl="0">
      <w:lvlJc w:val="left"/>
      <w:lvlText w:val="%1."/>
      <w:numFmt w:val="decimal"/>
      <w:start w:val="23"/>
    </w:lvl>
    <w:lvl w:ilvl="1">
      <w:lvlJc w:val="left"/>
      <w:lvlText w:val="(%2)"/>
      <w:numFmt w:val="lowerLetter"/>
      <w:start w:val="1"/>
    </w:lvl>
  </w:abstractNum>
  <w:abstractNum w:abstractNumId="142">
    <w:nsid w:val="2DB88089"/>
    <w:multiLevelType w:val="hybridMultilevel"/>
    <w:lvl w:ilvl="0">
      <w:lvlJc w:val="left"/>
      <w:lvlText w:val="%1."/>
      <w:numFmt w:val="decimal"/>
      <w:start w:val="27"/>
    </w:lvl>
    <w:lvl w:ilvl="1">
      <w:lvlJc w:val="left"/>
      <w:lvlText w:val="(%2)"/>
      <w:numFmt w:val="lowerLetter"/>
      <w:start w:val="1"/>
    </w:lvl>
  </w:abstractNum>
  <w:abstractNum w:abstractNumId="143">
    <w:nsid w:val="706B674E"/>
    <w:multiLevelType w:val="hybridMultilevel"/>
    <w:lvl w:ilvl="0">
      <w:lvlJc w:val="left"/>
      <w:lvlText w:val="%1."/>
      <w:numFmt w:val="decimal"/>
      <w:start w:val="1"/>
    </w:lvl>
  </w:abstractNum>
  <w:abstractNum w:abstractNumId="144">
    <w:nsid w:val="2C106A57"/>
    <w:multiLevelType w:val="hybridMultilevel"/>
    <w:lvl w:ilvl="0">
      <w:lvlJc w:val="left"/>
      <w:lvlText w:val="(%1)"/>
      <w:numFmt w:val="decimal"/>
      <w:start w:val="1"/>
    </w:lvl>
  </w:abstractNum>
  <w:abstractNum w:abstractNumId="145">
    <w:nsid w:val="684EED59"/>
    <w:multiLevelType w:val="hybridMultilevel"/>
    <w:lvl w:ilvl="0">
      <w:lvlJc w:val="left"/>
      <w:lvlText w:val="(%1)"/>
      <w:numFmt w:val="upperLetter"/>
      <w:start w:val="1"/>
    </w:lvl>
  </w:abstractNum>
  <w:abstractNum w:abstractNumId="146">
    <w:nsid w:val="545EE5D3"/>
    <w:multiLevelType w:val="hybridMultilevel"/>
    <w:lvl w:ilvl="0">
      <w:lvlJc w:val="left"/>
      <w:lvlText w:val="%1."/>
      <w:numFmt w:val="decimal"/>
      <w:start w:val="1"/>
    </w:lvl>
  </w:abstractNum>
  <w:abstractNum w:abstractNumId="147">
    <w:nsid w:val="4A66051"/>
    <w:multiLevelType w:val="hybridMultilevel"/>
    <w:lvl w:ilvl="0">
      <w:lvlJc w:val="left"/>
      <w:lvlText w:val="%1."/>
      <w:numFmt w:val="decimal"/>
      <w:start w:val="2"/>
    </w:lvl>
  </w:abstractNum>
  <w:abstractNum w:abstractNumId="148">
    <w:nsid w:val="20F4BDAD"/>
    <w:multiLevelType w:val="hybridMultilevel"/>
    <w:lvl w:ilvl="0">
      <w:lvlJc w:val="left"/>
      <w:lvlText w:val="%1."/>
      <w:numFmt w:val="decimal"/>
      <w:start w:val="3"/>
    </w:lvl>
  </w:abstractNum>
  <w:abstractNum w:abstractNumId="149">
    <w:nsid w:val="639DEFAC"/>
    <w:multiLevelType w:val="hybridMultilevel"/>
    <w:lvl w:ilvl="0">
      <w:lvlJc w:val="left"/>
      <w:lvlText w:val="%1)"/>
      <w:numFmt w:val="decimal"/>
      <w:start w:val="1"/>
    </w:lvl>
  </w:abstractNum>
  <w:abstractNum w:abstractNumId="150">
    <w:nsid w:val="501F9786"/>
    <w:multiLevelType w:val="hybridMultilevel"/>
    <w:lvl w:ilvl="0">
      <w:lvlJc w:val="left"/>
      <w:lvlText w:val="%1."/>
      <w:numFmt w:val="decimal"/>
      <w:start w:val="4"/>
    </w:lvl>
  </w:abstractNum>
  <w:abstractNum w:abstractNumId="151">
    <w:nsid w:val="6B057295"/>
    <w:multiLevelType w:val="hybridMultilevel"/>
    <w:lvl w:ilvl="0">
      <w:lvlJc w:val="left"/>
      <w:lvlText w:val="%1."/>
      <w:numFmt w:val="decimal"/>
      <w:start w:val="5"/>
    </w:lvl>
  </w:abstractNum>
  <w:abstractNum w:abstractNumId="152">
    <w:nsid w:val="2771AC80"/>
    <w:multiLevelType w:val="hybridMultilevel"/>
    <w:lvl w:ilvl="0">
      <w:lvlJc w:val="left"/>
      <w:lvlText w:val="%1."/>
      <w:numFmt w:val="decimal"/>
      <w:start w:val="6"/>
    </w:lvl>
  </w:abstractNum>
  <w:abstractNum w:abstractNumId="153">
    <w:nsid w:val="1C4A08EC"/>
    <w:multiLevelType w:val="hybridMultilevel"/>
    <w:lvl w:ilvl="0">
      <w:lvlJc w:val="left"/>
      <w:lvlText w:val="%1."/>
      <w:numFmt w:val="decimal"/>
      <w:start w:val="7"/>
    </w:lvl>
  </w:abstractNum>
  <w:abstractNum w:abstractNumId="154">
    <w:nsid w:val="1958BD17"/>
    <w:multiLevelType w:val="hybridMultilevel"/>
    <w:lvl w:ilvl="0">
      <w:lvlJc w:val="left"/>
      <w:lvlText w:val="%1."/>
      <w:numFmt w:val="decimal"/>
      <w:start w:val="8"/>
    </w:lvl>
  </w:abstractNum>
  <w:abstractNum w:abstractNumId="155">
    <w:nsid w:val="4E647FE4"/>
    <w:multiLevelType w:val="hybridMultilevel"/>
    <w:lvl w:ilvl="0">
      <w:lvlJc w:val="left"/>
      <w:lvlText w:val="%1."/>
      <w:numFmt w:val="decimal"/>
      <w:start w:val="9"/>
    </w:lvl>
  </w:abstractNum>
  <w:abstractNum w:abstractNumId="156">
    <w:nsid w:val="E0BB885"/>
    <w:multiLevelType w:val="hybridMultilevel"/>
    <w:lvl w:ilvl="0">
      <w:lvlJc w:val="left"/>
      <w:lvlText w:val="%1."/>
      <w:numFmt w:val="decimal"/>
      <w:start w:val="1"/>
    </w:lvl>
  </w:abstractNum>
  <w:abstractNum w:abstractNumId="157">
    <w:nsid w:val="565976F1"/>
    <w:multiLevelType w:val="hybridMultilevel"/>
    <w:lvl w:ilvl="0">
      <w:lvlJc w:val="left"/>
      <w:lvlText w:val="%1)"/>
      <w:numFmt w:val="decimal"/>
      <w:start w:val="1"/>
    </w:lvl>
  </w:abstractNum>
  <w:abstractNum w:abstractNumId="158">
    <w:nsid w:val="64212B8C"/>
    <w:multiLevelType w:val="hybridMultilevel"/>
    <w:lvl w:ilvl="0">
      <w:lvlJc w:val="left"/>
      <w:lvlText w:val="%1."/>
      <w:numFmt w:val="decimal"/>
      <w:start w:val="6"/>
    </w:lvl>
  </w:abstractNum>
  <w:abstractNum w:abstractNumId="159">
    <w:nsid w:val="5C17530C"/>
    <w:multiLevelType w:val="hybridMultilevel"/>
    <w:lvl w:ilvl="0">
      <w:lvlJc w:val="left"/>
      <w:lvlText w:val="%1."/>
      <w:numFmt w:val="decimal"/>
      <w:start w:val="9"/>
    </w:lvl>
  </w:abstractNum>
  <w:abstractNum w:abstractNumId="160">
    <w:nsid w:val="19A52566"/>
    <w:multiLevelType w:val="hybridMultilevel"/>
    <w:lvl w:ilvl="0">
      <w:lvlJc w:val="left"/>
      <w:lvlText w:val="%1."/>
      <w:numFmt w:val="decimal"/>
      <w:start w:val="10"/>
    </w:lvl>
  </w:abstractNum>
  <w:abstractNum w:abstractNumId="161">
    <w:nsid w:val="335A1DF1"/>
    <w:multiLevelType w:val="hybridMultilevel"/>
    <w:lvl w:ilvl="0">
      <w:lvlJc w:val="left"/>
      <w:lvlText w:val="%1."/>
      <w:numFmt w:val="decimal"/>
      <w:start w:val="1"/>
    </w:lvl>
  </w:abstractNum>
  <w:abstractNum w:abstractNumId="162">
    <w:nsid w:val="28677B7C"/>
    <w:multiLevelType w:val="hybridMultilevel"/>
    <w:lvl w:ilvl="0">
      <w:lvlJc w:val="left"/>
      <w:lvlText w:val="%1."/>
      <w:numFmt w:val="decimal"/>
      <w:start w:val="4"/>
    </w:lvl>
  </w:abstractNum>
  <w:abstractNum w:abstractNumId="163">
    <w:nsid w:val="378D97C0"/>
    <w:multiLevelType w:val="hybridMultilevel"/>
    <w:lvl w:ilvl="0">
      <w:lvlJc w:val="left"/>
      <w:lvlText w:val="(%1)"/>
      <w:numFmt w:val="decimal"/>
      <w:start w:val="1"/>
    </w:lvl>
  </w:abstractNum>
  <w:abstractNum w:abstractNumId="164">
    <w:nsid w:val="1D91467C"/>
    <w:multiLevelType w:val="hybridMultilevel"/>
    <w:lvl w:ilvl="0">
      <w:lvlJc w:val="left"/>
      <w:lvlText w:val="(%1)"/>
      <w:numFmt w:val="decimal"/>
      <w:start w:val="4"/>
    </w:lvl>
  </w:abstractNum>
  <w:abstractNum w:abstractNumId="165">
    <w:nsid w:val="316032BB"/>
    <w:multiLevelType w:val="hybridMultilevel"/>
    <w:lvl w:ilvl="0">
      <w:lvlJc w:val="left"/>
      <w:lvlText w:val="%1."/>
      <w:numFmt w:val="decimal"/>
      <w:start w:val="1"/>
    </w:lvl>
  </w:abstractNum>
  <w:abstractNum w:abstractNumId="166">
    <w:nsid w:val="44344C22"/>
    <w:multiLevelType w:val="hybridMultilevel"/>
    <w:lvl w:ilvl="0">
      <w:lvlJc w:val="left"/>
      <w:lvlText w:val="%1."/>
      <w:numFmt w:val="decimal"/>
      <w:start w:val="2"/>
    </w:lvl>
  </w:abstractNum>
  <w:abstractNum w:abstractNumId="167">
    <w:nsid w:val="13CDFCFC"/>
    <w:multiLevelType w:val="hybridMultilevel"/>
    <w:lvl w:ilvl="0">
      <w:lvlJc w:val="left"/>
      <w:lvlText w:val="%1."/>
      <w:numFmt w:val="decimal"/>
      <w:start w:val="3"/>
    </w:lvl>
  </w:abstractNum>
  <w:abstractNum w:abstractNumId="168">
    <w:nsid w:val="471745E4"/>
    <w:multiLevelType w:val="hybridMultilevel"/>
    <w:lvl w:ilvl="0">
      <w:lvlJc w:val="left"/>
      <w:lvlText w:val="%1."/>
      <w:numFmt w:val="decimal"/>
      <w:start w:val="5"/>
    </w:lvl>
    <w:lvl w:ilvl="1">
      <w:lvlJc w:val="left"/>
      <w:lvlText w:val="(%2)"/>
      <w:numFmt w:val="decimal"/>
      <w:start w:val="1"/>
    </w:lvl>
  </w:abstractNum>
  <w:abstractNum w:abstractNumId="169">
    <w:nsid w:val="1DDBC66"/>
    <w:multiLevelType w:val="hybridMultilevel"/>
    <w:lvl w:ilvl="0">
      <w:lvlJc w:val="left"/>
      <w:lvlText w:val="%1."/>
      <w:numFmt w:val="decimal"/>
      <w:start w:val="7"/>
    </w:lvl>
  </w:abstractNum>
  <w:abstractNum w:abstractNumId="170">
    <w:nsid w:val="30AADFDA"/>
    <w:multiLevelType w:val="hybridMultilevel"/>
    <w:lvl w:ilvl="0">
      <w:lvlJc w:val="left"/>
      <w:lvlText w:val="%1."/>
      <w:numFmt w:val="decimal"/>
      <w:start w:val="1"/>
    </w:lvl>
  </w:abstractNum>
  <w:abstractNum w:abstractNumId="171">
    <w:nsid w:val="30EADA61"/>
    <w:multiLevelType w:val="hybridMultilevel"/>
    <w:lvl w:ilvl="0">
      <w:lvlJc w:val="left"/>
      <w:lvlText w:val="%1."/>
      <w:numFmt w:val="decimal"/>
      <w:start w:val="5"/>
    </w:lvl>
  </w:abstractNum>
  <w:abstractNum w:abstractNumId="172">
    <w:nsid w:val="27179C0B"/>
    <w:multiLevelType w:val="hybridMultilevel"/>
    <w:lvl w:ilvl="0">
      <w:lvlJc w:val="left"/>
      <w:lvlText w:val="%1."/>
      <w:numFmt w:val="decimal"/>
      <w:start w:val="8"/>
    </w:lvl>
  </w:abstractNum>
  <w:abstractNum w:abstractNumId="173">
    <w:nsid w:val="5E636063"/>
    <w:multiLevelType w:val="hybridMultilevel"/>
    <w:lvl w:ilvl="0">
      <w:lvlJc w:val="left"/>
      <w:lvlText w:val="(%1)"/>
      <w:numFmt w:val="lowerLetter"/>
      <w:start w:val="1"/>
    </w:lvl>
  </w:abstractNum>
  <w:abstractNum w:abstractNumId="174">
    <w:nsid w:val="215641AF"/>
    <w:multiLevelType w:val="hybridMultilevel"/>
    <w:lvl w:ilvl="0">
      <w:lvlJc w:val="left"/>
      <w:lvlText w:val="(%1)"/>
      <w:numFmt w:val="lowerLetter"/>
      <w:start w:val="6"/>
    </w:lvl>
  </w:abstractNum>
  <w:abstractNum w:abstractNumId="175">
    <w:nsid w:val="53280662"/>
    <w:multiLevelType w:val="hybridMultilevel"/>
    <w:lvl w:ilvl="0">
      <w:lvlJc w:val="left"/>
      <w:lvlText w:val="%1."/>
      <w:numFmt w:val="decimal"/>
      <w:start w:val="1"/>
    </w:lvl>
  </w:abstractNum>
  <w:abstractNum w:abstractNumId="176">
    <w:nsid w:val="46B24DBC"/>
    <w:multiLevelType w:val="hybridMultilevel"/>
    <w:lvl w:ilvl="0">
      <w:lvlJc w:val="left"/>
      <w:lvlText w:val="%1."/>
      <w:numFmt w:val="decimal"/>
      <w:start w:val="2"/>
    </w:lvl>
  </w:abstractNum>
  <w:abstractNum w:abstractNumId="177">
    <w:nsid w:val="75B52783"/>
    <w:multiLevelType w:val="hybridMultilevel"/>
    <w:lvl w:ilvl="0">
      <w:lvlJc w:val="left"/>
      <w:lvlText w:val="%1."/>
      <w:numFmt w:val="decimal"/>
      <w:start w:val="3"/>
    </w:lvl>
  </w:abstractNum>
  <w:abstractNum w:abstractNumId="178">
    <w:nsid w:val="57CE66B4"/>
    <w:multiLevelType w:val="hybridMultilevel"/>
    <w:lvl w:ilvl="0">
      <w:lvlJc w:val="left"/>
      <w:lvlText w:val="(%1)"/>
      <w:numFmt w:val="decimal"/>
      <w:start w:val="1"/>
    </w:lvl>
  </w:abstractNum>
  <w:abstractNum w:abstractNumId="179">
    <w:nsid w:val="67A70B69"/>
    <w:multiLevelType w:val="hybridMultilevel"/>
    <w:lvl w:ilvl="0">
      <w:lvlJc w:val="left"/>
      <w:lvlText w:val="%1."/>
      <w:numFmt w:val="decimal"/>
      <w:start w:val="6"/>
    </w:lvl>
  </w:abstractNum>
  <w:abstractNum w:abstractNumId="180">
    <w:nsid w:val="5953172F"/>
    <w:multiLevelType w:val="hybridMultilevel"/>
    <w:lvl w:ilvl="0">
      <w:lvlJc w:val="left"/>
      <w:lvlText w:val="(%1)"/>
      <w:numFmt w:val="decimal"/>
      <w:start w:val="1"/>
    </w:lvl>
  </w:abstractNum>
  <w:abstractNum w:abstractNumId="181">
    <w:nsid w:val="27EDFE3A"/>
    <w:multiLevelType w:val="hybridMultilevel"/>
    <w:lvl w:ilvl="0">
      <w:lvlJc w:val="left"/>
      <w:lvlText w:val="(%1)"/>
      <w:numFmt w:val="decimal"/>
      <w:start w:val="7"/>
    </w:lvl>
  </w:abstractNum>
  <w:abstractNum w:abstractNumId="182">
    <w:nsid w:val="52AC7DFF"/>
    <w:multiLevelType w:val="hybridMultilevel"/>
    <w:lvl w:ilvl="0">
      <w:lvlJc w:val="left"/>
      <w:lvlText w:val="(%1)"/>
      <w:numFmt w:val="decimal"/>
      <w:start w:val="13"/>
    </w:lvl>
  </w:abstractNum>
  <w:abstractNum w:abstractNumId="183">
    <w:nsid w:val="C4C3AF"/>
    <w:multiLevelType w:val="hybridMultilevel"/>
    <w:lvl w:ilvl="0">
      <w:lvlJc w:val="left"/>
      <w:lvlText w:val="(%1)"/>
      <w:numFmt w:val="decimal"/>
      <w:start w:val="18"/>
    </w:lvl>
  </w:abstractNum>
  <w:abstractNum w:abstractNumId="184">
    <w:nsid w:val="44380727"/>
    <w:multiLevelType w:val="hybridMultilevel"/>
    <w:lvl w:ilvl="0">
      <w:lvlJc w:val="left"/>
      <w:lvlText w:val="(%1)"/>
      <w:numFmt w:val="decimal"/>
      <w:start w:val="1"/>
    </w:lvl>
  </w:abstractNum>
  <w:abstractNum w:abstractNumId="185">
    <w:nsid w:val="6C053B16"/>
    <w:multiLevelType w:val="hybridMultilevel"/>
    <w:lvl w:ilvl="0">
      <w:lvlJc w:val="left"/>
      <w:lvlText w:val="(%1)"/>
      <w:numFmt w:val="decimal"/>
      <w:start w:val="3"/>
    </w:lvl>
  </w:abstractNum>
  <w:abstractNum w:abstractNumId="186">
    <w:nsid w:val="4F294393"/>
    <w:multiLevelType w:val="hybridMultilevel"/>
    <w:lvl w:ilvl="0">
      <w:lvlJc w:val="left"/>
      <w:lvlText w:val="1"/>
      <w:numFmt w:val="bullet"/>
      <w:start w:val="1"/>
    </w:lvl>
  </w:abstractNum>
  <w:abstractNum w:abstractNumId="187">
    <w:nsid w:val="5243BFAC"/>
    <w:multiLevelType w:val="hybridMultilevel"/>
    <w:lvl w:ilvl="0">
      <w:lvlJc w:val="left"/>
      <w:lvlText w:val="(%1)"/>
      <w:numFmt w:val="lowerLetter"/>
      <w:start w:val="1"/>
    </w:lvl>
  </w:abstractNum>
  <w:abstractNum w:abstractNumId="188">
    <w:nsid w:val="425EB207"/>
    <w:multiLevelType w:val="hybridMultilevel"/>
    <w:lvl w:ilvl="0">
      <w:lvlJc w:val="left"/>
      <w:lvlText w:val="(%1)"/>
      <w:numFmt w:val="lowerLetter"/>
      <w:start w:val="4"/>
    </w:lvl>
  </w:abstractNum>
  <w:abstractNum w:abstractNumId="189">
    <w:nsid w:val="334A6F1F"/>
    <w:multiLevelType w:val="hybridMultilevel"/>
    <w:lvl w:ilvl="0">
      <w:lvlJc w:val="left"/>
      <w:lvlText w:val="2"/>
      <w:numFmt w:val="bullet"/>
      <w:start w:val="1"/>
    </w:lvl>
  </w:abstractNum>
  <w:abstractNum w:abstractNumId="190">
    <w:nsid w:val="2E5B12B8"/>
    <w:multiLevelType w:val="hybridMultilevel"/>
    <w:lvl w:ilvl="0">
      <w:lvlJc w:val="left"/>
      <w:lvlText w:val="(%1)"/>
      <w:numFmt w:val="lowerLetter"/>
      <w:start w:val="1"/>
    </w:lvl>
  </w:abstractNum>
  <w:abstractNum w:abstractNumId="191">
    <w:nsid w:val="5C03D76D"/>
    <w:multiLevelType w:val="hybridMultilevel"/>
    <w:lvl w:ilvl="0">
      <w:lvlJc w:val="left"/>
      <w:lvlText w:val="(%1)"/>
      <w:numFmt w:val="lowerLetter"/>
      <w:start w:val="3"/>
    </w:lvl>
  </w:abstractNum>
  <w:abstractNum w:abstractNumId="192">
    <w:nsid w:val="66A48D11"/>
    <w:multiLevelType w:val="hybridMultilevel"/>
    <w:lvl w:ilvl="0">
      <w:lvlJc w:val="left"/>
      <w:lvlText w:val="(%1)"/>
      <w:numFmt w:val="lowerLetter"/>
      <w:start w:val="7"/>
    </w:lvl>
  </w:abstractNum>
  <w:abstractNum w:abstractNumId="193">
    <w:nsid w:val="56C28E34"/>
    <w:multiLevelType w:val="hybridMultilevel"/>
    <w:lvl w:ilvl="0">
      <w:lvlJc w:val="left"/>
      <w:lvlText w:val="(%1)"/>
      <w:numFmt w:val="lowerLetter"/>
      <w:start w:val="11"/>
    </w:lvl>
  </w:abstractNum>
  <w:abstractNum w:abstractNumId="194">
    <w:nsid w:val="13916F2D"/>
    <w:multiLevelType w:val="hybridMultilevel"/>
    <w:lvl w:ilvl="0">
      <w:lvlJc w:val="left"/>
      <w:lvlText w:val="(%1)"/>
      <w:numFmt w:val="lowerLetter"/>
      <w:start w:val="14"/>
    </w:lvl>
  </w:abstractNum>
  <w:abstractNum w:abstractNumId="195">
    <w:nsid w:val="435D38D"/>
    <w:multiLevelType w:val="hybridMultilevel"/>
    <w:lvl w:ilvl="0">
      <w:lvlJc w:val="left"/>
      <w:lvlText w:val="(%1)"/>
      <w:numFmt w:val="lowerLetter"/>
      <w:start w:val="1"/>
    </w:lvl>
  </w:abstractNum>
  <w:abstractNum w:abstractNumId="196">
    <w:nsid w:val="822C0EF"/>
    <w:multiLevelType w:val="hybridMultilevel"/>
    <w:lvl w:ilvl="0">
      <w:lvlJc w:val="left"/>
      <w:lvlText w:val="(%1)"/>
      <w:numFmt w:val="lowerLetter"/>
      <w:start w:val="3"/>
    </w:lvl>
  </w:abstractNum>
  <w:abstractNum w:abstractNumId="197">
    <w:nsid w:val="57C5BB4F"/>
    <w:multiLevelType w:val="hybridMultilevel"/>
    <w:lvl w:ilvl="0">
      <w:lvlJc w:val="left"/>
      <w:lvlText w:val="3"/>
      <w:numFmt w:val="bullet"/>
      <w:start w:val="1"/>
    </w:lvl>
  </w:abstractNum>
  <w:abstractNum w:abstractNumId="198">
    <w:nsid w:val="1803D089"/>
    <w:multiLevelType w:val="hybridMultilevel"/>
    <w:lvl w:ilvl="0">
      <w:lvlJc w:val="left"/>
      <w:lvlText w:val="(%1)"/>
      <w:numFmt w:val="lowerLetter"/>
      <w:start w:val="1"/>
    </w:lvl>
  </w:abstractNum>
  <w:abstractNum w:abstractNumId="199">
    <w:nsid w:val="4F3A06D4"/>
    <w:multiLevelType w:val="hybridMultilevel"/>
    <w:lvl w:ilvl="0">
      <w:lvlJc w:val="left"/>
      <w:lvlText w:val="(%1)"/>
      <w:numFmt w:val="lowerLetter"/>
      <w:start w:val="7"/>
    </w:lvl>
  </w:abstractNum>
  <w:abstractNum w:abstractNumId="200">
    <w:nsid w:val="59A377B6"/>
    <w:multiLevelType w:val="hybridMultilevel"/>
    <w:lvl w:ilvl="0">
      <w:lvlJc w:val="left"/>
      <w:lvlText w:val="(%1)"/>
      <w:numFmt w:val="lowerLetter"/>
      <w:start w:val="1"/>
    </w:lvl>
  </w:abstractNum>
  <w:abstractNum w:abstractNumId="201">
    <w:nsid w:val="48AEB063"/>
    <w:multiLevelType w:val="hybridMultilevel"/>
    <w:lvl w:ilvl="0">
      <w:lvlJc w:val="left"/>
      <w:lvlText w:val="4"/>
      <w:numFmt w:val="bullet"/>
      <w:start w:val="1"/>
    </w:lvl>
  </w:abstractNum>
  <w:abstractNum w:abstractNumId="202">
    <w:nsid w:val="24E135"/>
    <w:multiLevelType w:val="hybridMultilevel"/>
    <w:lvl w:ilvl="0">
      <w:lvlJc w:val="left"/>
      <w:lvlText w:val="(%1)"/>
      <w:numFmt w:val="lowerLetter"/>
      <w:start w:val="1"/>
    </w:lvl>
  </w:abstractNum>
  <w:abstractNum w:abstractNumId="203">
    <w:nsid w:val="BB13C1"/>
    <w:multiLevelType w:val="hybridMultilevel"/>
    <w:lvl w:ilvl="0">
      <w:lvlJc w:val="left"/>
      <w:lvlText w:val="(%1)"/>
      <w:numFmt w:val="lowerLetter"/>
      <w:start w:val="1"/>
    </w:lvl>
  </w:abstractNum>
  <w:abstractNum w:abstractNumId="204">
    <w:nsid w:val="271210C7"/>
    <w:multiLevelType w:val="hybridMultilevel"/>
    <w:lvl w:ilvl="0">
      <w:lvlJc w:val="left"/>
      <w:lvlText w:val="5"/>
      <w:numFmt w:val="bullet"/>
      <w:start w:val="1"/>
    </w:lvl>
  </w:abstractNum>
  <w:abstractNum w:abstractNumId="205">
    <w:nsid w:val="217B22E4"/>
    <w:multiLevelType w:val="hybridMultilevel"/>
    <w:lvl w:ilvl="0">
      <w:lvlJc w:val="left"/>
      <w:lvlText w:val="(%1)"/>
      <w:numFmt w:val="lowerLetter"/>
      <w:start w:val="1"/>
    </w:lvl>
  </w:abstractNum>
  <w:abstractNum w:abstractNumId="206">
    <w:nsid w:val="53E31A24"/>
    <w:multiLevelType w:val="hybridMultilevel"/>
    <w:lvl w:ilvl="0">
      <w:lvlJc w:val="left"/>
      <w:lvlText w:val="(%1)"/>
      <w:numFmt w:val="lowerLetter"/>
      <w:start w:val="4"/>
    </w:lvl>
  </w:abstractNum>
  <w:abstractNum w:abstractNumId="207">
    <w:nsid w:val="6DC45E83"/>
    <w:multiLevelType w:val="hybridMultilevel"/>
    <w:lvl w:ilvl="0">
      <w:lvlJc w:val="left"/>
      <w:lvlText w:val="(%1)"/>
      <w:numFmt w:val="lowerLetter"/>
      <w:start w:val="1"/>
    </w:lvl>
  </w:abstractNum>
  <w:abstractNum w:abstractNumId="208">
    <w:nsid w:val="17304A67"/>
    <w:multiLevelType w:val="hybridMultilevel"/>
    <w:lvl w:ilvl="0">
      <w:lvlJc w:val="left"/>
      <w:lvlText w:val="(%1)"/>
      <w:numFmt w:val="lowerLetter"/>
      <w:start w:val="4"/>
    </w:lvl>
  </w:abstractNum>
  <w:abstractNum w:abstractNumId="209">
    <w:nsid w:val="2BB180D8"/>
    <w:multiLevelType w:val="hybridMultilevel"/>
    <w:lvl w:ilvl="0">
      <w:lvlJc w:val="left"/>
      <w:lvlText w:val="(%1)"/>
      <w:numFmt w:val="lowerLetter"/>
      <w:start w:val="8"/>
    </w:lvl>
  </w:abstractNum>
  <w:abstractNum w:abstractNumId="210">
    <w:nsid w:val="556B69ED"/>
    <w:multiLevelType w:val="hybridMultilevel"/>
    <w:lvl w:ilvl="0">
      <w:lvlJc w:val="left"/>
      <w:lvlText w:val="(%1)"/>
      <w:numFmt w:val="lowerLetter"/>
      <w:start w:val="11"/>
    </w:lvl>
  </w:abstractNum>
  <w:abstractNum w:abstractNumId="211">
    <w:nsid w:val="70836196"/>
    <w:multiLevelType w:val="hybridMultilevel"/>
    <w:lvl w:ilvl="0">
      <w:lvlJc w:val="left"/>
      <w:lvlText w:val="(%1)"/>
      <w:numFmt w:val="lowerLetter"/>
      <w:start w:val="13"/>
    </w:lvl>
  </w:abstractNum>
  <w:abstractNum w:abstractNumId="212">
    <w:nsid w:val="539F7F12"/>
    <w:multiLevelType w:val="hybridMultilevel"/>
    <w:lvl w:ilvl="0">
      <w:lvlJc w:val="left"/>
      <w:lvlText w:val="(%1)"/>
      <w:numFmt w:val="lowerLetter"/>
      <w:start w:val="18"/>
    </w:lvl>
  </w:abstractNum>
  <w:abstractNum w:abstractNumId="213">
    <w:nsid w:val="2817E7EC"/>
    <w:multiLevelType w:val="hybridMultilevel"/>
    <w:lvl w:ilvl="0">
      <w:lvlJc w:val="left"/>
      <w:lvlText w:val="6"/>
      <w:numFmt w:val="bullet"/>
      <w:start w:val="1"/>
    </w:lvl>
  </w:abstractNum>
  <w:abstractNum w:abstractNumId="214">
    <w:nsid w:val="71482545"/>
    <w:multiLevelType w:val="hybridMultilevel"/>
    <w:lvl w:ilvl="0">
      <w:lvlJc w:val="left"/>
      <w:lvlText w:val="(%1)"/>
      <w:numFmt w:val="lowerLetter"/>
      <w:start w:val="1"/>
    </w:lvl>
  </w:abstractNum>
  <w:abstractNum w:abstractNumId="215">
    <w:nsid w:val="17D78639"/>
    <w:multiLevelType w:val="hybridMultilevel"/>
    <w:lvl w:ilvl="0">
      <w:lvlJc w:val="left"/>
      <w:lvlText w:val="(%1)"/>
      <w:numFmt w:val="lowerLetter"/>
      <w:start w:val="3"/>
    </w:lvl>
  </w:abstractNum>
  <w:abstractNum w:abstractNumId="216">
    <w:nsid w:val="141D2302"/>
    <w:multiLevelType w:val="hybridMultilevel"/>
    <w:lvl w:ilvl="0">
      <w:lvlJc w:val="left"/>
      <w:lvlText w:val="(%1)"/>
      <w:numFmt w:val="lowerLetter"/>
      <w:start w:val="1"/>
    </w:lvl>
  </w:abstractNum>
  <w:abstractNum w:abstractNumId="217">
    <w:nsid w:val="407168D8"/>
    <w:multiLevelType w:val="hybridMultilevel"/>
    <w:lvl w:ilvl="0">
      <w:lvlJc w:val="left"/>
      <w:lvlText w:val="(%1)"/>
      <w:numFmt w:val="lowerLetter"/>
      <w:start w:val="5"/>
    </w:lvl>
  </w:abstractNum>
  <w:abstractNum w:abstractNumId="218">
    <w:nsid w:val="6A1B45E5"/>
    <w:multiLevelType w:val="hybridMultilevel"/>
    <w:lvl w:ilvl="0">
      <w:lvlJc w:val="left"/>
      <w:lvlText w:val="(%1)"/>
      <w:numFmt w:val="lowerLetter"/>
      <w:start w:val="11"/>
    </w:lvl>
  </w:abstractNum>
  <w:abstractNum w:abstractNumId="219">
    <w:nsid w:val="567BD50A"/>
    <w:multiLevelType w:val="hybridMultilevel"/>
    <w:lvl w:ilvl="0">
      <w:lvlJc w:val="left"/>
      <w:lvlText w:val="7"/>
      <w:numFmt w:val="bullet"/>
      <w:start w:val="1"/>
    </w:lvl>
  </w:abstractNum>
  <w:abstractNum w:abstractNumId="220">
    <w:nsid w:val="73BBD7F8"/>
    <w:multiLevelType w:val="hybridMultilevel"/>
    <w:lvl w:ilvl="0">
      <w:lvlJc w:val="left"/>
      <w:lvlText w:val="(%1)"/>
      <w:numFmt w:val="lowerLetter"/>
      <w:start w:val="1"/>
    </w:lvl>
  </w:abstractNum>
  <w:abstractNum w:abstractNumId="221">
    <w:nsid w:val="1876589D"/>
    <w:multiLevelType w:val="hybridMultilevel"/>
    <w:lvl w:ilvl="0">
      <w:lvlJc w:val="left"/>
      <w:lvlText w:val="(%1)"/>
      <w:numFmt w:val="lowerLetter"/>
      <w:start w:val="2"/>
    </w:lvl>
  </w:abstractNum>
  <w:abstractNum w:abstractNumId="222">
    <w:nsid w:val="327FAC77"/>
    <w:multiLevelType w:val="hybridMultilevel"/>
    <w:lvl w:ilvl="0">
      <w:lvlJc w:val="left"/>
      <w:lvlText w:val="8"/>
      <w:numFmt w:val="bullet"/>
      <w:start w:val="1"/>
    </w:lvl>
  </w:abstractNum>
  <w:abstractNum w:abstractNumId="223">
    <w:nsid w:val="5A606509"/>
    <w:multiLevelType w:val="hybridMultilevel"/>
    <w:lvl w:ilvl="0">
      <w:lvlJc w:val="left"/>
      <w:lvlText w:val="(%1)"/>
      <w:numFmt w:val="lowerLetter"/>
      <w:start w:val="1"/>
    </w:lvl>
  </w:abstractNum>
  <w:abstractNum w:abstractNumId="224">
    <w:nsid w:val="6F38E6D1"/>
    <w:multiLevelType w:val="hybridMultilevel"/>
    <w:lvl w:ilvl="0">
      <w:lvlJc w:val="left"/>
      <w:lvlText w:val="(%1)"/>
      <w:numFmt w:val="lowerLetter"/>
      <w:start w:val="2"/>
    </w:lvl>
  </w:abstractNum>
  <w:abstractNum w:abstractNumId="225">
    <w:nsid w:val="46111BA5"/>
    <w:multiLevelType w:val="hybridMultilevel"/>
    <w:lvl w:ilvl="0">
      <w:lvlJc w:val="left"/>
      <w:lvlText w:val="9"/>
      <w:numFmt w:val="bullet"/>
      <w:start w:val="1"/>
    </w:lvl>
  </w:abstractNum>
  <w:abstractNum w:abstractNumId="226">
    <w:nsid w:val="5E963896"/>
    <w:multiLevelType w:val="hybridMultilevel"/>
    <w:lvl w:ilvl="0">
      <w:lvlJc w:val="left"/>
      <w:lvlText w:val="(%1)"/>
      <w:numFmt w:val="lowerLetter"/>
      <w:start w:val="1"/>
    </w:lvl>
    <w:lvl w:ilvl="1">
      <w:lvlJc w:val="left"/>
      <w:lvlText w:val="(%2)"/>
      <w:numFmt w:val="decimal"/>
      <w:start w:val="1"/>
    </w:lvl>
  </w:abstractNum>
  <w:abstractNum w:abstractNumId="227">
    <w:nsid w:val="775BA7C1"/>
    <w:multiLevelType w:val="hybridMultilevel"/>
    <w:lvl w:ilvl="0">
      <w:lvlJc w:val="left"/>
      <w:lvlText w:val="(%1)"/>
      <w:numFmt w:val="decimal"/>
      <w:start w:val="4"/>
    </w:lvl>
  </w:abstractNum>
  <w:abstractNum w:abstractNumId="228">
    <w:nsid w:val="1DD6D6F4"/>
    <w:multiLevelType w:val="hybridMultilevel"/>
    <w:lvl w:ilvl="0">
      <w:lvlJc w:val="left"/>
      <w:lvlText w:val="(%1)"/>
      <w:numFmt w:val="lowerLetter"/>
      <w:start w:val="1"/>
    </w:lvl>
    <w:lvl w:ilvl="1">
      <w:lvlJc w:val="left"/>
      <w:lvlText w:val="(%2)"/>
      <w:numFmt w:val="decimal"/>
      <w:start w:val="20"/>
    </w:lvl>
  </w:abstractNum>
  <w:abstractNum w:abstractNumId="229">
    <w:nsid w:val="769A091F"/>
    <w:multiLevelType w:val="hybridMultilevel"/>
    <w:lvl w:ilvl="0">
      <w:lvlJc w:val="left"/>
      <w:lvlText w:val="(%1)"/>
      <w:numFmt w:val="lowerLetter"/>
      <w:start w:val="1"/>
    </w:lvl>
  </w:abstractNum>
  <w:abstractNum w:abstractNumId="230">
    <w:nsid w:val="4695AE95"/>
    <w:multiLevelType w:val="hybridMultilevel"/>
    <w:lvl w:ilvl="0">
      <w:lvlJc w:val="left"/>
      <w:lvlText w:val="(%1)"/>
      <w:numFmt w:val="decimal"/>
      <w:start w:val="1"/>
    </w:lvl>
  </w:abstractNum>
  <w:abstractNum w:abstractNumId="231">
    <w:nsid w:val="777A4EAA"/>
    <w:multiLevelType w:val="hybridMultilevel"/>
    <w:lvl w:ilvl="0">
      <w:lvlJc w:val="left"/>
      <w:lvlText w:val="(%1)"/>
      <w:numFmt w:val="decimal"/>
      <w:start w:val="6"/>
    </w:lvl>
  </w:abstractNum>
  <w:abstractNum w:abstractNumId="232">
    <w:nsid w:val="3F48B982"/>
    <w:multiLevelType w:val="hybridMultilevel"/>
    <w:lvl w:ilvl="0">
      <w:lvlJc w:val="left"/>
      <w:lvlText w:val="(%1)"/>
      <w:numFmt w:val="decimal"/>
      <w:start w:val="11"/>
    </w:lvl>
  </w:abstractNum>
  <w:abstractNum w:abstractNumId="233">
    <w:nsid w:val="46BA8FCA"/>
    <w:multiLevelType w:val="hybridMultilevel"/>
    <w:lvl w:ilvl="0">
      <w:lvlJc w:val="left"/>
      <w:lvlText w:val="(%1)"/>
      <w:numFmt w:val="decimal"/>
      <w:start w:val="17"/>
    </w:lvl>
  </w:abstractNum>
  <w:abstractNum w:abstractNumId="234">
    <w:nsid w:val="7835626C"/>
    <w:multiLevelType w:val="hybridMultilevel"/>
    <w:lvl w:ilvl="0">
      <w:lvlJc w:val="left"/>
      <w:lvlText w:val="(%1)"/>
      <w:numFmt w:val="decimal"/>
      <w:start w:val="1"/>
    </w:lvl>
  </w:abstractNum>
  <w:abstractNum w:abstractNumId="235">
    <w:nsid w:val="665ACA49"/>
    <w:multiLevelType w:val="hybridMultilevel"/>
    <w:lvl w:ilvl="0">
      <w:lvlJc w:val="left"/>
      <w:lvlText w:val="2"/>
      <w:numFmt w:val="bullet"/>
      <w:start w:val="1"/>
    </w:lvl>
  </w:abstractNum>
  <w:abstractNum w:abstractNumId="236">
    <w:nsid w:val="6835B2AE"/>
    <w:multiLevelType w:val="hybridMultilevel"/>
    <w:lvl w:ilvl="0">
      <w:lvlJc w:val="left"/>
      <w:lvlText w:val="3"/>
      <w:numFmt w:val="bullet"/>
      <w:start w:val="1"/>
    </w:lvl>
  </w:abstractNum>
  <w:abstractNum w:abstractNumId="237">
    <w:nsid w:val="4C187C90"/>
    <w:multiLevelType w:val="hybridMultilevel"/>
    <w:lvl w:ilvl="0">
      <w:lvlJc w:val="left"/>
      <w:lvlText w:val="(%1)"/>
      <w:numFmt w:val="decimal"/>
      <w:start w:val="1"/>
    </w:lvl>
  </w:abstractNum>
  <w:abstractNum w:abstractNumId="238">
    <w:nsid w:val="541F28CD"/>
    <w:multiLevelType w:val="hybridMultilevel"/>
    <w:lvl w:ilvl="0">
      <w:lvlJc w:val="left"/>
      <w:lvlText w:val="(%1)"/>
      <w:numFmt w:val="decimal"/>
      <w:start w:val="4"/>
    </w:lvl>
  </w:abstractNum>
  <w:abstractNum w:abstractNumId="239">
    <w:nsid w:val="7F65FD16"/>
    <w:multiLevelType w:val="hybridMultilevel"/>
    <w:lvl w:ilvl="0">
      <w:lvlJc w:val="left"/>
      <w:lvlText w:val="(%1)"/>
      <w:numFmt w:val="decimal"/>
      <w:start w:val="6"/>
    </w:lvl>
  </w:abstractNum>
  <w:abstractNum w:abstractNumId="240">
    <w:nsid w:val="77C9FD68"/>
    <w:multiLevelType w:val="hybridMultilevel"/>
    <w:lvl w:ilvl="0">
      <w:lvlJc w:val="left"/>
      <w:lvlText w:val="(%1)"/>
      <w:numFmt w:val="decimal"/>
      <w:start w:val="1"/>
    </w:lvl>
  </w:abstractNum>
  <w:abstractNum w:abstractNumId="241">
    <w:nsid w:val="298A92BA"/>
    <w:multiLevelType w:val="hybridMultilevel"/>
    <w:lvl w:ilvl="0">
      <w:lvlJc w:val="left"/>
      <w:lvlText w:val="(%1)"/>
      <w:numFmt w:val="decimal"/>
      <w:start w:val="3"/>
    </w:lvl>
  </w:abstractNum>
  <w:abstractNum w:abstractNumId="242">
    <w:nsid w:val="6FE95EAC"/>
    <w:multiLevelType w:val="hybridMultilevel"/>
    <w:lvl w:ilvl="0">
      <w:lvlJc w:val="left"/>
      <w:lvlText w:val="(%1)"/>
      <w:numFmt w:val="decimal"/>
      <w:start w:val="5"/>
    </w:lvl>
  </w:abstractNum>
  <w:abstractNum w:abstractNumId="243">
    <w:nsid w:val="4B697C7A"/>
    <w:multiLevelType w:val="hybridMultilevel"/>
    <w:lvl w:ilvl="0">
      <w:lvlJc w:val="left"/>
      <w:lvlText w:val="(%1)"/>
      <w:numFmt w:val="decimal"/>
      <w:start w:val="1"/>
    </w:lvl>
  </w:abstractNum>
  <w:abstractNum w:abstractNumId="244">
    <w:nsid w:val="51A27AA6"/>
    <w:multiLevelType w:val="hybridMultilevel"/>
    <w:lvl w:ilvl="0">
      <w:lvlJc w:val="left"/>
      <w:lvlText w:val="(%1)"/>
      <w:numFmt w:val="decimal"/>
      <w:start w:val="2"/>
    </w:lvl>
  </w:abstractNum>
  <w:abstractNum w:abstractNumId="245">
    <w:nsid w:val="613183F2"/>
    <w:multiLevelType w:val="hybridMultilevel"/>
    <w:lvl w:ilvl="0">
      <w:lvlJc w:val="left"/>
      <w:lvlText w:val="(%1)"/>
      <w:numFmt w:val="decimal"/>
      <w:start w:val="1"/>
    </w:lvl>
  </w:abstractNum>
  <w:abstractNum w:abstractNumId="246">
    <w:nsid w:val="634102B4"/>
    <w:multiLevelType w:val="hybridMultilevel"/>
    <w:lvl w:ilvl="0">
      <w:lvlJc w:val="left"/>
      <w:lvlText w:val="(%1)"/>
      <w:numFmt w:val="decimal"/>
      <w:start w:val="2"/>
    </w:lvl>
  </w:abstractNum>
  <w:abstractNum w:abstractNumId="247">
    <w:nsid w:val="65BF9DA8"/>
    <w:multiLevelType w:val="hybridMultilevel"/>
    <w:lvl w:ilvl="0">
      <w:lvlJc w:val="left"/>
      <w:lvlText w:val="(%1)"/>
      <w:numFmt w:val="decimal"/>
      <w:start w:val="4"/>
    </w:lvl>
  </w:abstractNum>
  <w:abstractNum w:abstractNumId="248">
    <w:nsid w:val="21A2ECCA"/>
    <w:multiLevelType w:val="hybridMultilevel"/>
    <w:lvl w:ilvl="0">
      <w:lvlJc w:val="left"/>
      <w:lvlText w:val="(%1)"/>
      <w:numFmt w:val="decimal"/>
      <w:start w:val="1"/>
    </w:lvl>
  </w:abstractNum>
  <w:abstractNum w:abstractNumId="249">
    <w:nsid w:val="4D5C4899"/>
    <w:multiLevelType w:val="hybridMultilevel"/>
    <w:lvl w:ilvl="0">
      <w:lvlJc w:val="left"/>
      <w:lvlText w:val="(%1)"/>
      <w:numFmt w:val="decimal"/>
      <w:start w:val="2"/>
    </w:lvl>
    <w:lvl w:ilvl="1">
      <w:lvlJc w:val="left"/>
      <w:lvlText w:val="(%2)"/>
      <w:numFmt w:val="lowerLetter"/>
      <w:start w:val="1"/>
    </w:lvl>
  </w:abstractNum>
  <w:abstractNum w:abstractNumId="250">
    <w:nsid w:val="3C3B72B2"/>
    <w:multiLevelType w:val="hybridMultilevel"/>
    <w:lvl w:ilvl="0">
      <w:lvlJc w:val="left"/>
      <w:lvlText w:val="%1"/>
      <w:numFmt w:val="decimal"/>
      <w:start w:val="1"/>
    </w:lvl>
    <w:lvl w:ilvl="1">
      <w:lvlJc w:val="left"/>
      <w:lvlText w:val="(%2)"/>
      <w:numFmt w:val="lowerLetter"/>
      <w:start w:val="7"/>
    </w:lvl>
  </w:abstractNum>
  <w:abstractNum w:abstractNumId="251">
    <w:nsid w:val="155EC4C2"/>
    <w:multiLevelType w:val="hybridMultilevel"/>
    <w:lvl w:ilvl="0">
      <w:lvlJc w:val="left"/>
      <w:lvlText w:val="(%1)"/>
      <w:numFmt w:val="decimal"/>
      <w:start w:val="3"/>
    </w:lvl>
    <w:lvl w:ilvl="1">
      <w:lvlJc w:val="left"/>
      <w:lvlText w:val="%2"/>
      <w:numFmt w:val="lowerLetter"/>
      <w:start w:val="1"/>
    </w:lvl>
  </w:abstractNum>
  <w:abstractNum w:abstractNumId="252">
    <w:nsid w:val="65D2A137"/>
    <w:multiLevelType w:val="hybridMultilevel"/>
    <w:lvl w:ilvl="0">
      <w:lvlJc w:val="left"/>
      <w:lvlText w:val="(%1)"/>
      <w:numFmt w:val="decimal"/>
      <w:start w:val="6"/>
    </w:lvl>
  </w:abstractNum>
  <w:abstractNum w:abstractNumId="253">
    <w:nsid w:val="6EBB1F2A"/>
    <w:multiLevelType w:val="hybridMultilevel"/>
    <w:lvl w:ilvl="0">
      <w:lvlJc w:val="left"/>
      <w:lvlText w:val="(%1)"/>
      <w:numFmt w:val="decimal"/>
      <w:start w:val="9"/>
    </w:lvl>
  </w:abstractNum>
  <w:abstractNum w:abstractNumId="254">
    <w:nsid w:val="6FBF29CB"/>
    <w:multiLevelType w:val="hybridMultilevel"/>
    <w:lvl w:ilvl="0">
      <w:lvlJc w:val="left"/>
      <w:lvlText w:val="(%1)"/>
      <w:numFmt w:val="decimal"/>
      <w:start w:val="1"/>
    </w:lvl>
  </w:abstractNum>
  <w:abstractNum w:abstractNumId="255">
    <w:nsid w:val="550B8808"/>
    <w:multiLevelType w:val="hybridMultilevel"/>
    <w:lvl w:ilvl="0">
      <w:lvlJc w:val="left"/>
      <w:lvlText w:val="(%1)"/>
      <w:numFmt w:val="decimal"/>
      <w:start w:val="2"/>
    </w:lvl>
  </w:abstractNum>
  <w:abstractNum w:abstractNumId="256">
    <w:nsid w:val="34CC3ACF"/>
    <w:multiLevelType w:val="hybridMultilevel"/>
    <w:lvl w:ilvl="0">
      <w:lvlJc w:val="left"/>
      <w:lvlText w:val="(%1)"/>
      <w:numFmt w:val="decimal"/>
      <w:start w:val="1"/>
    </w:lvl>
  </w:abstractNum>
  <w:abstractNum w:abstractNumId="257">
    <w:nsid w:val="4E556261"/>
    <w:multiLevelType w:val="hybridMultilevel"/>
    <w:lvl w:ilvl="0">
      <w:lvlJc w:val="left"/>
      <w:lvlText w:val="(%1)"/>
      <w:numFmt w:val="decimal"/>
      <w:start w:val="2"/>
    </w:lvl>
  </w:abstractNum>
  <w:abstractNum w:abstractNumId="258">
    <w:nsid w:val="4C672FC9"/>
    <w:multiLevelType w:val="hybridMultilevel"/>
    <w:lvl w:ilvl="0">
      <w:lvlJc w:val="left"/>
      <w:lvlText w:val="(%1)"/>
      <w:numFmt w:val="decimal"/>
      <w:start w:val="1"/>
    </w:lvl>
    <w:lvl w:ilvl="1">
      <w:lvlJc w:val="left"/>
      <w:lvlText w:val="(%2)"/>
      <w:numFmt w:val="lowerLetter"/>
      <w:start w:val="1"/>
    </w:lvl>
  </w:abstractNum>
  <w:abstractNum w:abstractNumId="259">
    <w:nsid w:val="52A311C3"/>
    <w:multiLevelType w:val="hybridMultilevel"/>
    <w:lvl w:ilvl="0">
      <w:lvlJc w:val="left"/>
      <w:lvlText w:val="(%1)"/>
      <w:numFmt w:val="lowerLetter"/>
      <w:start w:val="2"/>
    </w:lvl>
  </w:abstractNum>
  <w:abstractNum w:abstractNumId="260">
    <w:nsid w:val="44EF6B80"/>
    <w:multiLevelType w:val="hybridMultilevel"/>
    <w:lvl w:ilvl="0">
      <w:lvlJc w:val="left"/>
      <w:lvlText w:val="(%1)"/>
      <w:numFmt w:val="lowerLetter"/>
      <w:start w:val="17"/>
    </w:lvl>
  </w:abstractNum>
  <w:abstractNum w:abstractNumId="261">
    <w:nsid w:val="12FCDE5E"/>
    <w:multiLevelType w:val="hybridMultilevel"/>
    <w:lvl w:ilvl="0">
      <w:lvlJc w:val="left"/>
      <w:lvlText w:val="(%1)"/>
      <w:numFmt w:val="decimal"/>
      <w:start w:val="2"/>
    </w:lvl>
    <w:lvl w:ilvl="1">
      <w:lvlJc w:val="left"/>
      <w:lvlText w:val="(%2)"/>
      <w:numFmt w:val="lowerLetter"/>
      <w:start w:val="1"/>
    </w:lvl>
  </w:abstractNum>
  <w:abstractNum w:abstractNumId="262">
    <w:nsid w:val="4A1D606E"/>
    <w:multiLevelType w:val="hybridMultilevel"/>
    <w:lvl w:ilvl="0">
      <w:lvlJc w:val="left"/>
      <w:lvlText w:val="(%1)"/>
      <w:numFmt w:val="lowerLetter"/>
      <w:start w:val="3"/>
    </w:lvl>
    <w:lvl w:ilvl="1">
      <w:lvlJc w:val="left"/>
      <w:lvlText w:val="%2)"/>
      <w:numFmt w:val="decimal"/>
      <w:start w:val="1"/>
    </w:lvl>
  </w:abstractNum>
  <w:abstractNum w:abstractNumId="263">
    <w:nsid w:val="4382503"/>
    <w:multiLevelType w:val="hybridMultilevel"/>
    <w:lvl w:ilvl="0">
      <w:lvlJc w:val="left"/>
      <w:lvlText w:val="%1"/>
      <w:numFmt w:val="lowerLetter"/>
      <w:start w:val="1"/>
    </w:lvl>
    <w:lvl w:ilvl="1">
      <w:lvlJc w:val="left"/>
      <w:lvlText w:val="%2)"/>
      <w:numFmt w:val="decimal"/>
      <w:start w:val="2"/>
    </w:lvl>
  </w:abstractNum>
  <w:abstractNum w:abstractNumId="264">
    <w:nsid w:val="59B76E28"/>
    <w:multiLevelType w:val="hybridMultilevel"/>
    <w:lvl w:ilvl="0">
      <w:lvlJc w:val="left"/>
      <w:lvlText w:val="(%1)"/>
      <w:numFmt w:val="lowerLetter"/>
      <w:start w:val="16"/>
    </w:lvl>
    <w:lvl w:ilvl="1">
      <w:lvlJc w:val="left"/>
      <w:lvlText w:val="%2"/>
      <w:numFmt w:val="decimal"/>
      <w:start w:val="1"/>
    </w:lvl>
  </w:abstractNum>
  <w:abstractNum w:abstractNumId="265">
    <w:nsid w:val="4252C2DA"/>
    <w:multiLevelType w:val="hybridMultilevel"/>
    <w:lvl w:ilvl="0">
      <w:lvlJc w:val="left"/>
      <w:lvlText w:val="4"/>
      <w:numFmt w:val="bullet"/>
      <w:start w:val="1"/>
    </w:lvl>
  </w:abstractNum>
  <w:abstractNum w:abstractNumId="266">
    <w:nsid w:val="6A92EF4C"/>
    <w:multiLevelType w:val="hybridMultilevel"/>
    <w:lvl w:ilvl="0">
      <w:lvlJc w:val="left"/>
      <w:lvlText w:val="(%1)"/>
      <w:numFmt w:val="decimal"/>
      <w:start w:val="1"/>
    </w:lvl>
  </w:abstractNum>
  <w:abstractNum w:abstractNumId="267">
    <w:nsid w:val="41ED20D7"/>
    <w:multiLevelType w:val="hybridMultilevel"/>
    <w:lvl w:ilvl="0">
      <w:lvlJc w:val="left"/>
      <w:lvlText w:val="(%1)"/>
      <w:numFmt w:val="decimal"/>
      <w:start w:val="2"/>
    </w:lvl>
  </w:abstractNum>
  <w:abstractNum w:abstractNumId="268">
    <w:nsid w:val="E6B3F6A"/>
    <w:multiLevelType w:val="hybridMultilevel"/>
    <w:lvl w:ilvl="0">
      <w:lvlJc w:val="left"/>
      <w:lvlText w:val="5"/>
      <w:numFmt w:val="bullet"/>
      <w:start w:val="1"/>
    </w:lvl>
  </w:abstractNum>
  <w:abstractNum w:abstractNumId="269">
    <w:nsid w:val="3EB21819"/>
    <w:multiLevelType w:val="hybridMultilevel"/>
    <w:lvl w:ilvl="0">
      <w:lvlJc w:val="left"/>
      <w:lvlText w:val="(%1)"/>
      <w:numFmt w:val="decimal"/>
      <w:start w:val="1"/>
    </w:lvl>
  </w:abstractNum>
  <w:abstractNum w:abstractNumId="270">
    <w:nsid w:val="41531DED"/>
    <w:multiLevelType w:val="hybridMultilevel"/>
    <w:lvl w:ilvl="0">
      <w:lvlJc w:val="left"/>
      <w:lvlText w:val="(%1)"/>
      <w:numFmt w:val="decimal"/>
      <w:start w:val="2"/>
    </w:lvl>
  </w:abstractNum>
  <w:abstractNum w:abstractNumId="271">
    <w:nsid w:val="6353CD2"/>
    <w:multiLevelType w:val="hybridMultilevel"/>
    <w:lvl w:ilvl="0">
      <w:lvlJc w:val="left"/>
      <w:lvlText w:val="(%1)"/>
      <w:numFmt w:val="decimal"/>
      <w:start w:val="1"/>
    </w:lvl>
  </w:abstractNum>
  <w:abstractNum w:abstractNumId="272">
    <w:nsid w:val="683CAAD3"/>
    <w:multiLevelType w:val="hybridMultilevel"/>
    <w:lvl w:ilvl="0">
      <w:lvlJc w:val="left"/>
      <w:lvlText w:val="6"/>
      <w:numFmt w:val="bullet"/>
      <w:start w:val="1"/>
    </w:lvl>
  </w:abstractNum>
  <w:abstractNum w:abstractNumId="273">
    <w:nsid w:val="313C7C99"/>
    <w:multiLevelType w:val="hybridMultilevel"/>
    <w:lvl w:ilvl="0">
      <w:lvlJc w:val="left"/>
      <w:lvlText w:val="7"/>
      <w:numFmt w:val="bullet"/>
      <w:start w:val="1"/>
    </w:lvl>
  </w:abstractNum>
  <w:abstractNum w:abstractNumId="274">
    <w:nsid w:val="519EB94C"/>
    <w:multiLevelType w:val="hybridMultilevel"/>
    <w:lvl w:ilvl="0">
      <w:lvlJc w:val="left"/>
      <w:lvlText w:val="8"/>
      <w:numFmt w:val="bullet"/>
      <w:start w:val="1"/>
    </w:lvl>
  </w:abstractNum>
  <w:abstractNum w:abstractNumId="275">
    <w:nsid w:val="39DF2579"/>
    <w:multiLevelType w:val="hybridMultilevel"/>
    <w:lvl w:ilvl="0">
      <w:lvlJc w:val="left"/>
      <w:lvlText w:val="9"/>
      <w:numFmt w:val="bullet"/>
      <w:start w:val="1"/>
    </w:lvl>
  </w:abstractNum>
  <w:abstractNum w:abstractNumId="276">
    <w:nsid w:val="126E008B"/>
    <w:multiLevelType w:val="hybridMultilevel"/>
    <w:lvl w:ilvl="0">
      <w:lvlJc w:val="left"/>
      <w:lvlText w:val="(%1)"/>
      <w:numFmt w:val="decimal"/>
      <w:start w:val="1"/>
    </w:lvl>
  </w:abstractNum>
  <w:abstractNum w:abstractNumId="277">
    <w:nsid w:val="34DFBC00"/>
    <w:multiLevelType w:val="hybridMultilevel"/>
    <w:lvl w:ilvl="0">
      <w:lvlJc w:val="left"/>
      <w:lvlText w:val="(%1)"/>
      <w:numFmt w:val="decimal"/>
      <w:start w:val="2"/>
    </w:lvl>
    <w:lvl w:ilvl="1">
      <w:lvlJc w:val="left"/>
      <w:lvlText w:val="(%2)"/>
      <w:numFmt w:val="lowerLetter"/>
      <w:start w:val="1"/>
    </w:lvl>
  </w:abstractNum>
  <w:abstractNum w:abstractNumId="278">
    <w:nsid w:val="1F9EC322"/>
    <w:multiLevelType w:val="hybridMultilevel"/>
    <w:lvl w:ilvl="0">
      <w:lvlJc w:val="left"/>
      <w:lvlText w:val="%1."/>
      <w:numFmt w:val="decimal"/>
      <w:start w:val="1"/>
    </w:lvl>
    <w:lvl w:ilvl="1">
      <w:lvlJc w:val="left"/>
      <w:lvlText w:val="(%2)"/>
      <w:numFmt w:val="lowerLetter"/>
      <w:start w:val="1"/>
    </w:lvl>
  </w:abstractNum>
  <w:abstractNum w:abstractNumId="279">
    <w:nsid w:val="3410ED56"/>
    <w:multiLevelType w:val="hybridMultilevel"/>
    <w:lvl w:ilvl="0">
      <w:lvlJc w:val="left"/>
      <w:lvlText w:val="%1."/>
      <w:numFmt w:val="decimal"/>
      <w:start w:val="1"/>
    </w:lvl>
    <w:lvl w:ilvl="1">
      <w:lvlJc w:val="left"/>
      <w:lvlText w:val="(%2)"/>
      <w:numFmt w:val="lowerLetter"/>
      <w:start w:val="1"/>
    </w:lvl>
  </w:abstractNum>
  <w:abstractNum w:abstractNumId="280">
    <w:nsid w:val="23C049A"/>
    <w:multiLevelType w:val="hybridMultilevel"/>
    <w:lvl w:ilvl="0">
      <w:lvlJc w:val="left"/>
      <w:lvlText w:val="(%1)"/>
      <w:numFmt w:val="decimal"/>
      <w:start w:val="2"/>
    </w:lvl>
  </w:abstractNum>
  <w:abstractNum w:abstractNumId="281">
    <w:nsid w:val="5BDA35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248" Type="http://schemas.openxmlformats.org/officeDocument/2006/relationships/image" Target="media/image187.png"/><Relationship Id="rId249" Type="http://schemas.openxmlformats.org/officeDocument/2006/relationships/image" Target="media/image188.png"/><Relationship Id="rId250" Type="http://schemas.openxmlformats.org/officeDocument/2006/relationships/image" Target="media/image189.png"/><Relationship Id="rId251" Type="http://schemas.openxmlformats.org/officeDocument/2006/relationships/image" Target="media/image190.png"/><Relationship Id="rId252" Type="http://schemas.openxmlformats.org/officeDocument/2006/relationships/image" Target="media/image191.png"/><Relationship Id="rId253" Type="http://schemas.openxmlformats.org/officeDocument/2006/relationships/image" Target="media/image192.png"/><Relationship Id="rId254" Type="http://schemas.openxmlformats.org/officeDocument/2006/relationships/image" Target="media/image193.png"/><Relationship Id="rId255" Type="http://schemas.openxmlformats.org/officeDocument/2006/relationships/image" Target="media/image194.png"/><Relationship Id="rId256" Type="http://schemas.openxmlformats.org/officeDocument/2006/relationships/image" Target="media/image195.png"/><Relationship Id="rId257" Type="http://schemas.openxmlformats.org/officeDocument/2006/relationships/image" Target="media/image196.png"/><Relationship Id="rId258" Type="http://schemas.openxmlformats.org/officeDocument/2006/relationships/image" Target="media/image197.png"/><Relationship Id="rId259" Type="http://schemas.openxmlformats.org/officeDocument/2006/relationships/image" Target="media/image198.png"/><Relationship Id="rId260" Type="http://schemas.openxmlformats.org/officeDocument/2006/relationships/image" Target="media/image199.png"/><Relationship Id="rId261" Type="http://schemas.openxmlformats.org/officeDocument/2006/relationships/image" Target="media/image200.png"/><Relationship Id="rId262" Type="http://schemas.openxmlformats.org/officeDocument/2006/relationships/image" Target="media/image201.png"/><Relationship Id="rId263" Type="http://schemas.openxmlformats.org/officeDocument/2006/relationships/image" Target="media/image202.png"/><Relationship Id="rId264" Type="http://schemas.openxmlformats.org/officeDocument/2006/relationships/image" Target="media/image203.png"/><Relationship Id="rId265" Type="http://schemas.openxmlformats.org/officeDocument/2006/relationships/image" Target="media/image204.png"/><Relationship Id="rId266" Type="http://schemas.openxmlformats.org/officeDocument/2006/relationships/image" Target="media/image205.png"/><Relationship Id="rId267" Type="http://schemas.openxmlformats.org/officeDocument/2006/relationships/image" Target="media/image206.png"/><Relationship Id="rId268" Type="http://schemas.openxmlformats.org/officeDocument/2006/relationships/image" Target="media/image207.png"/><Relationship Id="rId269" Type="http://schemas.openxmlformats.org/officeDocument/2006/relationships/image" Target="media/image208.png"/><Relationship Id="rId270" Type="http://schemas.openxmlformats.org/officeDocument/2006/relationships/image" Target="media/image209.png"/><Relationship Id="rId271" Type="http://schemas.openxmlformats.org/officeDocument/2006/relationships/image" Target="media/image210.png"/><Relationship Id="rId272" Type="http://schemas.openxmlformats.org/officeDocument/2006/relationships/image" Target="media/image211.png"/><Relationship Id="rId273" Type="http://schemas.openxmlformats.org/officeDocument/2006/relationships/image" Target="media/image212.png"/><Relationship Id="rId274" Type="http://schemas.openxmlformats.org/officeDocument/2006/relationships/image" Target="media/image213.png"/><Relationship Id="rId275" Type="http://schemas.openxmlformats.org/officeDocument/2006/relationships/image" Target="media/image214.png"/><Relationship Id="rId276" Type="http://schemas.openxmlformats.org/officeDocument/2006/relationships/image" Target="media/image215.png"/><Relationship Id="rId277" Type="http://schemas.openxmlformats.org/officeDocument/2006/relationships/image" Target="media/image216.png"/><Relationship Id="rId278" Type="http://schemas.openxmlformats.org/officeDocument/2006/relationships/image" Target="media/image217.png"/><Relationship Id="rId279" Type="http://schemas.openxmlformats.org/officeDocument/2006/relationships/image" Target="media/image218.png"/><Relationship Id="rId280" Type="http://schemas.openxmlformats.org/officeDocument/2006/relationships/image" Target="media/image219.png"/><Relationship Id="rId281" Type="http://schemas.openxmlformats.org/officeDocument/2006/relationships/image" Target="media/image220.png"/><Relationship Id="rId282" Type="http://schemas.openxmlformats.org/officeDocument/2006/relationships/image" Target="media/image221.png"/><Relationship Id="rId283" Type="http://schemas.openxmlformats.org/officeDocument/2006/relationships/image" Target="media/image222.png"/><Relationship Id="rId284" Type="http://schemas.openxmlformats.org/officeDocument/2006/relationships/image" Target="media/image223.png"/><Relationship Id="rId285" Type="http://schemas.openxmlformats.org/officeDocument/2006/relationships/image" Target="media/image224.png"/><Relationship Id="rId286" Type="http://schemas.openxmlformats.org/officeDocument/2006/relationships/image" Target="media/image225.png"/><Relationship Id="rId287" Type="http://schemas.openxmlformats.org/officeDocument/2006/relationships/image" Target="media/image226.png"/><Relationship Id="rId288" Type="http://schemas.openxmlformats.org/officeDocument/2006/relationships/image" Target="media/image227.png"/><Relationship Id="rId289" Type="http://schemas.openxmlformats.org/officeDocument/2006/relationships/image" Target="media/image228.png"/><Relationship Id="rId290" Type="http://schemas.openxmlformats.org/officeDocument/2006/relationships/image" Target="media/image229.png"/><Relationship Id="rId291" Type="http://schemas.openxmlformats.org/officeDocument/2006/relationships/image" Target="media/image230.png"/><Relationship Id="rId292" Type="http://schemas.openxmlformats.org/officeDocument/2006/relationships/image" Target="media/image231.png"/><Relationship Id="rId293" Type="http://schemas.openxmlformats.org/officeDocument/2006/relationships/image" Target="media/image232.png"/><Relationship Id="rId294" Type="http://schemas.openxmlformats.org/officeDocument/2006/relationships/image" Target="media/image233.png"/><Relationship Id="rId295" Type="http://schemas.openxmlformats.org/officeDocument/2006/relationships/image" Target="media/image234.png"/><Relationship Id="rId296" Type="http://schemas.openxmlformats.org/officeDocument/2006/relationships/image" Target="media/image235.png"/><Relationship Id="rId297" Type="http://schemas.openxmlformats.org/officeDocument/2006/relationships/image" Target="media/image236.png"/><Relationship Id="rId298" Type="http://schemas.openxmlformats.org/officeDocument/2006/relationships/image" Target="media/image237.png"/><Relationship Id="rId299" Type="http://schemas.openxmlformats.org/officeDocument/2006/relationships/image" Target="media/image238.png"/><Relationship Id="rId300" Type="http://schemas.openxmlformats.org/officeDocument/2006/relationships/image" Target="media/image239.png"/><Relationship Id="rId301" Type="http://schemas.openxmlformats.org/officeDocument/2006/relationships/image" Target="media/image240.png"/><Relationship Id="rId302" Type="http://schemas.openxmlformats.org/officeDocument/2006/relationships/image" Target="media/image241.png"/><Relationship Id="rId303" Type="http://schemas.openxmlformats.org/officeDocument/2006/relationships/image" Target="media/image242.png"/><Relationship Id="rId304" Type="http://schemas.openxmlformats.org/officeDocument/2006/relationships/image" Target="media/image243.png"/><Relationship Id="rId305" Type="http://schemas.openxmlformats.org/officeDocument/2006/relationships/image" Target="media/image244.png"/><Relationship Id="rId306" Type="http://schemas.openxmlformats.org/officeDocument/2006/relationships/image" Target="media/image245.png"/><Relationship Id="rId307" Type="http://schemas.openxmlformats.org/officeDocument/2006/relationships/image" Target="media/image246.png"/><Relationship Id="rId308" Type="http://schemas.openxmlformats.org/officeDocument/2006/relationships/image" Target="media/image247.png"/><Relationship Id="rId309" Type="http://schemas.openxmlformats.org/officeDocument/2006/relationships/image" Target="media/image248.png"/><Relationship Id="rId310" Type="http://schemas.openxmlformats.org/officeDocument/2006/relationships/image" Target="media/image249.png"/><Relationship Id="rId311" Type="http://schemas.openxmlformats.org/officeDocument/2006/relationships/image" Target="media/image250.png"/><Relationship Id="rId312" Type="http://schemas.openxmlformats.org/officeDocument/2006/relationships/image" Target="media/image251.png"/><Relationship Id="rId313" Type="http://schemas.openxmlformats.org/officeDocument/2006/relationships/image" Target="media/image252.png"/><Relationship Id="rId314" Type="http://schemas.openxmlformats.org/officeDocument/2006/relationships/image" Target="media/image253.png"/><Relationship Id="rId315" Type="http://schemas.openxmlformats.org/officeDocument/2006/relationships/image" Target="media/image254.png"/><Relationship Id="rId316" Type="http://schemas.openxmlformats.org/officeDocument/2006/relationships/image" Target="media/image255.png"/><Relationship Id="rId317" Type="http://schemas.openxmlformats.org/officeDocument/2006/relationships/image" Target="media/image256.png"/><Relationship Id="rId318" Type="http://schemas.openxmlformats.org/officeDocument/2006/relationships/image" Target="media/image257.png"/><Relationship Id="rId319" Type="http://schemas.openxmlformats.org/officeDocument/2006/relationships/image" Target="media/image258.png"/><Relationship Id="rId320" Type="http://schemas.openxmlformats.org/officeDocument/2006/relationships/image" Target="media/image259.png"/><Relationship Id="rId321" Type="http://schemas.openxmlformats.org/officeDocument/2006/relationships/image" Target="media/image260.png"/><Relationship Id="rId322" Type="http://schemas.openxmlformats.org/officeDocument/2006/relationships/image" Target="media/image261.png"/><Relationship Id="rId323" Type="http://schemas.openxmlformats.org/officeDocument/2006/relationships/image" Target="media/image262.png"/><Relationship Id="rId324" Type="http://schemas.openxmlformats.org/officeDocument/2006/relationships/image" Target="media/image263.png"/><Relationship Id="rId325" Type="http://schemas.openxmlformats.org/officeDocument/2006/relationships/image" Target="media/image264.png"/><Relationship Id="rId326" Type="http://schemas.openxmlformats.org/officeDocument/2006/relationships/image" Target="media/image265.png"/><Relationship Id="rId327" Type="http://schemas.openxmlformats.org/officeDocument/2006/relationships/image" Target="media/image266.png"/><Relationship Id="rId328" Type="http://schemas.openxmlformats.org/officeDocument/2006/relationships/image" Target="media/image267.png"/><Relationship Id="rId329" Type="http://schemas.openxmlformats.org/officeDocument/2006/relationships/image" Target="media/image268.png"/><Relationship Id="rId330" Type="http://schemas.openxmlformats.org/officeDocument/2006/relationships/image" Target="media/image269.png"/><Relationship Id="rId331" Type="http://schemas.openxmlformats.org/officeDocument/2006/relationships/image" Target="media/image270.png"/><Relationship Id="rId332" Type="http://schemas.openxmlformats.org/officeDocument/2006/relationships/image" Target="media/image271.png"/><Relationship Id="rId333" Type="http://schemas.openxmlformats.org/officeDocument/2006/relationships/image" Target="media/image272.png"/><Relationship Id="rId334" Type="http://schemas.openxmlformats.org/officeDocument/2006/relationships/image" Target="media/image273.png"/><Relationship Id="rId335" Type="http://schemas.openxmlformats.org/officeDocument/2006/relationships/image" Target="media/image274.png"/><Relationship Id="rId336" Type="http://schemas.openxmlformats.org/officeDocument/2006/relationships/image" Target="media/image275.png"/><Relationship Id="rId337" Type="http://schemas.openxmlformats.org/officeDocument/2006/relationships/image" Target="media/image276.png"/><Relationship Id="rId338" Type="http://schemas.openxmlformats.org/officeDocument/2006/relationships/image" Target="media/image277.png"/><Relationship Id="rId339" Type="http://schemas.openxmlformats.org/officeDocument/2006/relationships/image" Target="media/image278.png"/><Relationship Id="rId340" Type="http://schemas.openxmlformats.org/officeDocument/2006/relationships/image" Target="media/image279.png"/><Relationship Id="rId341" Type="http://schemas.openxmlformats.org/officeDocument/2006/relationships/image" Target="media/image280.png"/><Relationship Id="rId342" Type="http://schemas.openxmlformats.org/officeDocument/2006/relationships/image" Target="media/image281.png"/><Relationship Id="rId343" Type="http://schemas.openxmlformats.org/officeDocument/2006/relationships/image" Target="media/image282.png"/><Relationship Id="rId344" Type="http://schemas.openxmlformats.org/officeDocument/2006/relationships/image" Target="media/image283.png"/><Relationship Id="rId345" Type="http://schemas.openxmlformats.org/officeDocument/2006/relationships/image" Target="media/image284.png"/><Relationship Id="rId346" Type="http://schemas.openxmlformats.org/officeDocument/2006/relationships/image" Target="media/image285.png"/><Relationship Id="rId347" Type="http://schemas.openxmlformats.org/officeDocument/2006/relationships/image" Target="media/image286.png"/><Relationship Id="rId348" Type="http://schemas.openxmlformats.org/officeDocument/2006/relationships/image" Target="media/image287.png"/><Relationship Id="rId349" Type="http://schemas.openxmlformats.org/officeDocument/2006/relationships/image" Target="media/image288.png"/><Relationship Id="rId350" Type="http://schemas.openxmlformats.org/officeDocument/2006/relationships/image" Target="media/image289.png"/><Relationship Id="rId351" Type="http://schemas.openxmlformats.org/officeDocument/2006/relationships/image" Target="media/image290.png"/><Relationship Id="rId352" Type="http://schemas.openxmlformats.org/officeDocument/2006/relationships/image" Target="media/image291.png"/><Relationship Id="rId353" Type="http://schemas.openxmlformats.org/officeDocument/2006/relationships/image" Target="media/image292.png"/><Relationship Id="rId354" Type="http://schemas.openxmlformats.org/officeDocument/2006/relationships/image" Target="media/image293.png"/><Relationship Id="rId355" Type="http://schemas.openxmlformats.org/officeDocument/2006/relationships/image" Target="media/image294.png"/><Relationship Id="rId356" Type="http://schemas.openxmlformats.org/officeDocument/2006/relationships/image" Target="media/image295.png"/><Relationship Id="rId357" Type="http://schemas.openxmlformats.org/officeDocument/2006/relationships/image" Target="media/image296.png"/><Relationship Id="rId358" Type="http://schemas.openxmlformats.org/officeDocument/2006/relationships/image" Target="media/image297.png"/><Relationship Id="rId359" Type="http://schemas.openxmlformats.org/officeDocument/2006/relationships/image" Target="media/image298.png"/><Relationship Id="rId360" Type="http://schemas.openxmlformats.org/officeDocument/2006/relationships/image" Target="media/image299.png"/><Relationship Id="rId361" Type="http://schemas.openxmlformats.org/officeDocument/2006/relationships/image" Target="media/image300.png"/><Relationship Id="rId362" Type="http://schemas.openxmlformats.org/officeDocument/2006/relationships/image" Target="media/image301.png"/><Relationship Id="rId363" Type="http://schemas.openxmlformats.org/officeDocument/2006/relationships/image" Target="media/image302.png"/><Relationship Id="rId364" Type="http://schemas.openxmlformats.org/officeDocument/2006/relationships/image" Target="media/image303.png"/><Relationship Id="rId365" Type="http://schemas.openxmlformats.org/officeDocument/2006/relationships/image" Target="media/image304.png"/><Relationship Id="rId366" Type="http://schemas.openxmlformats.org/officeDocument/2006/relationships/image" Target="media/image305.png"/><Relationship Id="rId367" Type="http://schemas.openxmlformats.org/officeDocument/2006/relationships/image" Target="media/image306.png"/><Relationship Id="rId368" Type="http://schemas.openxmlformats.org/officeDocument/2006/relationships/image" Target="media/image307.png"/><Relationship Id="rId369" Type="http://schemas.openxmlformats.org/officeDocument/2006/relationships/image" Target="media/image308.png"/><Relationship Id="rId370" Type="http://schemas.openxmlformats.org/officeDocument/2006/relationships/image" Target="media/image309.png"/><Relationship Id="rId371" Type="http://schemas.openxmlformats.org/officeDocument/2006/relationships/image" Target="media/image310.png"/><Relationship Id="rId372" Type="http://schemas.openxmlformats.org/officeDocument/2006/relationships/image" Target="media/image311.png"/><Relationship Id="rId373" Type="http://schemas.openxmlformats.org/officeDocument/2006/relationships/image" Target="media/image312.png"/><Relationship Id="rId374" Type="http://schemas.openxmlformats.org/officeDocument/2006/relationships/image" Target="media/image313.png"/><Relationship Id="rId375" Type="http://schemas.openxmlformats.org/officeDocument/2006/relationships/image" Target="media/image314.png"/><Relationship Id="rId376" Type="http://schemas.openxmlformats.org/officeDocument/2006/relationships/image" Target="media/image315.png"/><Relationship Id="rId377" Type="http://schemas.openxmlformats.org/officeDocument/2006/relationships/image" Target="media/image316.png"/><Relationship Id="rId378" Type="http://schemas.openxmlformats.org/officeDocument/2006/relationships/image" Target="media/image317.png"/><Relationship Id="rId379" Type="http://schemas.openxmlformats.org/officeDocument/2006/relationships/image" Target="media/image318.png"/><Relationship Id="rId380" Type="http://schemas.openxmlformats.org/officeDocument/2006/relationships/image" Target="media/image319.png"/><Relationship Id="rId381" Type="http://schemas.openxmlformats.org/officeDocument/2006/relationships/image" Target="media/image320.png"/><Relationship Id="rId382" Type="http://schemas.openxmlformats.org/officeDocument/2006/relationships/image" Target="media/image321.png"/><Relationship Id="rId383" Type="http://schemas.openxmlformats.org/officeDocument/2006/relationships/image" Target="media/image322.png"/><Relationship Id="rId384" Type="http://schemas.openxmlformats.org/officeDocument/2006/relationships/image" Target="media/image323.png"/><Relationship Id="rId385" Type="http://schemas.openxmlformats.org/officeDocument/2006/relationships/image" Target="media/image324.png"/><Relationship Id="rId386" Type="http://schemas.openxmlformats.org/officeDocument/2006/relationships/image" Target="media/image325.png"/><Relationship Id="rId387" Type="http://schemas.openxmlformats.org/officeDocument/2006/relationships/image" Target="media/image326.png"/><Relationship Id="rId388" Type="http://schemas.openxmlformats.org/officeDocument/2006/relationships/image" Target="media/image327.png"/><Relationship Id="rId389" Type="http://schemas.openxmlformats.org/officeDocument/2006/relationships/image" Target="media/image328.png"/><Relationship Id="rId390" Type="http://schemas.openxmlformats.org/officeDocument/2006/relationships/image" Target="media/image329.png"/><Relationship Id="rId391" Type="http://schemas.openxmlformats.org/officeDocument/2006/relationships/image" Target="media/image330.png"/><Relationship Id="rId392" Type="http://schemas.openxmlformats.org/officeDocument/2006/relationships/image" Target="media/image331.png"/><Relationship Id="rId393" Type="http://schemas.openxmlformats.org/officeDocument/2006/relationships/image" Target="media/image332.png"/><Relationship Id="rId394" Type="http://schemas.openxmlformats.org/officeDocument/2006/relationships/image" Target="media/image333.png"/><Relationship Id="rId395" Type="http://schemas.openxmlformats.org/officeDocument/2006/relationships/image" Target="media/image334.png"/><Relationship Id="rId396" Type="http://schemas.openxmlformats.org/officeDocument/2006/relationships/image" Target="media/image335.png"/><Relationship Id="rId397" Type="http://schemas.openxmlformats.org/officeDocument/2006/relationships/image" Target="media/image336.png"/><Relationship Id="rId398" Type="http://schemas.openxmlformats.org/officeDocument/2006/relationships/image" Target="media/image337.png"/><Relationship Id="rId399" Type="http://schemas.openxmlformats.org/officeDocument/2006/relationships/image" Target="media/image338.png"/><Relationship Id="rId400" Type="http://schemas.openxmlformats.org/officeDocument/2006/relationships/image" Target="media/image339.png"/><Relationship Id="rId401" Type="http://schemas.openxmlformats.org/officeDocument/2006/relationships/image" Target="media/image340.png"/><Relationship Id="rId402" Type="http://schemas.openxmlformats.org/officeDocument/2006/relationships/image" Target="media/image341.png"/><Relationship Id="rId403" Type="http://schemas.openxmlformats.org/officeDocument/2006/relationships/image" Target="media/image342.png"/><Relationship Id="rId404" Type="http://schemas.openxmlformats.org/officeDocument/2006/relationships/image" Target="media/image343.png"/><Relationship Id="rId405" Type="http://schemas.openxmlformats.org/officeDocument/2006/relationships/image" Target="media/image344.png"/><Relationship Id="rId406" Type="http://schemas.openxmlformats.org/officeDocument/2006/relationships/image" Target="media/image345.png"/><Relationship Id="rId407" Type="http://schemas.openxmlformats.org/officeDocument/2006/relationships/image" Target="media/image346.png"/><Relationship Id="rId408" Type="http://schemas.openxmlformats.org/officeDocument/2006/relationships/image" Target="media/image347.png"/><Relationship Id="rId409" Type="http://schemas.openxmlformats.org/officeDocument/2006/relationships/image" Target="media/image348.png"/><Relationship Id="rId410" Type="http://schemas.openxmlformats.org/officeDocument/2006/relationships/image" Target="media/image349.png"/><Relationship Id="rId411" Type="http://schemas.openxmlformats.org/officeDocument/2006/relationships/image" Target="media/image350.png"/><Relationship Id="rId412" Type="http://schemas.openxmlformats.org/officeDocument/2006/relationships/image" Target="media/image351.png"/><Relationship Id="rId413" Type="http://schemas.openxmlformats.org/officeDocument/2006/relationships/image" Target="media/image352.png"/><Relationship Id="rId414" Type="http://schemas.openxmlformats.org/officeDocument/2006/relationships/image" Target="media/image353.png"/><Relationship Id="rId415" Type="http://schemas.openxmlformats.org/officeDocument/2006/relationships/image" Target="media/image354.png"/><Relationship Id="rId416" Type="http://schemas.openxmlformats.org/officeDocument/2006/relationships/image" Target="media/image355.png"/><Relationship Id="rId417" Type="http://schemas.openxmlformats.org/officeDocument/2006/relationships/image" Target="media/image356.png"/><Relationship Id="rId418" Type="http://schemas.openxmlformats.org/officeDocument/2006/relationships/image" Target="media/image357.png"/><Relationship Id="rId419" Type="http://schemas.openxmlformats.org/officeDocument/2006/relationships/image" Target="media/image358.png"/><Relationship Id="rId420" Type="http://schemas.openxmlformats.org/officeDocument/2006/relationships/image" Target="media/image359.png"/><Relationship Id="rId421" Type="http://schemas.openxmlformats.org/officeDocument/2006/relationships/image" Target="media/image360.png"/><Relationship Id="rId422" Type="http://schemas.openxmlformats.org/officeDocument/2006/relationships/image" Target="media/image361.png"/><Relationship Id="rId423" Type="http://schemas.openxmlformats.org/officeDocument/2006/relationships/image" Target="media/image362.png"/><Relationship Id="rId424" Type="http://schemas.openxmlformats.org/officeDocument/2006/relationships/image" Target="media/image363.png"/><Relationship Id="rId425" Type="http://schemas.openxmlformats.org/officeDocument/2006/relationships/image" Target="media/image364.png"/><Relationship Id="rId426" Type="http://schemas.openxmlformats.org/officeDocument/2006/relationships/image" Target="media/image365.png"/><Relationship Id="rId427" Type="http://schemas.openxmlformats.org/officeDocument/2006/relationships/image" Target="media/image366.png"/><Relationship Id="rId428" Type="http://schemas.openxmlformats.org/officeDocument/2006/relationships/image" Target="media/image367.png"/><Relationship Id="rId429" Type="http://schemas.openxmlformats.org/officeDocument/2006/relationships/image" Target="media/image368.png"/><Relationship Id="rId430" Type="http://schemas.openxmlformats.org/officeDocument/2006/relationships/image" Target="media/image369.png"/><Relationship Id="rId431" Type="http://schemas.openxmlformats.org/officeDocument/2006/relationships/image" Target="media/image370.png"/><Relationship Id="rId432" Type="http://schemas.openxmlformats.org/officeDocument/2006/relationships/image" Target="media/image371.png"/><Relationship Id="rId433" Type="http://schemas.openxmlformats.org/officeDocument/2006/relationships/image" Target="media/image372.png"/><Relationship Id="rId434" Type="http://schemas.openxmlformats.org/officeDocument/2006/relationships/image" Target="media/image373.png"/><Relationship Id="rId435" Type="http://schemas.openxmlformats.org/officeDocument/2006/relationships/image" Target="media/image374.png"/><Relationship Id="rId436" Type="http://schemas.openxmlformats.org/officeDocument/2006/relationships/image" Target="media/image375.png"/><Relationship Id="rId437" Type="http://schemas.openxmlformats.org/officeDocument/2006/relationships/image" Target="media/image376.png"/><Relationship Id="rId438" Type="http://schemas.openxmlformats.org/officeDocument/2006/relationships/image" Target="media/image377.png"/><Relationship Id="rId439" Type="http://schemas.openxmlformats.org/officeDocument/2006/relationships/image" Target="media/image378.png"/><Relationship Id="rId440" Type="http://schemas.openxmlformats.org/officeDocument/2006/relationships/image" Target="media/image379.png"/><Relationship Id="rId441" Type="http://schemas.openxmlformats.org/officeDocument/2006/relationships/image" Target="media/image380.png"/><Relationship Id="rId442" Type="http://schemas.openxmlformats.org/officeDocument/2006/relationships/image" Target="media/image381.png"/><Relationship Id="rId443" Type="http://schemas.openxmlformats.org/officeDocument/2006/relationships/image" Target="media/image382.png"/><Relationship Id="rId444" Type="http://schemas.openxmlformats.org/officeDocument/2006/relationships/image" Target="media/image383.png"/><Relationship Id="rId445" Type="http://schemas.openxmlformats.org/officeDocument/2006/relationships/image" Target="media/image384.png"/><Relationship Id="rId446" Type="http://schemas.openxmlformats.org/officeDocument/2006/relationships/image" Target="media/image385.png"/><Relationship Id="rId447" Type="http://schemas.openxmlformats.org/officeDocument/2006/relationships/image" Target="media/image386.png"/><Relationship Id="rId448" Type="http://schemas.openxmlformats.org/officeDocument/2006/relationships/image" Target="media/image387.png"/><Relationship Id="rId449" Type="http://schemas.openxmlformats.org/officeDocument/2006/relationships/image" Target="media/image388.png"/><Relationship Id="rId450" Type="http://schemas.openxmlformats.org/officeDocument/2006/relationships/image" Target="media/image389.png"/><Relationship Id="rId451" Type="http://schemas.openxmlformats.org/officeDocument/2006/relationships/image" Target="media/image390.png"/><Relationship Id="rId452" Type="http://schemas.openxmlformats.org/officeDocument/2006/relationships/image" Target="media/image391.png"/><Relationship Id="rId453" Type="http://schemas.openxmlformats.org/officeDocument/2006/relationships/image" Target="media/image392.png"/><Relationship Id="rId454" Type="http://schemas.openxmlformats.org/officeDocument/2006/relationships/image" Target="media/image393.png"/><Relationship Id="rId455" Type="http://schemas.openxmlformats.org/officeDocument/2006/relationships/image" Target="media/image394.png"/><Relationship Id="rId456" Type="http://schemas.openxmlformats.org/officeDocument/2006/relationships/image" Target="media/image395.png"/><Relationship Id="rId457" Type="http://schemas.openxmlformats.org/officeDocument/2006/relationships/image" Target="media/image396.png"/><Relationship Id="rId458" Type="http://schemas.openxmlformats.org/officeDocument/2006/relationships/image" Target="media/image397.png"/><Relationship Id="rId459" Type="http://schemas.openxmlformats.org/officeDocument/2006/relationships/image" Target="media/image398.png"/><Relationship Id="rId460" Type="http://schemas.openxmlformats.org/officeDocument/2006/relationships/image" Target="media/image399.png"/><Relationship Id="rId461" Type="http://schemas.openxmlformats.org/officeDocument/2006/relationships/image" Target="media/image400.png"/><Relationship Id="rId462" Type="http://schemas.openxmlformats.org/officeDocument/2006/relationships/image" Target="media/image401.png"/><Relationship Id="rId463" Type="http://schemas.openxmlformats.org/officeDocument/2006/relationships/image" Target="media/image402.png"/><Relationship Id="rId464" Type="http://schemas.openxmlformats.org/officeDocument/2006/relationships/image" Target="media/image403.png"/><Relationship Id="rId465" Type="http://schemas.openxmlformats.org/officeDocument/2006/relationships/image" Target="media/image404.png"/><Relationship Id="rId466" Type="http://schemas.openxmlformats.org/officeDocument/2006/relationships/image" Target="media/image405.png"/><Relationship Id="rId467" Type="http://schemas.openxmlformats.org/officeDocument/2006/relationships/image" Target="media/image406.png"/><Relationship Id="rId468" Type="http://schemas.openxmlformats.org/officeDocument/2006/relationships/image" Target="media/image407.png"/><Relationship Id="rId469" Type="http://schemas.openxmlformats.org/officeDocument/2006/relationships/image" Target="media/image408.png"/><Relationship Id="rId470" Type="http://schemas.openxmlformats.org/officeDocument/2006/relationships/image" Target="media/image409.png"/><Relationship Id="rId471" Type="http://schemas.openxmlformats.org/officeDocument/2006/relationships/image" Target="media/image410.png"/><Relationship Id="rId472" Type="http://schemas.openxmlformats.org/officeDocument/2006/relationships/image" Target="media/image411.png"/><Relationship Id="rId473" Type="http://schemas.openxmlformats.org/officeDocument/2006/relationships/image" Target="media/image412.png"/><Relationship Id="rId474" Type="http://schemas.openxmlformats.org/officeDocument/2006/relationships/image" Target="media/image413.png"/><Relationship Id="rId475" Type="http://schemas.openxmlformats.org/officeDocument/2006/relationships/image" Target="media/image414.png"/><Relationship Id="rId476" Type="http://schemas.openxmlformats.org/officeDocument/2006/relationships/image" Target="media/image415.png"/><Relationship Id="rId477" Type="http://schemas.openxmlformats.org/officeDocument/2006/relationships/image" Target="media/image416.png"/><Relationship Id="rId478" Type="http://schemas.openxmlformats.org/officeDocument/2006/relationships/image" Target="media/image417.png"/><Relationship Id="rId479" Type="http://schemas.openxmlformats.org/officeDocument/2006/relationships/image" Target="media/image418.png"/><Relationship Id="rId480" Type="http://schemas.openxmlformats.org/officeDocument/2006/relationships/image" Target="media/image419.png"/><Relationship Id="rId481" Type="http://schemas.openxmlformats.org/officeDocument/2006/relationships/image" Target="media/image420.png"/><Relationship Id="rId482" Type="http://schemas.openxmlformats.org/officeDocument/2006/relationships/image" Target="media/image421.png"/><Relationship Id="rId483" Type="http://schemas.openxmlformats.org/officeDocument/2006/relationships/image" Target="media/image422.png"/><Relationship Id="rId484" Type="http://schemas.openxmlformats.org/officeDocument/2006/relationships/image" Target="media/image423.png"/><Relationship Id="rId485" Type="http://schemas.openxmlformats.org/officeDocument/2006/relationships/image" Target="media/image424.png"/><Relationship Id="rId486" Type="http://schemas.openxmlformats.org/officeDocument/2006/relationships/image" Target="media/image425.png"/><Relationship Id="rId487" Type="http://schemas.openxmlformats.org/officeDocument/2006/relationships/image" Target="media/image426.png"/><Relationship Id="rId488" Type="http://schemas.openxmlformats.org/officeDocument/2006/relationships/image" Target="media/image427.png"/><Relationship Id="rId489" Type="http://schemas.openxmlformats.org/officeDocument/2006/relationships/image" Target="media/image428.png"/><Relationship Id="rId490" Type="http://schemas.openxmlformats.org/officeDocument/2006/relationships/image" Target="media/image429.png"/><Relationship Id="rId491" Type="http://schemas.openxmlformats.org/officeDocument/2006/relationships/image" Target="media/image430.png"/><Relationship Id="rId492" Type="http://schemas.openxmlformats.org/officeDocument/2006/relationships/image" Target="media/image431.png"/><Relationship Id="rId493" Type="http://schemas.openxmlformats.org/officeDocument/2006/relationships/image" Target="media/image432.png"/><Relationship Id="rId494" Type="http://schemas.openxmlformats.org/officeDocument/2006/relationships/image" Target="media/image433.png"/><Relationship Id="rId495" Type="http://schemas.openxmlformats.org/officeDocument/2006/relationships/image" Target="media/image434.png"/><Relationship Id="rId496" Type="http://schemas.openxmlformats.org/officeDocument/2006/relationships/image" Target="media/image435.png"/><Relationship Id="rId497" Type="http://schemas.openxmlformats.org/officeDocument/2006/relationships/image" Target="media/image436.png"/><Relationship Id="rId498" Type="http://schemas.openxmlformats.org/officeDocument/2006/relationships/image" Target="media/image437.png"/><Relationship Id="rId499" Type="http://schemas.openxmlformats.org/officeDocument/2006/relationships/image" Target="media/image438.png"/><Relationship Id="rId500" Type="http://schemas.openxmlformats.org/officeDocument/2006/relationships/image" Target="media/image439.png"/><Relationship Id="rId501" Type="http://schemas.openxmlformats.org/officeDocument/2006/relationships/image" Target="media/image440.png"/><Relationship Id="rId502" Type="http://schemas.openxmlformats.org/officeDocument/2006/relationships/image" Target="media/image441.png"/><Relationship Id="rId503" Type="http://schemas.openxmlformats.org/officeDocument/2006/relationships/image" Target="media/image442.png"/><Relationship Id="rId504" Type="http://schemas.openxmlformats.org/officeDocument/2006/relationships/image" Target="media/image443.png"/><Relationship Id="rId505" Type="http://schemas.openxmlformats.org/officeDocument/2006/relationships/image" Target="media/image444.png"/><Relationship Id="rId506" Type="http://schemas.openxmlformats.org/officeDocument/2006/relationships/image" Target="media/image445.png"/><Relationship Id="rId507" Type="http://schemas.openxmlformats.org/officeDocument/2006/relationships/image" Target="media/image446.png"/><Relationship Id="rId508" Type="http://schemas.openxmlformats.org/officeDocument/2006/relationships/image" Target="media/image447.png"/><Relationship Id="rId509" Type="http://schemas.openxmlformats.org/officeDocument/2006/relationships/image" Target="media/image448.png"/><Relationship Id="rId510" Type="http://schemas.openxmlformats.org/officeDocument/2006/relationships/image" Target="media/image449.png"/><Relationship Id="rId511" Type="http://schemas.openxmlformats.org/officeDocument/2006/relationships/image" Target="media/image450.png"/><Relationship Id="rId512" Type="http://schemas.openxmlformats.org/officeDocument/2006/relationships/image" Target="media/image451.png"/><Relationship Id="rId513" Type="http://schemas.openxmlformats.org/officeDocument/2006/relationships/image" Target="media/image452.png"/><Relationship Id="rId514" Type="http://schemas.openxmlformats.org/officeDocument/2006/relationships/image" Target="media/image453.png"/><Relationship Id="rId515" Type="http://schemas.openxmlformats.org/officeDocument/2006/relationships/image" Target="media/image454.png"/><Relationship Id="rId516" Type="http://schemas.openxmlformats.org/officeDocument/2006/relationships/image" Target="media/image455.png"/><Relationship Id="rId517" Type="http://schemas.openxmlformats.org/officeDocument/2006/relationships/image" Target="media/image456.png"/><Relationship Id="rId518" Type="http://schemas.openxmlformats.org/officeDocument/2006/relationships/image" Target="media/image457.png"/><Relationship Id="rId519" Type="http://schemas.openxmlformats.org/officeDocument/2006/relationships/image" Target="media/image458.png"/><Relationship Id="rId520" Type="http://schemas.openxmlformats.org/officeDocument/2006/relationships/image" Target="media/image459.png"/><Relationship Id="rId521" Type="http://schemas.openxmlformats.org/officeDocument/2006/relationships/image" Target="media/image460.png"/><Relationship Id="rId522" Type="http://schemas.openxmlformats.org/officeDocument/2006/relationships/image" Target="media/image461.png"/><Relationship Id="rId523" Type="http://schemas.openxmlformats.org/officeDocument/2006/relationships/image" Target="media/image462.png"/><Relationship Id="rId524" Type="http://schemas.openxmlformats.org/officeDocument/2006/relationships/image" Target="media/image463.png"/><Relationship Id="rId525" Type="http://schemas.openxmlformats.org/officeDocument/2006/relationships/image" Target="media/image464.png"/><Relationship Id="rId526" Type="http://schemas.openxmlformats.org/officeDocument/2006/relationships/image" Target="media/image465.png"/><Relationship Id="rId527" Type="http://schemas.openxmlformats.org/officeDocument/2006/relationships/image" Target="media/image466.png"/><Relationship Id="rId528" Type="http://schemas.openxmlformats.org/officeDocument/2006/relationships/image" Target="media/image467.png"/><Relationship Id="rId529" Type="http://schemas.openxmlformats.org/officeDocument/2006/relationships/image" Target="media/image468.png"/><Relationship Id="rId530" Type="http://schemas.openxmlformats.org/officeDocument/2006/relationships/image" Target="media/image469.png"/><Relationship Id="rId531" Type="http://schemas.openxmlformats.org/officeDocument/2006/relationships/image" Target="media/image470.png"/><Relationship Id="rId532" Type="http://schemas.openxmlformats.org/officeDocument/2006/relationships/image" Target="media/image471.png"/><Relationship Id="rId533" Type="http://schemas.openxmlformats.org/officeDocument/2006/relationships/image" Target="media/image472.png"/><Relationship Id="rId534" Type="http://schemas.openxmlformats.org/officeDocument/2006/relationships/image" Target="media/image473.png"/><Relationship Id="rId535" Type="http://schemas.openxmlformats.org/officeDocument/2006/relationships/image" Target="media/image474.png"/><Relationship Id="rId536" Type="http://schemas.openxmlformats.org/officeDocument/2006/relationships/image" Target="media/image475.png"/><Relationship Id="rId537" Type="http://schemas.openxmlformats.org/officeDocument/2006/relationships/image" Target="media/image476.png"/><Relationship Id="rId538" Type="http://schemas.openxmlformats.org/officeDocument/2006/relationships/image" Target="media/image477.png"/><Relationship Id="rId539" Type="http://schemas.openxmlformats.org/officeDocument/2006/relationships/image" Target="media/image478.png"/><Relationship Id="rId540" Type="http://schemas.openxmlformats.org/officeDocument/2006/relationships/image" Target="media/image479.png"/><Relationship Id="rId541" Type="http://schemas.openxmlformats.org/officeDocument/2006/relationships/image" Target="media/image480.png"/><Relationship Id="rId542" Type="http://schemas.openxmlformats.org/officeDocument/2006/relationships/image" Target="media/image481.png"/><Relationship Id="rId543" Type="http://schemas.openxmlformats.org/officeDocument/2006/relationships/image" Target="media/image482.png"/><Relationship Id="rId544" Type="http://schemas.openxmlformats.org/officeDocument/2006/relationships/image" Target="media/image483.png"/><Relationship Id="rId545" Type="http://schemas.openxmlformats.org/officeDocument/2006/relationships/image" Target="media/image484.png"/><Relationship Id="rId546" Type="http://schemas.openxmlformats.org/officeDocument/2006/relationships/image" Target="media/image485.png"/><Relationship Id="rId547" Type="http://schemas.openxmlformats.org/officeDocument/2006/relationships/image" Target="media/image486.png"/><Relationship Id="rId548" Type="http://schemas.openxmlformats.org/officeDocument/2006/relationships/image" Target="media/image487.png"/><Relationship Id="rId549" Type="http://schemas.openxmlformats.org/officeDocument/2006/relationships/image" Target="media/image488.png"/><Relationship Id="rId550" Type="http://schemas.openxmlformats.org/officeDocument/2006/relationships/image" Target="media/image489.png"/><Relationship Id="rId551" Type="http://schemas.openxmlformats.org/officeDocument/2006/relationships/image" Target="media/image490.png"/><Relationship Id="rId552" Type="http://schemas.openxmlformats.org/officeDocument/2006/relationships/image" Target="media/image491.png"/><Relationship Id="rId553" Type="http://schemas.openxmlformats.org/officeDocument/2006/relationships/image" Target="media/image492.png"/><Relationship Id="rId554" Type="http://schemas.openxmlformats.org/officeDocument/2006/relationships/image" Target="media/image493.png"/><Relationship Id="rId555" Type="http://schemas.openxmlformats.org/officeDocument/2006/relationships/image" Target="media/image494.png"/><Relationship Id="rId556" Type="http://schemas.openxmlformats.org/officeDocument/2006/relationships/image" Target="media/image495.png"/><Relationship Id="rId557" Type="http://schemas.openxmlformats.org/officeDocument/2006/relationships/image" Target="media/image496.png"/><Relationship Id="rId558" Type="http://schemas.openxmlformats.org/officeDocument/2006/relationships/image" Target="media/image497.png"/><Relationship Id="rId559" Type="http://schemas.openxmlformats.org/officeDocument/2006/relationships/image" Target="media/image498.png"/><Relationship Id="rId560" Type="http://schemas.openxmlformats.org/officeDocument/2006/relationships/image" Target="media/image499.png"/><Relationship Id="rId561" Type="http://schemas.openxmlformats.org/officeDocument/2006/relationships/image" Target="media/image500.png"/><Relationship Id="rId562" Type="http://schemas.openxmlformats.org/officeDocument/2006/relationships/image" Target="media/image501.png"/><Relationship Id="rId563" Type="http://schemas.openxmlformats.org/officeDocument/2006/relationships/image" Target="media/image502.png"/><Relationship Id="rId564" Type="http://schemas.openxmlformats.org/officeDocument/2006/relationships/image" Target="media/image503.png"/><Relationship Id="rId565" Type="http://schemas.openxmlformats.org/officeDocument/2006/relationships/image" Target="media/image504.png"/><Relationship Id="rId566" Type="http://schemas.openxmlformats.org/officeDocument/2006/relationships/image" Target="media/image505.png"/><Relationship Id="rId567" Type="http://schemas.openxmlformats.org/officeDocument/2006/relationships/image" Target="media/image506.png"/><Relationship Id="rId568" Type="http://schemas.openxmlformats.org/officeDocument/2006/relationships/image" Target="media/image507.png"/><Relationship Id="rId569" Type="http://schemas.openxmlformats.org/officeDocument/2006/relationships/image" Target="media/image508.png"/><Relationship Id="rId570" Type="http://schemas.openxmlformats.org/officeDocument/2006/relationships/image" Target="media/image509.png"/><Relationship Id="rId571" Type="http://schemas.openxmlformats.org/officeDocument/2006/relationships/image" Target="media/image510.png"/><Relationship Id="rId572" Type="http://schemas.openxmlformats.org/officeDocument/2006/relationships/image" Target="media/image511.png"/><Relationship Id="rId573" Type="http://schemas.openxmlformats.org/officeDocument/2006/relationships/image" Target="media/image512.png"/><Relationship Id="rId574" Type="http://schemas.openxmlformats.org/officeDocument/2006/relationships/image" Target="media/image513.png"/><Relationship Id="rId575" Type="http://schemas.openxmlformats.org/officeDocument/2006/relationships/image" Target="media/image514.png"/><Relationship Id="rId576" Type="http://schemas.openxmlformats.org/officeDocument/2006/relationships/image" Target="media/image515.png"/><Relationship Id="rId577" Type="http://schemas.openxmlformats.org/officeDocument/2006/relationships/image" Target="media/image516.png"/><Relationship Id="rId578" Type="http://schemas.openxmlformats.org/officeDocument/2006/relationships/image" Target="media/image517.png"/><Relationship Id="rId579" Type="http://schemas.openxmlformats.org/officeDocument/2006/relationships/image" Target="media/image518.png"/><Relationship Id="rId580" Type="http://schemas.openxmlformats.org/officeDocument/2006/relationships/image" Target="media/image519.png"/><Relationship Id="rId581" Type="http://schemas.openxmlformats.org/officeDocument/2006/relationships/image" Target="media/image520.png"/><Relationship Id="rId582" Type="http://schemas.openxmlformats.org/officeDocument/2006/relationships/image" Target="media/image521.png"/><Relationship Id="rId583" Type="http://schemas.openxmlformats.org/officeDocument/2006/relationships/image" Target="media/image522.png"/><Relationship Id="rId584" Type="http://schemas.openxmlformats.org/officeDocument/2006/relationships/image" Target="media/image523.png"/><Relationship Id="rId585" Type="http://schemas.openxmlformats.org/officeDocument/2006/relationships/image" Target="media/image524.png"/><Relationship Id="rId586" Type="http://schemas.openxmlformats.org/officeDocument/2006/relationships/image" Target="media/image525.png"/><Relationship Id="rId587" Type="http://schemas.openxmlformats.org/officeDocument/2006/relationships/image" Target="media/image526.png"/><Relationship Id="rId588" Type="http://schemas.openxmlformats.org/officeDocument/2006/relationships/image" Target="media/image527.png"/><Relationship Id="rId589" Type="http://schemas.openxmlformats.org/officeDocument/2006/relationships/image" Target="media/image528.png"/><Relationship Id="rId590" Type="http://schemas.openxmlformats.org/officeDocument/2006/relationships/image" Target="media/image529.png"/><Relationship Id="rId591" Type="http://schemas.openxmlformats.org/officeDocument/2006/relationships/image" Target="media/image530.png"/><Relationship Id="rId592" Type="http://schemas.openxmlformats.org/officeDocument/2006/relationships/image" Target="media/image531.png"/><Relationship Id="rId593" Type="http://schemas.openxmlformats.org/officeDocument/2006/relationships/image" Target="media/image532.png"/><Relationship Id="rId594" Type="http://schemas.openxmlformats.org/officeDocument/2006/relationships/image" Target="media/image533.png"/><Relationship Id="rId595" Type="http://schemas.openxmlformats.org/officeDocument/2006/relationships/image" Target="media/image534.png"/><Relationship Id="rId596" Type="http://schemas.openxmlformats.org/officeDocument/2006/relationships/image" Target="media/image535.png"/><Relationship Id="rId597" Type="http://schemas.openxmlformats.org/officeDocument/2006/relationships/image" Target="media/image536.png"/><Relationship Id="rId598" Type="http://schemas.openxmlformats.org/officeDocument/2006/relationships/image" Target="media/image537.png"/><Relationship Id="rId599" Type="http://schemas.openxmlformats.org/officeDocument/2006/relationships/image" Target="media/image538.png"/><Relationship Id="rId600" Type="http://schemas.openxmlformats.org/officeDocument/2006/relationships/image" Target="media/image539.png"/><Relationship Id="rId601" Type="http://schemas.openxmlformats.org/officeDocument/2006/relationships/image" Target="media/image540.png"/><Relationship Id="rId602" Type="http://schemas.openxmlformats.org/officeDocument/2006/relationships/image" Target="media/image541.png"/><Relationship Id="rId603" Type="http://schemas.openxmlformats.org/officeDocument/2006/relationships/image" Target="media/image542.png"/><Relationship Id="rId604" Type="http://schemas.openxmlformats.org/officeDocument/2006/relationships/image" Target="media/image543.png"/><Relationship Id="rId605" Type="http://schemas.openxmlformats.org/officeDocument/2006/relationships/image" Target="media/image544.png"/><Relationship Id="rId606" Type="http://schemas.openxmlformats.org/officeDocument/2006/relationships/image" Target="media/image545.png"/><Relationship Id="rId607" Type="http://schemas.openxmlformats.org/officeDocument/2006/relationships/image" Target="media/image546.png"/><Relationship Id="rId608" Type="http://schemas.openxmlformats.org/officeDocument/2006/relationships/image" Target="media/image547.png"/><Relationship Id="rId609" Type="http://schemas.openxmlformats.org/officeDocument/2006/relationships/image" Target="media/image548.png"/><Relationship Id="rId610" Type="http://schemas.openxmlformats.org/officeDocument/2006/relationships/image" Target="media/image549.png"/><Relationship Id="rId611" Type="http://schemas.openxmlformats.org/officeDocument/2006/relationships/image" Target="media/image550.png"/><Relationship Id="rId612" Type="http://schemas.openxmlformats.org/officeDocument/2006/relationships/image" Target="media/image551.png"/><Relationship Id="rId613" Type="http://schemas.openxmlformats.org/officeDocument/2006/relationships/image" Target="media/image552.png"/><Relationship Id="rId614" Type="http://schemas.openxmlformats.org/officeDocument/2006/relationships/image" Target="media/image553.png"/><Relationship Id="rId615" Type="http://schemas.openxmlformats.org/officeDocument/2006/relationships/image" Target="media/image554.png"/><Relationship Id="rId616" Type="http://schemas.openxmlformats.org/officeDocument/2006/relationships/image" Target="media/image555.png"/><Relationship Id="rId617" Type="http://schemas.openxmlformats.org/officeDocument/2006/relationships/image" Target="media/image556.png"/><Relationship Id="rId618" Type="http://schemas.openxmlformats.org/officeDocument/2006/relationships/image" Target="media/image557.png"/><Relationship Id="rId619" Type="http://schemas.openxmlformats.org/officeDocument/2006/relationships/image" Target="media/image558.png"/><Relationship Id="rId620" Type="http://schemas.openxmlformats.org/officeDocument/2006/relationships/image" Target="media/image559.png"/><Relationship Id="rId621" Type="http://schemas.openxmlformats.org/officeDocument/2006/relationships/image" Target="media/image560.png"/><Relationship Id="rId622" Type="http://schemas.openxmlformats.org/officeDocument/2006/relationships/image" Target="media/image561.png"/><Relationship Id="rId623" Type="http://schemas.openxmlformats.org/officeDocument/2006/relationships/image" Target="media/image562.png"/><Relationship Id="rId624" Type="http://schemas.openxmlformats.org/officeDocument/2006/relationships/image" Target="media/image563.png"/><Relationship Id="rId625" Type="http://schemas.openxmlformats.org/officeDocument/2006/relationships/image" Target="media/image564.png"/><Relationship Id="rId626" Type="http://schemas.openxmlformats.org/officeDocument/2006/relationships/image" Target="media/image565.png"/><Relationship Id="rId627" Type="http://schemas.openxmlformats.org/officeDocument/2006/relationships/image" Target="media/image566.png"/><Relationship Id="rId628" Type="http://schemas.openxmlformats.org/officeDocument/2006/relationships/image" Target="media/image567.png"/><Relationship Id="rId629" Type="http://schemas.openxmlformats.org/officeDocument/2006/relationships/image" Target="media/image568.png"/><Relationship Id="rId630" Type="http://schemas.openxmlformats.org/officeDocument/2006/relationships/image" Target="media/image569.jpeg"/><Relationship Id="rId631" Type="http://schemas.openxmlformats.org/officeDocument/2006/relationships/image" Target="media/image570.png"/><Relationship Id="rId632" Type="http://schemas.openxmlformats.org/officeDocument/2006/relationships/image" Target="media/image571.png"/><Relationship Id="rId194" Type="http://schemas.openxmlformats.org/officeDocument/2006/relationships/hyperlink" Target="https://www.sec.gov/Archives/edgar/data/1736541/000110465922094174/tm2224340d1_ex3-1.htm" TargetMode="External"/><Relationship Id="rId195" Type="http://schemas.openxmlformats.org/officeDocument/2006/relationships/hyperlink" Target="https://www.sec.gov/Archives/edgar/data/1736541/000114420419011140/tv514874_ex4-3.htm" TargetMode="External"/><Relationship Id="rId196" Type="http://schemas.openxmlformats.org/officeDocument/2006/relationships/hyperlink" Target="https://www.sec.gov/Archives/edgar/data/1736541/000119312518260341/d560276dex42.htm" TargetMode="External"/><Relationship Id="rId197" Type="http://schemas.openxmlformats.org/officeDocument/2006/relationships/hyperlink" Target="https://www.sec.gov/Archives/edgar/data/1736541/000119312518247401/d560276dex44.htm" TargetMode="External"/><Relationship Id="rId198" Type="http://schemas.openxmlformats.org/officeDocument/2006/relationships/hyperlink" Target="https://www.sec.gov/Archives/edgar/data/1736541/000110465920061585/nio-20191231xex2d5.htm" TargetMode="External"/><Relationship Id="rId199" Type="http://schemas.openxmlformats.org/officeDocument/2006/relationships/hyperlink" Target="https://www.sec.gov/Archives/edgar/data/1736541/000110465920061585/nio-20191231xex2d6.htm" TargetMode="External"/><Relationship Id="rId200" Type="http://schemas.openxmlformats.org/officeDocument/2006/relationships/hyperlink" Target="https://www.sec.gov/Archives/edgar/data/1736541/000119312518247401/d560276dex102.htm" TargetMode="External"/><Relationship Id="rId201" Type="http://schemas.openxmlformats.org/officeDocument/2006/relationships/hyperlink" Target="https://www.sec.gov/Archives/edgar/data/1736541/000119312518247401/d560276dex103.htm" TargetMode="External"/><Relationship Id="rId202" Type="http://schemas.openxmlformats.org/officeDocument/2006/relationships/hyperlink" Target="https://www.sec.gov/Archives/edgar/data/1736541/000119312518247401/d560276dex104.htm" TargetMode="External"/><Relationship Id="rId203" Type="http://schemas.openxmlformats.org/officeDocument/2006/relationships/hyperlink" Target="https://www.sec.gov/Archives/edgar/data/1736541/000110465924011282/tm245316d1_ex99-1.htm" TargetMode="External"/><Relationship Id="rId204" Type="http://schemas.openxmlformats.org/officeDocument/2006/relationships/hyperlink" Target="https://www.sec.gov/Archives/edgar/data/1736541/000110465926025483/tm268327d1_ex99-1.htm" TargetMode="External"/><Relationship Id="rId205" Type="http://schemas.openxmlformats.org/officeDocument/2006/relationships/hyperlink" Target="https://www.sec.gov/Archives/edgar/data/1736541/000119312518247401/d560276dex105.htm" TargetMode="External"/><Relationship Id="rId206" Type="http://schemas.openxmlformats.org/officeDocument/2006/relationships/hyperlink" Target="https://www.sec.gov/Archives/edgar/data/1736541/000119312518247401/d560276dex106.htm" TargetMode="External"/><Relationship Id="rId207" Type="http://schemas.openxmlformats.org/officeDocument/2006/relationships/hyperlink" Target="https://www.sec.gov/Archives/edgar/data/1736541/000119312518247401/d560276dex107.htm" TargetMode="External"/><Relationship Id="rId208" Type="http://schemas.openxmlformats.org/officeDocument/2006/relationships/hyperlink" Target="https://www.sec.gov/Archives/edgar/data/1736541/000110465922052718/nio-20211231xex4d10.htm" TargetMode="External"/><Relationship Id="rId209" Type="http://schemas.openxmlformats.org/officeDocument/2006/relationships/hyperlink" Target="https://www.sec.gov/Archives/edgar/data/1736541/000110465922052718/nio-20211231xex4d11.htm" TargetMode="External"/><Relationship Id="rId210" Type="http://schemas.openxmlformats.org/officeDocument/2006/relationships/hyperlink" Target="https://www.sec.gov/Archives/edgar/data/1736541/000110465922052718/nio-20211231xex4d12.htm" TargetMode="External"/><Relationship Id="rId211" Type="http://schemas.openxmlformats.org/officeDocument/2006/relationships/hyperlink" Target="https://www.sec.gov/Archives/edgar/data/1736541/000110465922052718/nio-20211231xex4d13.htm" TargetMode="External"/><Relationship Id="rId212" Type="http://schemas.openxmlformats.org/officeDocument/2006/relationships/hyperlink" Target="https://www.sec.gov/Archives/edgar/data/1736541/000110465922052718/nio-20211231xex4d14.htm" TargetMode="External"/><Relationship Id="rId213" Type="http://schemas.openxmlformats.org/officeDocument/2006/relationships/hyperlink" Target="https://www.sec.gov/Archives/edgar/data/1736541/000110465922052718/nio-20211231xex4d15.htm" TargetMode="External"/><Relationship Id="rId214" Type="http://schemas.openxmlformats.org/officeDocument/2006/relationships/hyperlink" Target="https://www.sec.gov/Archives/edgar/data/1736541/000110465922052718/nio-20211231xex4d16.htm" TargetMode="External"/><Relationship Id="rId215" Type="http://schemas.openxmlformats.org/officeDocument/2006/relationships/hyperlink" Target="https://www.sec.gov/Archives/edgar/data/1736541/000114420419017601/tv515164_ex4-24.htm" TargetMode="External"/><Relationship Id="rId216" Type="http://schemas.openxmlformats.org/officeDocument/2006/relationships/hyperlink" Target="https://www.sec.gov/Archives/edgar/data/1736541/000110465920061585/nio-20191231xex4d35.htm" TargetMode="External"/><Relationship Id="rId217" Type="http://schemas.openxmlformats.org/officeDocument/2006/relationships/hyperlink" Target="https://www.sec.gov/Archives/edgar/data/1736541/000110465920071391/tm2022004d4_ex99-1.htm" TargetMode="External"/><Relationship Id="rId218" Type="http://schemas.openxmlformats.org/officeDocument/2006/relationships/hyperlink" Target="https://www.sec.gov/Archives/edgar/data/1736541/000110465920078389/tm2023631d2_ex99-1.htm" TargetMode="External"/><Relationship Id="rId219" Type="http://schemas.openxmlformats.org/officeDocument/2006/relationships/hyperlink" Target="https://www.sec.gov/Archives/edgar/data/1736541/000110465921046834/nio-20201231xex4d41.htm" TargetMode="External"/><Relationship Id="rId220" Type="http://schemas.openxmlformats.org/officeDocument/2006/relationships/hyperlink" Target="https://www.sec.gov/Archives/edgar/data/1736541/000110465923051990/nio-20221231xex4d47.htm" TargetMode="External"/><Relationship Id="rId221" Type="http://schemas.openxmlformats.org/officeDocument/2006/relationships/hyperlink" Target="https://www.sec.gov/Archives/edgar/data/1736541/000110465923051990/nio-20221231xex4d48.htm" TargetMode="External"/><Relationship Id="rId222" Type="http://schemas.openxmlformats.org/officeDocument/2006/relationships/hyperlink" Target="https://www.sec.gov/Archives/edgar/data/1736541/000110465923051990/nio-20221231xex4d49.htm" TargetMode="External"/><Relationship Id="rId223" Type="http://schemas.openxmlformats.org/officeDocument/2006/relationships/hyperlink" Target="https://www.sec.gov/Archives/edgar/data/1736541/000110465923051990/nio-20221231xex4d50.htm" TargetMode="External"/><Relationship Id="rId224" Type="http://schemas.openxmlformats.org/officeDocument/2006/relationships/hyperlink" Target="https://www.sec.gov/Archives/edgar/data/1736541/000110465923051990/nio-20221231xex4d51.htm" TargetMode="External"/><Relationship Id="rId225" Type="http://schemas.openxmlformats.org/officeDocument/2006/relationships/hyperlink" Target="https://www.sec.gov/Archives/edgar/data/1736541/000110465923051990/nio-20221231xex4d52.htm" TargetMode="External"/><Relationship Id="rId226" Type="http://schemas.openxmlformats.org/officeDocument/2006/relationships/hyperlink" Target="https://www.sec.gov/Archives/edgar/data/1736541/000110465923051990/nio-20221231xex4d53.htm" TargetMode="External"/><Relationship Id="rId227" Type="http://schemas.openxmlformats.org/officeDocument/2006/relationships/hyperlink" Target="https://www.sec.gov/Archives/edgar/data/1736541/000110465923051990/nio-20221231xex4d54.htm" TargetMode="External"/><Relationship Id="rId228" Type="http://schemas.openxmlformats.org/officeDocument/2006/relationships/hyperlink" Target="https://www.sec.gov/Archives/edgar/data/1736541/000110465923051990/nio-20221231xex4d55.htm" TargetMode="External"/><Relationship Id="rId229" Type="http://schemas.openxmlformats.org/officeDocument/2006/relationships/hyperlink" Target="https://www.sec.gov/Archives/edgar/data/1736541/000110465923051990/nio-20221231xex4d56.htm" TargetMode="External"/><Relationship Id="rId230" Type="http://schemas.openxmlformats.org/officeDocument/2006/relationships/hyperlink" Target="https://www.sec.gov/Archives/edgar/data/1736541/000110465923051990/nio-20221231xex4d57.htm" TargetMode="External"/><Relationship Id="rId231" Type="http://schemas.openxmlformats.org/officeDocument/2006/relationships/hyperlink" Target="https://www.sec.gov/Archives/edgar/data/1736541/000110465923051990/nio-20221231xex4d58.htm" TargetMode="External"/><Relationship Id="rId232" Type="http://schemas.openxmlformats.org/officeDocument/2006/relationships/hyperlink" Target="https://www.sec.gov/Archives/edgar/data/1736541/000110465923051990/nio-20221231xex4d59.htm" TargetMode="External"/><Relationship Id="rId233" Type="http://schemas.openxmlformats.org/officeDocument/2006/relationships/hyperlink" Target="https://www.sec.gov/Archives/edgar/data/1736541/000110465923051990/nio-20221231xex4d60.htm" TargetMode="External"/><Relationship Id="rId234" Type="http://schemas.openxmlformats.org/officeDocument/2006/relationships/hyperlink" Target="https://www.sec.gov/Archives/edgar/data/1736541/000110465923051990/nio-20221231xex4d61.htm" TargetMode="External"/><Relationship Id="rId235" Type="http://schemas.openxmlformats.org/officeDocument/2006/relationships/hyperlink" Target="https://www.sec.gov/Archives/edgar/data/1736541/000110465924044923/nio-20231231xex4d44.htm" TargetMode="External"/><Relationship Id="rId236" Type="http://schemas.openxmlformats.org/officeDocument/2006/relationships/hyperlink" Target="https://www.sec.gov/Archives/edgar/data/1736541/000110465924044923/nio-20231231xex4d45.htm" TargetMode="External"/><Relationship Id="rId237" Type="http://schemas.openxmlformats.org/officeDocument/2006/relationships/hyperlink" Target="https://www.sec.gov/Archives/edgar/data/1736541/000141057825000661/nio-20241231xex4d43.htm" TargetMode="External"/><Relationship Id="rId238" Type="http://schemas.openxmlformats.org/officeDocument/2006/relationships/hyperlink" Target="https://www.sec.gov/Archives/edgar/data/1736541/000141057825000661/nio-20241231xex4d45.htm" TargetMode="External"/><Relationship Id="rId239" Type="http://schemas.openxmlformats.org/officeDocument/2006/relationships/hyperlink" Target="https://www.sec.gov/Archives/edgar/data/1736541/000110465924044923/nio-20231231xex4d46.htm" TargetMode="External"/><Relationship Id="rId240" Type="http://schemas.openxmlformats.org/officeDocument/2006/relationships/hyperlink" Target="https://www.sec.gov/Archives/edgar/data/1736541/000110465924044923/nio-20231231xex4d48.htm" TargetMode="External"/><Relationship Id="rId241" Type="http://schemas.openxmlformats.org/officeDocument/2006/relationships/hyperlink" Target="https://www.sec.gov/Archives/edgar/data/1736541/000141057825000661/nio-20241231xex4d50.htm" TargetMode="External"/><Relationship Id="rId242" Type="http://schemas.openxmlformats.org/officeDocument/2006/relationships/hyperlink" Target="https://www.sec.gov/Archives/edgar/data/1736541/000141057825000661/nio-20241231xex4d51.htm" TargetMode="External"/><Relationship Id="rId243" Type="http://schemas.openxmlformats.org/officeDocument/2006/relationships/hyperlink" Target="https://www.sec.gov/Archives/edgar/data/1736541/000141057825000661/nio-20241231xex4d52.htm" TargetMode="External"/><Relationship Id="rId244" Type="http://schemas.openxmlformats.org/officeDocument/2006/relationships/hyperlink" Target="https://www.sec.gov/Archives/edgar/data/1736541/000141057825000661/nio-20241231xex4d53.htm" TargetMode="External"/><Relationship Id="rId245" Type="http://schemas.openxmlformats.org/officeDocument/2006/relationships/hyperlink" Target="https://www.sec.gov/Archives/edgar/data/1736541/000110465924044923/nio-20231231xex11d1.htm" TargetMode="External"/><Relationship Id="rId246" Type="http://schemas.openxmlformats.org/officeDocument/2006/relationships/hyperlink" Target="https://www.sec.gov/Archives/edgar/data/1736541/000141057825000661/nio-20241231xex11d2.htm" TargetMode="External"/><Relationship Id="rId247" Type="http://schemas.openxmlformats.org/officeDocument/2006/relationships/hyperlink" Target="https://www.sec.gov/Archives/edgar/data/1736541/000110465924044923/nio-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2026-04-10T07:05:27Z</dcterms:created>
  <dcterms:modified xsi:type="dcterms:W3CDTF">2026-04-10T07:05:27Z</dcterms:modified>
</cp:coreProperties>
</file>