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9" w:lineRule="exact"/>
        <w:rPr>
          <w:sz w:val="24"/>
          <w:szCs w:val="24"/>
          <w:color w:val="auto"/>
        </w:rPr>
      </w:pPr>
    </w:p>
    <w:p>
      <w:pPr>
        <w:ind w:left="340" w:right="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4"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7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-621030</wp:posOffset>
            </wp:positionV>
            <wp:extent cx="5778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4365"/>
                    </a:xfrm>
                    <a:prstGeom prst="rect">
                      <a:avLst/>
                    </a:prstGeom>
                    <a:noFill/>
                  </pic:spPr>
                </pic:pic>
              </a:graphicData>
            </a:graphic>
          </wp:anchor>
        </w:drawing>
        <w:drawing>
          <wp:anchor simplePos="0" relativeHeight="251657728" behindDoc="1" locked="0" layoutInCell="0" allowOverlap="1">
            <wp:simplePos x="0" y="0"/>
            <wp:positionH relativeFrom="column">
              <wp:posOffset>3966845</wp:posOffset>
            </wp:positionH>
            <wp:positionV relativeFrom="paragraph">
              <wp:posOffset>-621030</wp:posOffset>
            </wp:positionV>
            <wp:extent cx="57785" cy="6343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436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737235</wp:posOffset>
            </wp:positionV>
            <wp:extent cx="6994525" cy="52647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4525" cy="5264785"/>
                    </a:xfrm>
                    <a:prstGeom prst="rect">
                      <a:avLst/>
                    </a:prstGeom>
                    <a:noFill/>
                  </pic:spPr>
                </pic:pic>
              </a:graphicData>
            </a:graphic>
          </wp:anchor>
        </w:drawing>
      </w:r>
    </w:p>
    <w:p>
      <w:pPr>
        <w:spacing w:after="0" w:line="1223" w:lineRule="exact"/>
        <w:rPr>
          <w:sz w:val="24"/>
          <w:szCs w:val="24"/>
          <w:color w:val="auto"/>
        </w:rPr>
      </w:pPr>
    </w:p>
    <w:p>
      <w:pPr>
        <w:sectPr>
          <w:pgSz w:w="11900" w:h="16838" w:orient="portrait"/>
          <w:cols w:equalWidth="0" w:num="2">
            <w:col w:w="2300" w:space="300"/>
            <w:col w:w="848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Zhou Xin</w:t>
        </w:r>
      </w:hyperlink>
    </w:p>
    <w:p>
      <w:pPr>
        <w:spacing w:after="0" w:line="29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line="339" w:lineRule="auto"/>
        <w:rPr>
          <w:sz w:val="20"/>
          <w:szCs w:val="20"/>
          <w:color w:val="auto"/>
        </w:rPr>
      </w:pPr>
      <w:r>
        <w:rPr>
          <w:rFonts w:ascii="Times New Roman" w:cs="Times New Roman" w:eastAsia="Times New Roman" w:hAnsi="Times New Roman"/>
          <w:sz w:val="17"/>
          <w:szCs w:val="17"/>
          <w:color w:val="0000FF"/>
        </w:rPr>
        <w:t>BUILDING 19, NO. 1355, CAOBAO ROAD MINHANG DISTRICT</w:t>
      </w:r>
    </w:p>
    <w:p>
      <w:pPr>
        <w:spacing w:after="0" w:line="177"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0"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SHANGHAI</w:t>
      </w:r>
      <w:r>
        <w:rPr>
          <w:sz w:val="20"/>
          <w:szCs w:val="20"/>
          <w:color w:val="auto"/>
        </w:rPr>
        <w:tab/>
      </w:r>
      <w:r>
        <w:rPr>
          <w:rFonts w:ascii="Times New Roman" w:cs="Times New Roman" w:eastAsia="Times New Roman" w:hAnsi="Times New Roman"/>
          <w:sz w:val="17"/>
          <w:szCs w:val="17"/>
          <w:color w:val="0000FF"/>
        </w:rPr>
        <w:t>F4</w:t>
      </w:r>
      <w:r>
        <w:rPr>
          <w:sz w:val="20"/>
          <w:szCs w:val="20"/>
          <w:color w:val="auto"/>
        </w:rPr>
        <w:tab/>
      </w:r>
      <w:r>
        <w:rPr>
          <w:rFonts w:ascii="Times New Roman" w:cs="Times New Roman" w:eastAsia="Times New Roman" w:hAnsi="Times New Roman"/>
          <w:sz w:val="16"/>
          <w:szCs w:val="16"/>
          <w:color w:val="0000FF"/>
        </w:rPr>
        <w:t>200233</w:t>
      </w:r>
    </w:p>
    <w:p>
      <w:pPr>
        <w:spacing w:after="0" w:line="31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3820" w:type="dxa"/>
            <w:vAlign w:val="bottom"/>
            <w:gridSpan w:val="4"/>
          </w:tcPr>
          <w:p>
            <w:pPr>
              <w:ind w:left="60"/>
              <w:spacing w:after="0" w:line="141"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NIO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NIO</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302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620" w:type="dxa"/>
            <w:vAlign w:val="bottom"/>
            <w:tcBorders>
              <w:bottom w:val="single" w:sz="8" w:color="0000EE"/>
            </w:tcBorders>
          </w:tcPr>
          <w:p>
            <w:pPr>
              <w:spacing w:after="0"/>
              <w:rPr>
                <w:sz w:val="3"/>
                <w:szCs w:val="3"/>
                <w:color w:val="auto"/>
              </w:rPr>
            </w:pPr>
          </w:p>
        </w:tc>
        <w:tc>
          <w:tcPr>
            <w:tcW w:w="30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1"/>
        </w:trPr>
        <w:tc>
          <w:tcPr>
            <w:tcW w:w="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3020" w:type="dxa"/>
            <w:vAlign w:val="bottom"/>
            <w:tcBorders>
              <w:bottom w:val="single" w:sz="8" w:color="2C2C2C"/>
            </w:tcBorders>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17"/>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0"/>
                <w:szCs w:val="10"/>
                <w:color w:val="auto"/>
              </w:rPr>
            </w:pPr>
          </w:p>
        </w:tc>
        <w:tc>
          <w:tcPr>
            <w:tcW w:w="16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2"/>
        </w:trPr>
        <w:tc>
          <w:tcPr>
            <w:tcW w:w="180" w:type="dxa"/>
            <w:vAlign w:val="bottom"/>
            <w:gridSpan w:val="2"/>
            <w:vMerge w:val="continue"/>
          </w:tcPr>
          <w:p>
            <w:pPr>
              <w:spacing w:after="0"/>
              <w:rPr>
                <w:sz w:val="5"/>
                <w:szCs w:val="5"/>
                <w:color w:val="auto"/>
              </w:rPr>
            </w:pPr>
          </w:p>
        </w:tc>
        <w:tc>
          <w:tcPr>
            <w:tcW w:w="364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100" w:type="dxa"/>
            <w:vAlign w:val="bottom"/>
            <w:gridSpan w:val="2"/>
            <w:vMerge w:val="restart"/>
          </w:tcPr>
          <w:p>
            <w:pPr>
              <w:ind w:left="620"/>
              <w:spacing w:after="0"/>
              <w:rPr>
                <w:sz w:val="20"/>
                <w:szCs w:val="20"/>
                <w:color w:val="auto"/>
              </w:rPr>
            </w:pPr>
            <w:r>
              <w:rPr>
                <w:rFonts w:ascii="Times New Roman" w:cs="Times New Roman" w:eastAsia="Times New Roman" w:hAnsi="Times New Roman"/>
                <w:sz w:val="17"/>
                <w:szCs w:val="17"/>
                <w:color w:val="0000FF"/>
              </w:rPr>
              <w:t>Executive Vice President</w:t>
            </w:r>
          </w:p>
        </w:tc>
        <w:tc>
          <w:tcPr>
            <w:tcW w:w="0" w:type="dxa"/>
            <w:vAlign w:val="bottom"/>
          </w:tcPr>
          <w:p>
            <w:pPr>
              <w:spacing w:after="0"/>
              <w:rPr>
                <w:sz w:val="1"/>
                <w:szCs w:val="1"/>
                <w:color w:val="auto"/>
              </w:rPr>
            </w:pPr>
          </w:p>
        </w:tc>
      </w:tr>
      <w:tr>
        <w:trPr>
          <w:trHeight w:val="216"/>
        </w:trPr>
        <w:tc>
          <w:tcPr>
            <w:tcW w:w="38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06/01/2026</w:t>
            </w:r>
          </w:p>
        </w:tc>
        <w:tc>
          <w:tcPr>
            <w:tcW w:w="200" w:type="dxa"/>
            <w:vAlign w:val="bottom"/>
          </w:tcPr>
          <w:p>
            <w:pPr>
              <w:spacing w:after="0"/>
              <w:rPr>
                <w:sz w:val="18"/>
                <w:szCs w:val="18"/>
                <w:color w:val="auto"/>
              </w:rPr>
            </w:pPr>
          </w:p>
        </w:tc>
        <w:tc>
          <w:tcPr>
            <w:tcW w:w="31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4"/>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30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88" w:lineRule="exact"/>
        <w:rPr>
          <w:sz w:val="24"/>
          <w:szCs w:val="24"/>
          <w:color w:val="auto"/>
        </w:rPr>
      </w:pPr>
    </w:p>
    <w:p>
      <w:pPr>
        <w:sectPr>
          <w:pgSz w:w="11900" w:h="16838" w:orient="portrait"/>
          <w:cols w:equalWidth="0" w:num="2">
            <w:col w:w="3160" w:space="6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6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ind w:left="760"/>
              <w:spacing w:after="0" w:line="127"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80" w:type="dxa"/>
            <w:vAlign w:val="bottom"/>
          </w:tcPr>
          <w:p>
            <w:pPr>
              <w:ind w:left="20"/>
              <w:spacing w:after="0" w:line="127"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4"/>
              </w:rPr>
              <w:t>Transaction</w:t>
            </w:r>
          </w:p>
        </w:tc>
        <w:tc>
          <w:tcPr>
            <w:tcW w:w="1940" w:type="dxa"/>
            <w:vAlign w:val="bottom"/>
            <w:gridSpan w:val="5"/>
          </w:tcPr>
          <w:p>
            <w:pPr>
              <w:ind w:left="100"/>
              <w:spacing w:after="0" w:line="127" w:lineRule="exact"/>
              <w:rPr>
                <w:sz w:val="20"/>
                <w:szCs w:val="20"/>
                <w:color w:val="auto"/>
              </w:rPr>
            </w:pPr>
            <w:r>
              <w:rPr>
                <w:rFonts w:ascii="Arial" w:cs="Arial" w:eastAsia="Arial" w:hAnsi="Arial"/>
                <w:sz w:val="12"/>
                <w:szCs w:val="12"/>
                <w:b w:val="1"/>
                <w:bCs w:val="1"/>
                <w:color w:val="auto"/>
                <w:w w:val="96"/>
              </w:rPr>
              <w:t>Disposed Of (D) (Instr. 3, 4 and 5)</w:t>
            </w:r>
          </w:p>
        </w:tc>
        <w:tc>
          <w:tcPr>
            <w:tcW w:w="80" w:type="dxa"/>
            <w:vAlign w:val="bottom"/>
          </w:tcPr>
          <w:p>
            <w:pPr>
              <w:spacing w:after="0"/>
              <w:rPr>
                <w:sz w:val="11"/>
                <w:szCs w:val="11"/>
                <w:color w:val="auto"/>
              </w:rPr>
            </w:pPr>
          </w:p>
        </w:tc>
        <w:tc>
          <w:tcPr>
            <w:tcW w:w="62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20" w:type="dxa"/>
            <w:vAlign w:val="bottom"/>
            <w:gridSpan w:val="2"/>
          </w:tcPr>
          <w:p>
            <w:pPr>
              <w:ind w:left="760"/>
              <w:spacing w:after="0" w:line="128"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Code (Instr.</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8)</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9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480" w:type="dxa"/>
            <w:vAlign w:val="bottom"/>
          </w:tcPr>
          <w:p>
            <w:pPr>
              <w:ind w:left="160"/>
              <w:spacing w:after="0" w:line="128" w:lineRule="exact"/>
              <w:rPr>
                <w:sz w:val="20"/>
                <w:szCs w:val="20"/>
                <w:color w:val="auto"/>
              </w:rPr>
            </w:pPr>
            <w:r>
              <w:rPr>
                <w:rFonts w:ascii="Arial" w:cs="Arial" w:eastAsia="Arial" w:hAnsi="Arial"/>
                <w:sz w:val="12"/>
                <w:szCs w:val="12"/>
                <w:b w:val="1"/>
                <w:bCs w:val="1"/>
                <w:color w:val="auto"/>
                <w:w w:val="93"/>
              </w:rPr>
              <w:t>(A) or</w:t>
            </w:r>
          </w:p>
        </w:tc>
        <w:tc>
          <w:tcPr>
            <w:tcW w:w="660" w:type="dxa"/>
            <w:vAlign w:val="bottom"/>
            <w:gridSpan w:val="2"/>
            <w:vMerge w:val="restart"/>
          </w:tcPr>
          <w:p>
            <w:pPr>
              <w:jc w:val="right"/>
              <w:ind w:right="20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9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9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American depositary shares</w:t>
            </w:r>
            <w:r>
              <w:rPr>
                <w:rFonts w:ascii="Times New Roman" w:cs="Times New Roman" w:eastAsia="Times New Roman" w:hAnsi="Times New Roman"/>
                <w:sz w:val="21"/>
                <w:szCs w:val="21"/>
                <w:color w:val="008000"/>
                <w:vertAlign w:val="superscript"/>
              </w:rPr>
              <w:t>(1)</w:t>
            </w:r>
          </w:p>
        </w:tc>
        <w:tc>
          <w:tcPr>
            <w:tcW w:w="1820" w:type="dxa"/>
            <w:vAlign w:val="bottom"/>
            <w:tcBorders>
              <w:bottom w:val="single" w:sz="8" w:color="2C2C2C"/>
            </w:tcBorders>
            <w:gridSpan w:val="2"/>
          </w:tcPr>
          <w:p>
            <w:pPr>
              <w:ind w:left="860"/>
              <w:spacing w:after="0"/>
              <w:rPr>
                <w:sz w:val="20"/>
                <w:szCs w:val="20"/>
                <w:color w:val="auto"/>
              </w:rPr>
            </w:pPr>
            <w:r>
              <w:rPr>
                <w:rFonts w:ascii="Times New Roman" w:cs="Times New Roman" w:eastAsia="Times New Roman" w:hAnsi="Times New Roman"/>
                <w:sz w:val="17"/>
                <w:szCs w:val="17"/>
                <w:color w:val="0000FF"/>
              </w:rPr>
              <w:t>06/01/2026</w:t>
            </w:r>
          </w:p>
        </w:tc>
        <w:tc>
          <w:tcPr>
            <w:tcW w:w="9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40"/>
              <w:spacing w:after="0"/>
              <w:rPr>
                <w:sz w:val="20"/>
                <w:szCs w:val="20"/>
                <w:color w:val="auto"/>
              </w:rPr>
            </w:pPr>
            <w:r>
              <w:rPr>
                <w:rFonts w:ascii="Times New Roman" w:cs="Times New Roman" w:eastAsia="Times New Roman" w:hAnsi="Times New Roman"/>
                <w:sz w:val="13"/>
                <w:szCs w:val="13"/>
                <w:color w:val="0000FF"/>
                <w:w w:val="86"/>
              </w:rPr>
              <w:t>M</w:t>
            </w:r>
          </w:p>
        </w:tc>
        <w:tc>
          <w:tcPr>
            <w:tcW w:w="800" w:type="dxa"/>
            <w:vAlign w:val="bottom"/>
            <w:tcBorders>
              <w:bottom w:val="single" w:sz="8" w:color="2C2C2C"/>
            </w:tcBorders>
            <w:gridSpan w:val="2"/>
          </w:tcPr>
          <w:p>
            <w:pPr>
              <w:jc w:val="right"/>
              <w:ind w:right="1"/>
              <w:spacing w:after="0"/>
              <w:rPr>
                <w:sz w:val="20"/>
                <w:szCs w:val="20"/>
                <w:color w:val="auto"/>
              </w:rPr>
            </w:pPr>
            <w:r>
              <w:rPr>
                <w:rFonts w:ascii="Times New Roman" w:cs="Times New Roman" w:eastAsia="Times New Roman" w:hAnsi="Times New Roman"/>
                <w:sz w:val="17"/>
                <w:szCs w:val="17"/>
                <w:color w:val="0000FF"/>
              </w:rPr>
              <w:t>200,000</w:t>
            </w:r>
          </w:p>
        </w:tc>
        <w:tc>
          <w:tcPr>
            <w:tcW w:w="48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jc w:val="right"/>
              <w:ind w:right="33"/>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7"/>
              </w:rPr>
              <w:t>416,167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American depositary shares</w:t>
            </w:r>
            <w:r>
              <w:rPr>
                <w:rFonts w:ascii="Times New Roman" w:cs="Times New Roman" w:eastAsia="Times New Roman" w:hAnsi="Times New Roman"/>
                <w:sz w:val="21"/>
                <w:szCs w:val="21"/>
                <w:color w:val="008000"/>
                <w:vertAlign w:val="superscript"/>
              </w:rPr>
              <w:t>(1)</w:t>
            </w:r>
          </w:p>
        </w:tc>
        <w:tc>
          <w:tcPr>
            <w:tcW w:w="1820" w:type="dxa"/>
            <w:vAlign w:val="bottom"/>
            <w:tcBorders>
              <w:bottom w:val="single" w:sz="8" w:color="2C2C2C"/>
            </w:tcBorders>
            <w:gridSpan w:val="2"/>
          </w:tcPr>
          <w:p>
            <w:pPr>
              <w:ind w:left="860"/>
              <w:spacing w:after="0"/>
              <w:rPr>
                <w:sz w:val="20"/>
                <w:szCs w:val="20"/>
                <w:color w:val="auto"/>
              </w:rPr>
            </w:pPr>
            <w:r>
              <w:rPr>
                <w:rFonts w:ascii="Times New Roman" w:cs="Times New Roman" w:eastAsia="Times New Roman" w:hAnsi="Times New Roman"/>
                <w:sz w:val="17"/>
                <w:szCs w:val="17"/>
                <w:color w:val="0000FF"/>
              </w:rPr>
              <w:t>06/01/2026</w:t>
            </w:r>
          </w:p>
        </w:tc>
        <w:tc>
          <w:tcPr>
            <w:tcW w:w="9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40"/>
              <w:spacing w:after="0"/>
              <w:rPr>
                <w:sz w:val="20"/>
                <w:szCs w:val="20"/>
                <w:color w:val="auto"/>
              </w:rPr>
            </w:pPr>
            <w:r>
              <w:rPr>
                <w:rFonts w:ascii="Times New Roman" w:cs="Times New Roman" w:eastAsia="Times New Roman" w:hAnsi="Times New Roman"/>
                <w:sz w:val="13"/>
                <w:szCs w:val="13"/>
                <w:color w:val="0000FF"/>
                <w:w w:val="82"/>
              </w:rPr>
              <w:t>F</w:t>
            </w:r>
          </w:p>
        </w:tc>
        <w:tc>
          <w:tcPr>
            <w:tcW w:w="8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100,000</w:t>
            </w:r>
            <w:r>
              <w:rPr>
                <w:rFonts w:ascii="Times New Roman" w:cs="Times New Roman" w:eastAsia="Times New Roman" w:hAnsi="Times New Roman"/>
                <w:sz w:val="21"/>
                <w:szCs w:val="21"/>
                <w:color w:val="008000"/>
                <w:vertAlign w:val="superscript"/>
              </w:rPr>
              <w:t>(2)</w:t>
            </w:r>
          </w:p>
        </w:tc>
        <w:tc>
          <w:tcPr>
            <w:tcW w:w="48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5.6</w:t>
            </w:r>
            <w:r>
              <w:rPr>
                <w:rFonts w:ascii="Times New Roman" w:cs="Times New Roman" w:eastAsia="Times New Roman" w:hAnsi="Times New Roman"/>
                <w:sz w:val="21"/>
                <w:szCs w:val="21"/>
                <w:color w:val="008000"/>
                <w:vertAlign w:val="superscript"/>
              </w:rPr>
              <w:t>(3)</w:t>
            </w: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7"/>
              </w:rPr>
              <w:t>316,167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Prime</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ordinary shares</w:t>
            </w:r>
          </w:p>
        </w:tc>
        <w:tc>
          <w:tcPr>
            <w:tcW w:w="1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8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6"/>
              </w:rPr>
              <w:t>1,000,000</w:t>
            </w:r>
          </w:p>
        </w:tc>
        <w:tc>
          <w:tcPr>
            <w:tcW w:w="280" w:type="dxa"/>
            <w:vAlign w:val="bottom"/>
          </w:tcPr>
          <w:p>
            <w:pPr>
              <w:spacing w:after="0"/>
              <w:rPr>
                <w:sz w:val="17"/>
                <w:szCs w:val="17"/>
                <w:color w:val="auto"/>
              </w:rPr>
            </w:pPr>
          </w:p>
        </w:tc>
        <w:tc>
          <w:tcPr>
            <w:tcW w:w="6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Hubs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Limited</w:t>
            </w:r>
          </w:p>
        </w:tc>
        <w:tc>
          <w:tcPr>
            <w:tcW w:w="0" w:type="dxa"/>
            <w:vAlign w:val="bottom"/>
          </w:tcPr>
          <w:p>
            <w:pPr>
              <w:spacing w:after="0"/>
              <w:rPr>
                <w:sz w:val="1"/>
                <w:szCs w:val="1"/>
                <w:color w:val="auto"/>
              </w:rPr>
            </w:pPr>
          </w:p>
        </w:tc>
      </w:tr>
      <w:tr>
        <w:trPr>
          <w:trHeight w:val="98"/>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860" w:type="dxa"/>
            <w:vAlign w:val="bottom"/>
            <w:tcBorders>
              <w:bottom w:val="single" w:sz="8" w:color="2C2C2C"/>
            </w:tcBorders>
            <w:gridSpan w:val="4"/>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0"/>
          </w:tcPr>
          <w:p>
            <w:pPr>
              <w:jc w:val="right"/>
              <w:ind w:right="2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124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80" w:type="dxa"/>
            <w:vAlign w:val="bottom"/>
          </w:tcPr>
          <w:p>
            <w:pPr>
              <w:ind w:left="160"/>
              <w:spacing w:after="0"/>
              <w:rPr>
                <w:sz w:val="20"/>
                <w:szCs w:val="20"/>
                <w:color w:val="auto"/>
              </w:rPr>
            </w:pPr>
            <w:r>
              <w:rPr>
                <w:rFonts w:ascii="Arial" w:cs="Arial" w:eastAsia="Arial" w:hAnsi="Arial"/>
                <w:sz w:val="12"/>
                <w:szCs w:val="12"/>
                <w:b w:val="1"/>
                <w:bCs w:val="1"/>
                <w:color w:val="auto"/>
              </w:rPr>
              <w:t>5. Number of</w:t>
            </w:r>
          </w:p>
        </w:tc>
        <w:tc>
          <w:tcPr>
            <w:tcW w:w="14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980" w:type="dxa"/>
            <w:vAlign w:val="bottom"/>
          </w:tcPr>
          <w:p>
            <w:pPr>
              <w:ind w:left="160"/>
              <w:spacing w:after="0" w:line="128"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6"/>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Code (Instr.</w:t>
            </w:r>
          </w:p>
        </w:tc>
        <w:tc>
          <w:tcPr>
            <w:tcW w:w="980" w:type="dxa"/>
            <w:vAlign w:val="bottom"/>
          </w:tcPr>
          <w:p>
            <w:pPr>
              <w:ind w:left="160"/>
              <w:spacing w:after="0" w:line="128" w:lineRule="exact"/>
              <w:rPr>
                <w:sz w:val="20"/>
                <w:szCs w:val="20"/>
                <w:color w:val="auto"/>
              </w:rPr>
            </w:pPr>
            <w:r>
              <w:rPr>
                <w:rFonts w:ascii="Arial" w:cs="Arial" w:eastAsia="Arial" w:hAnsi="Arial"/>
                <w:sz w:val="12"/>
                <w:szCs w:val="12"/>
                <w:b w:val="1"/>
                <w:bCs w:val="1"/>
                <w:color w:val="auto"/>
              </w:rPr>
              <w:t>Securities</w:t>
            </w:r>
          </w:p>
        </w:tc>
        <w:tc>
          <w:tcPr>
            <w:tcW w:w="144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(Month/Day/Year)</w:t>
            </w:r>
          </w:p>
        </w:tc>
        <w:tc>
          <w:tcPr>
            <w:tcW w:w="128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4"/>
              </w:rPr>
              <w:t>Securities</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980" w:type="dxa"/>
            <w:vAlign w:val="bottom"/>
          </w:tcPr>
          <w:p>
            <w:pPr>
              <w:ind w:left="160"/>
              <w:spacing w:after="0" w:line="128"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160"/>
              <w:spacing w:after="0" w:line="128"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or Indirect</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160"/>
              <w:spacing w:after="0" w:line="128"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6"/>
              </w:rPr>
              <w:t>Following</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160"/>
              <w:spacing w:after="0" w:line="128"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line="128" w:lineRule="exact"/>
              <w:rPr>
                <w:sz w:val="20"/>
                <w:szCs w:val="20"/>
                <w:color w:val="auto"/>
              </w:rPr>
            </w:pPr>
            <w:r>
              <w:rPr>
                <w:rFonts w:ascii="Arial" w:cs="Arial" w:eastAsia="Arial" w:hAnsi="Arial"/>
                <w:sz w:val="12"/>
                <w:szCs w:val="12"/>
                <w:b w:val="1"/>
                <w:bCs w:val="1"/>
                <w:color w:val="auto"/>
                <w:w w:val="99"/>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Expiration</w:t>
            </w: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8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(4)</w:t>
            </w: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(5)</w:t>
            </w:r>
          </w:p>
        </w:tc>
        <w:tc>
          <w:tcPr>
            <w:tcW w:w="66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(5)</w:t>
            </w:r>
          </w:p>
        </w:tc>
        <w:tc>
          <w:tcPr>
            <w:tcW w:w="62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Class A</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200,000</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40" w:type="dxa"/>
            <w:vAlign w:val="bottom"/>
            <w:vMerge w:val="restart"/>
          </w:tcPr>
          <w:p>
            <w:pPr>
              <w:jc w:val="right"/>
              <w:ind w:right="161"/>
              <w:spacing w:after="0" w:line="141" w:lineRule="exact"/>
              <w:rPr>
                <w:sz w:val="20"/>
                <w:szCs w:val="20"/>
                <w:color w:val="auto"/>
              </w:rPr>
            </w:pPr>
            <w:r>
              <w:rPr>
                <w:rFonts w:ascii="Times New Roman" w:cs="Times New Roman" w:eastAsia="Times New Roman" w:hAnsi="Times New Roman"/>
                <w:sz w:val="13"/>
                <w:szCs w:val="13"/>
                <w:color w:val="0000FF"/>
              </w:rPr>
              <w:t>06/01/2026</w:t>
            </w:r>
          </w:p>
        </w:tc>
        <w:tc>
          <w:tcPr>
            <w:tcW w:w="1100" w:type="dxa"/>
            <w:vAlign w:val="bottom"/>
          </w:tcPr>
          <w:p>
            <w:pPr>
              <w:spacing w:after="0"/>
              <w:rPr>
                <w:sz w:val="5"/>
                <w:szCs w:val="5"/>
                <w:color w:val="auto"/>
              </w:rPr>
            </w:pPr>
          </w:p>
        </w:tc>
        <w:tc>
          <w:tcPr>
            <w:tcW w:w="720" w:type="dxa"/>
            <w:vAlign w:val="bottom"/>
            <w:vMerge w:val="restart"/>
          </w:tcPr>
          <w:p>
            <w:pPr>
              <w:ind w:left="16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980" w:type="dxa"/>
            <w:vAlign w:val="bottom"/>
            <w:vMerge w:val="restart"/>
          </w:tcPr>
          <w:p>
            <w:pPr>
              <w:ind w:left="440"/>
              <w:spacing w:after="0" w:line="141" w:lineRule="exact"/>
              <w:rPr>
                <w:sz w:val="20"/>
                <w:szCs w:val="20"/>
                <w:color w:val="auto"/>
              </w:rPr>
            </w:pPr>
            <w:r>
              <w:rPr>
                <w:rFonts w:ascii="Times New Roman" w:cs="Times New Roman" w:eastAsia="Times New Roman" w:hAnsi="Times New Roman"/>
                <w:sz w:val="13"/>
                <w:szCs w:val="13"/>
                <w:color w:val="0000FF"/>
              </w:rPr>
              <w:t>200,000</w:t>
            </w:r>
          </w:p>
        </w:tc>
        <w:tc>
          <w:tcPr>
            <w:tcW w:w="78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gridSpan w:val="2"/>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ordinary</w:t>
            </w:r>
          </w:p>
        </w:tc>
        <w:tc>
          <w:tcPr>
            <w:tcW w:w="6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ind w:left="380"/>
              <w:spacing w:after="0" w:line="141"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5"/>
                <w:szCs w:val="5"/>
                <w:color w:val="auto"/>
              </w:rPr>
            </w:pPr>
          </w:p>
        </w:tc>
        <w:tc>
          <w:tcPr>
            <w:tcW w:w="660" w:type="dxa"/>
            <w:vAlign w:val="bottom"/>
            <w:vMerge w:val="restart"/>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share units</w:t>
            </w: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share</w:t>
            </w: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9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-1750060</wp:posOffset>
            </wp:positionV>
            <wp:extent cx="29210" cy="17557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175577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American depositary share represents one Class A ordinary share.</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transaction involved the withholding of 100,000 shares upon the vesting of the 200,000 restricted share units in order to pay associated taxes.</w:t>
      </w:r>
    </w:p>
    <w:p>
      <w:pPr>
        <w:spacing w:after="0" w:line="42" w:lineRule="exact"/>
        <w:rPr>
          <w:rFonts w:ascii="Times New Roman" w:cs="Times New Roman" w:eastAsia="Times New Roman" w:hAnsi="Times New Roman"/>
          <w:sz w:val="13"/>
          <w:szCs w:val="13"/>
          <w:color w:val="008000"/>
        </w:rPr>
      </w:pPr>
    </w:p>
    <w:p>
      <w:pPr>
        <w:ind w:left="40" w:right="300" w:firstLine="1"/>
        <w:spacing w:after="0" w:line="252"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closing price of the Issuer's American depositary shares on the last trading day before the withholding. The Issuer expects to sell the withheld shares on behalf of the Reporting Person in the open market, and the actual sales price may differ from the closing price reported herein.</w:t>
      </w:r>
    </w:p>
    <w:p>
      <w:pPr>
        <w:spacing w:after="0" w:line="18"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share units evidence the contingent right to receive Class A ordinary shares upon vesting.</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share units vested on June 1, 2026, and do not have expiration dates.</w:t>
      </w:r>
    </w:p>
    <w:p>
      <w:pPr>
        <w:spacing w:after="0" w:line="52"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5"/>
              </w:rPr>
              <w:t>/s/ Eve Tang, Attorney-in-Fact</w:t>
            </w:r>
          </w:p>
        </w:tc>
        <w:tc>
          <w:tcPr>
            <w:tcW w:w="80" w:type="dxa"/>
            <w:vAlign w:val="bottom"/>
          </w:tcPr>
          <w:p>
            <w:pPr>
              <w:spacing w:after="0"/>
              <w:rPr>
                <w:sz w:val="17"/>
                <w:szCs w:val="17"/>
                <w:color w:val="auto"/>
              </w:rPr>
            </w:pPr>
          </w:p>
        </w:tc>
        <w:tc>
          <w:tcPr>
            <w:tcW w:w="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w w:val="92"/>
              </w:rPr>
              <w:t>06/01/2026</w:t>
            </w:r>
          </w:p>
        </w:tc>
        <w:tc>
          <w:tcPr>
            <w:tcW w:w="0" w:type="dxa"/>
            <w:vAlign w:val="bottom"/>
          </w:tcPr>
          <w:p>
            <w:pPr>
              <w:spacing w:after="0"/>
              <w:rPr>
                <w:sz w:val="1"/>
                <w:szCs w:val="1"/>
                <w:color w:val="auto"/>
              </w:rPr>
            </w:pPr>
          </w:p>
        </w:tc>
      </w:tr>
      <w:tr>
        <w:trPr>
          <w:trHeight w:val="82"/>
        </w:trPr>
        <w:tc>
          <w:tcPr>
            <w:tcW w:w="2100" w:type="dxa"/>
            <w:vAlign w:val="bottom"/>
            <w:gridSpan w:val="3"/>
            <w:vMerge w:val="restart"/>
          </w:tcPr>
          <w:p>
            <w:pPr>
              <w:spacing w:after="0" w:line="185" w:lineRule="exact"/>
              <w:rPr>
                <w:sz w:val="20"/>
                <w:szCs w:val="20"/>
                <w:color w:val="auto"/>
              </w:rPr>
            </w:pPr>
            <w:r>
              <w:rPr>
                <w:rFonts w:ascii="Times New Roman" w:cs="Times New Roman" w:eastAsia="Times New Roman" w:hAnsi="Times New Roman"/>
                <w:sz w:val="17"/>
                <w:szCs w:val="17"/>
                <w:color w:val="0000FF"/>
              </w:rPr>
              <w:t>for Xin Zhou</w:t>
            </w: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860" w:type="dxa"/>
            <w:vAlign w:val="bottom"/>
            <w:shd w:val="clear" w:color="auto" w:fill="000000"/>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60" w:firstLine="1"/>
        <w:spacing w:after="0" w:line="333"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109480" TargetMode="External"/><Relationship Id="rId14" Type="http://schemas.openxmlformats.org/officeDocument/2006/relationships/hyperlink" Target="http://www.sec.gov/cgi-bin/browse-edgar?action=getcompany&amp;CIK=00017365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2026-06-01T16:39:21Z</dcterms:created>
  <dcterms:modified xsi:type="dcterms:W3CDTF">2026-06-01T16:39:21Z</dcterms:modified>
</cp:coreProperties>
</file>