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5, 2024, Hong Kong time, we published our unaudited financial results for the second quarter and six months ended June 30, 2024 as our interim report for the six months ended June 30, 2024 (the “HK Interim Report”) under Rule 13.48(1) of the Rules Governing the Listing of Securities on The Stock Exchange of Hong Kong Limited (the “Hong Kong Listing Rules”) on the website of The Stock Exchange of Hong Kong Limited. Pursuant to the Hong Kong Listing Rules, our HK Interim Report contains supplemental disclosure of reconciliation of the material differences between our consolidated financial statements prepared under U.S. GAAP and International Financial Reporting Standards, which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40" w:type="dxa"/>
            <w:vAlign w:val="bottom"/>
            <w:gridSpan w:val="3"/>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EE"/>
              </w:rPr>
              <w:t>Supplemental Disclosure—Reconciliation Between U.S. GAAP and International Financial Reporting Standards</w:t>
            </w:r>
          </w:p>
        </w:tc>
      </w:tr>
      <w:tr>
        <w:trPr>
          <w:trHeight w:val="696"/>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100" w:type="dxa"/>
            <w:vAlign w:val="bottom"/>
            <w:tcBorders>
              <w:top w:val="single" w:sz="8" w:color="0000EE"/>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Reconciliation between U.S. GAAP and IFRS Accounting Standards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231F20"/>
        </w:rPr>
        <w:t>The Company’s consolidated financial statements for its primary listing in the United States are prepared in accordance with the accounting principles generally accepted in the United States of America (the “</w:t>
      </w:r>
      <w:r>
        <w:rPr>
          <w:rFonts w:ascii="Times New Roman" w:cs="Times New Roman" w:eastAsia="Times New Roman" w:hAnsi="Times New Roman"/>
          <w:sz w:val="18"/>
          <w:szCs w:val="18"/>
          <w:b w:val="1"/>
          <w:bCs w:val="1"/>
          <w:color w:val="231F20"/>
        </w:rPr>
        <w:t>U.S. GAAP</w:t>
      </w:r>
      <w:r>
        <w:rPr>
          <w:rFonts w:ascii="Times New Roman" w:cs="Times New Roman" w:eastAsia="Times New Roman" w:hAnsi="Times New Roman"/>
          <w:sz w:val="18"/>
          <w:szCs w:val="18"/>
          <w:color w:val="231F20"/>
        </w:rPr>
        <w:t>”). As a secondary listed issuer of the Hong Kong Stock Exchange, the Company is required to include a reconciliation statement in our annual financial statements starting from the first full financial year commencing on or after January 1, 2022, and in all subsequent financial statements (including interim financial statements)</w:t>
      </w:r>
      <w:r>
        <w:rPr>
          <w:rFonts w:ascii="Times New Roman" w:cs="Times New Roman" w:eastAsia="Times New Roman" w:hAnsi="Times New Roman"/>
          <w:sz w:val="29"/>
          <w:szCs w:val="29"/>
          <w:color w:val="231F20"/>
          <w:vertAlign w:val="superscript"/>
        </w:rPr>
        <w:t>1</w:t>
      </w:r>
      <w:r>
        <w:rPr>
          <w:rFonts w:ascii="Times New Roman" w:cs="Times New Roman" w:eastAsia="Times New Roman" w:hAnsi="Times New Roman"/>
          <w:sz w:val="18"/>
          <w:szCs w:val="18"/>
          <w:color w:val="231F20"/>
        </w:rPr>
        <w:t>.</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For our interim reporting with the Hong Kong Stock Exchange for the six month period ended June 30, 2024, we have prepared and included as Appendix, the reconciliation statement of the unaudited condensed consolidated statement of comprehensive loss for the six months ended June 30, 2024 and the unaudited condensed consolidated balance sheets as of June 30, 2024 of the Company, its subsidiaries and consolidated VIEs (collectively referred to as “</w:t>
      </w:r>
      <w:r>
        <w:rPr>
          <w:rFonts w:ascii="Times New Roman" w:cs="Times New Roman" w:eastAsia="Times New Roman" w:hAnsi="Times New Roman"/>
          <w:sz w:val="18"/>
          <w:szCs w:val="18"/>
          <w:b w:val="1"/>
          <w:bCs w:val="1"/>
          <w:color w:val="231F20"/>
        </w:rPr>
        <w:t>the Group</w:t>
      </w:r>
      <w:r>
        <w:rPr>
          <w:rFonts w:ascii="Times New Roman" w:cs="Times New Roman" w:eastAsia="Times New Roman" w:hAnsi="Times New Roman"/>
          <w:sz w:val="18"/>
          <w:szCs w:val="18"/>
          <w:color w:val="231F20"/>
        </w:rPr>
        <w:t>”) between the accounting policies adopted by the Group of the relevant period in accordance with U.S. GAAP and the International Financial Reporting Standards issued by the International Accounting Standards Board (the “</w:t>
      </w:r>
      <w:r>
        <w:rPr>
          <w:rFonts w:ascii="Times New Roman" w:cs="Times New Roman" w:eastAsia="Times New Roman" w:hAnsi="Times New Roman"/>
          <w:sz w:val="18"/>
          <w:szCs w:val="18"/>
          <w:b w:val="1"/>
          <w:bCs w:val="1"/>
          <w:color w:val="231F20"/>
        </w:rPr>
        <w:t>IFRS Accounting Standards</w:t>
      </w:r>
      <w:r>
        <w:rPr>
          <w:rFonts w:ascii="Times New Roman" w:cs="Times New Roman" w:eastAsia="Times New Roman" w:hAnsi="Times New Roman"/>
          <w:sz w:val="18"/>
          <w:szCs w:val="18"/>
          <w:color w:val="231F20"/>
        </w:rPr>
        <w:t>”) (together, the “</w:t>
      </w:r>
      <w:r>
        <w:rPr>
          <w:rFonts w:ascii="Times New Roman" w:cs="Times New Roman" w:eastAsia="Times New Roman" w:hAnsi="Times New Roman"/>
          <w:sz w:val="18"/>
          <w:szCs w:val="18"/>
          <w:b w:val="1"/>
          <w:bCs w:val="1"/>
          <w:color w:val="231F20"/>
        </w:rPr>
        <w:t>Reconciliation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Statement</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PricewaterhouseCoopers, the auditor of the Company in Hong Kong, has performed a limited assurance engagement on the Reconciliation Statement in accordance with International Standard on Assurance Engagements 3000 (Revised) “Assurance Engagements Other Than Audits or Reviews of Historical Financial Information”.</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According to footnote 17 to the Chapter 2.1 of the Guide for New Listing Applicants published by the Hong Kong Stock Exchange, a secondary listed issuer listed in the U.S. is not required to prepare a reconciliation statement in respect of its U.S. GAAP quarterly financial statements which are published pursuant to overseas rules and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231F20"/>
        </w:rPr>
        <w:t>Appendix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Reconciliation between U.S. GAAP and IFRS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unaudited condensed consolidated statement of comprehensive loss and the unaudited condensed consolidated balance sheets are prepared in accordance with U.S. GAAP, which differ in certain respects from IFRS Accounting Standards. The effects of material differences between the unaudited interim condensed consolidated financial information of the Group prepared under U.S. GAAP and IFRS Accounting Standards are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Reconciliation of unaudited condensed consolidated statement of comprehensive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3"/>
                <w:szCs w:val="13"/>
                <w:b w:val="1"/>
                <w:bCs w:val="1"/>
                <w:color w:val="231F20"/>
                <w:w w:val="96"/>
              </w:rPr>
              <w:t>For the six months ended June 30, 2024</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231F20"/>
              </w:rPr>
              <w:t>Amounts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860" w:type="dxa"/>
            <w:vAlign w:val="bottom"/>
            <w:gridSpan w:val="2"/>
          </w:tcPr>
          <w:p>
            <w:pPr>
              <w:jc w:val="center"/>
              <w:ind w:right="158"/>
              <w:spacing w:after="0" w:line="135" w:lineRule="exact"/>
              <w:rPr>
                <w:sz w:val="20"/>
                <w:szCs w:val="20"/>
                <w:color w:val="auto"/>
              </w:rPr>
            </w:pPr>
            <w:r>
              <w:rPr>
                <w:rFonts w:ascii="Times New Roman" w:cs="Times New Roman" w:eastAsia="Times New Roman" w:hAnsi="Times New Roman"/>
                <w:sz w:val="13"/>
                <w:szCs w:val="13"/>
                <w:b w:val="1"/>
                <w:bCs w:val="1"/>
                <w:color w:val="231F20"/>
                <w:w w:val="98"/>
              </w:rPr>
              <w:t>Amounts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under IFRS</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860" w:type="dxa"/>
            <w:vAlign w:val="bottom"/>
            <w:gridSpan w:val="2"/>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Accounting</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860" w:type="dxa"/>
            <w:vAlign w:val="bottom"/>
            <w:gridSpan w:val="2"/>
          </w:tcPr>
          <w:p>
            <w:pPr>
              <w:jc w:val="center"/>
              <w:ind w:right="158"/>
              <w:spacing w:after="0"/>
              <w:rPr>
                <w:sz w:val="20"/>
                <w:szCs w:val="20"/>
                <w:color w:val="auto"/>
              </w:rPr>
            </w:pPr>
            <w:r>
              <w:rPr>
                <w:rFonts w:ascii="Times New Roman" w:cs="Times New Roman" w:eastAsia="Times New Roman" w:hAnsi="Times New Roman"/>
                <w:sz w:val="13"/>
                <w:szCs w:val="13"/>
                <w:b w:val="1"/>
                <w:bCs w:val="1"/>
                <w:color w:val="231F20"/>
                <w:w w:val="98"/>
              </w:rPr>
              <w:t>U.S. GAAP</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231F20"/>
                <w:w w:val="97"/>
              </w:rPr>
              <w:t>IFRS adjustments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78"/>
              <w:spacing w:after="0"/>
              <w:rPr>
                <w:sz w:val="20"/>
                <w:szCs w:val="20"/>
                <w:color w:val="auto"/>
              </w:rPr>
            </w:pPr>
            <w:r>
              <w:rPr>
                <w:rFonts w:ascii="Times New Roman" w:cs="Times New Roman" w:eastAsia="Times New Roman" w:hAnsi="Times New Roman"/>
                <w:sz w:val="13"/>
                <w:szCs w:val="13"/>
                <w:b w:val="1"/>
                <w:bCs w:val="1"/>
                <w:color w:val="231F20"/>
                <w:w w:val="98"/>
              </w:rPr>
              <w:t>Standards</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231F20"/>
                <w:w w:val="97"/>
              </w:rPr>
              <w:t>RMB (in thousands)</w:t>
            </w:r>
          </w:p>
        </w:tc>
        <w:tc>
          <w:tcPr>
            <w:tcW w:w="9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5"/>
              </w:rPr>
              <w:t>Equity</w:t>
            </w: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securities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Derivative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3"/>
              </w:rPr>
              <w:t>without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231F20"/>
                <w:w w:val="99"/>
              </w:rPr>
              <w:t>financial</w:t>
            </w:r>
          </w:p>
        </w:tc>
        <w:tc>
          <w:tcPr>
            <w:tcW w:w="720" w:type="dxa"/>
            <w:vAlign w:val="bottom"/>
            <w:gridSpan w:val="2"/>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Redeemable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2"/>
              </w:rPr>
              <w:t>readily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instrument-</w:t>
            </w: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non-</w:t>
            </w:r>
          </w:p>
        </w:tc>
        <w:tc>
          <w:tcPr>
            <w:tcW w:w="1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Available-</w:t>
            </w: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debt</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Share-based</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Convertible</w:t>
            </w:r>
          </w:p>
        </w:tc>
        <w:tc>
          <w:tcPr>
            <w:tcW w:w="88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231F20"/>
              </w:rPr>
              <w:t>capped</w:t>
            </w:r>
          </w:p>
        </w:tc>
        <w:tc>
          <w:tcPr>
            <w:tcW w:w="720" w:type="dxa"/>
            <w:vAlign w:val="bottom"/>
            <w:gridSpan w:val="2"/>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231F20"/>
                <w:w w:val="95"/>
              </w:rPr>
              <w:t>controlling</w:t>
            </w: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5"/>
              </w:rPr>
              <w:t>for-sale</w:t>
            </w: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determinable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Warranty</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231F20"/>
                <w:w w:val="96"/>
              </w:rPr>
              <w:t>compensation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231F20"/>
                <w:w w:val="96"/>
              </w:rPr>
              <w:t>notes</w:t>
            </w:r>
          </w:p>
        </w:tc>
        <w:tc>
          <w:tcPr>
            <w:tcW w:w="8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231F20"/>
                <w:w w:val="94"/>
              </w:rPr>
              <w:t>call options</w:t>
            </w:r>
          </w:p>
        </w:tc>
        <w:tc>
          <w:tcPr>
            <w:tcW w:w="720" w:type="dxa"/>
            <w:vAlign w:val="bottom"/>
            <w:gridSpan w:val="2"/>
          </w:tcPr>
          <w:p>
            <w:pPr>
              <w:jc w:val="center"/>
              <w:ind w:right="8"/>
              <w:spacing w:after="0"/>
              <w:rPr>
                <w:sz w:val="20"/>
                <w:szCs w:val="20"/>
                <w:color w:val="auto"/>
              </w:rPr>
            </w:pPr>
            <w:r>
              <w:rPr>
                <w:rFonts w:ascii="Times New Roman" w:cs="Times New Roman" w:eastAsia="Times New Roman" w:hAnsi="Times New Roman"/>
                <w:sz w:val="13"/>
                <w:szCs w:val="13"/>
                <w:b w:val="1"/>
                <w:bCs w:val="1"/>
                <w:color w:val="231F20"/>
                <w:w w:val="97"/>
              </w:rPr>
              <w:t>interests</w:t>
            </w:r>
          </w:p>
        </w:tc>
        <w:tc>
          <w:tcPr>
            <w:tcW w:w="16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6"/>
              </w:rPr>
              <w:t>securities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7"/>
              </w:rPr>
              <w:t>fair value</w:t>
            </w:r>
          </w:p>
        </w:tc>
        <w:tc>
          <w:tcPr>
            <w:tcW w:w="860" w:type="dxa"/>
            <w:vAlign w:val="bottom"/>
            <w:gridSpan w:val="2"/>
          </w:tcPr>
          <w:p>
            <w:pPr>
              <w:jc w:val="right"/>
              <w:ind w:right="318"/>
              <w:spacing w:after="0"/>
              <w:rPr>
                <w:sz w:val="20"/>
                <w:szCs w:val="20"/>
                <w:color w:val="auto"/>
              </w:rPr>
            </w:pPr>
            <w:r>
              <w:rPr>
                <w:rFonts w:ascii="Times New Roman" w:cs="Times New Roman" w:eastAsia="Times New Roman" w:hAnsi="Times New Roman"/>
                <w:sz w:val="13"/>
                <w:szCs w:val="13"/>
                <w:b w:val="1"/>
                <w:bCs w:val="1"/>
                <w:color w:val="231F20"/>
              </w:rPr>
              <w:t>Leases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5"/>
              </w:rPr>
              <w:t>Accrual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231F20"/>
              </w:rPr>
              <w:t>Software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6"/>
              </w:rPr>
              <w:t>Note (i)</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7"/>
              </w:rPr>
              <w:t>Note (ii)</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8"/>
              </w:rPr>
              <w:t>Note (iii)</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5"/>
              </w:rPr>
              <w:t>Note (iv)</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4"/>
              </w:rPr>
              <w:t>Note (v)</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9"/>
              </w:rPr>
              <w:t>Note (vi)</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231F20"/>
              </w:rPr>
              <w:t>Note (vii)</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31F20"/>
                <w:w w:val="97"/>
              </w:rPr>
              <w:t>Note (viii)</w:t>
            </w:r>
          </w:p>
        </w:tc>
        <w:tc>
          <w:tcPr>
            <w:tcW w:w="220" w:type="dxa"/>
            <w:vAlign w:val="bottom"/>
          </w:tcPr>
          <w:p>
            <w:pPr>
              <w:spacing w:after="0"/>
              <w:rPr>
                <w:sz w:val="11"/>
                <w:szCs w:val="11"/>
                <w:color w:val="auto"/>
              </w:rPr>
            </w:pPr>
          </w:p>
        </w:tc>
        <w:tc>
          <w:tcPr>
            <w:tcW w:w="66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Note (ix)</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Cost of revenues</w:t>
            </w:r>
          </w:p>
        </w:tc>
        <w:tc>
          <w:tcPr>
            <w:tcW w:w="860" w:type="dxa"/>
            <w:vAlign w:val="bottom"/>
            <w:gridSpan w:val="2"/>
            <w:shd w:val="clear" w:color="auto" w:fill="CCEEFF"/>
          </w:tcPr>
          <w:p>
            <w:pPr>
              <w:jc w:val="right"/>
              <w:ind w:right="118"/>
              <w:spacing w:after="0" w:line="135" w:lineRule="exact"/>
              <w:rPr>
                <w:sz w:val="20"/>
                <w:szCs w:val="20"/>
                <w:color w:val="auto"/>
              </w:rPr>
            </w:pPr>
            <w:r>
              <w:rPr>
                <w:rFonts w:ascii="Times New Roman" w:cs="Times New Roman" w:eastAsia="Times New Roman" w:hAnsi="Times New Roman"/>
                <w:sz w:val="13"/>
                <w:szCs w:val="13"/>
                <w:color w:val="231F20"/>
              </w:rPr>
              <w:t>(25,178,158)</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15,686</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85,798</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126,786</w:t>
            </w:r>
          </w:p>
        </w:tc>
        <w:tc>
          <w:tcPr>
            <w:tcW w:w="880" w:type="dxa"/>
            <w:vAlign w:val="bottom"/>
            <w:gridSpan w:val="2"/>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231F20"/>
              </w:rPr>
              <w:t>(24,949,888)</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Research and development</w:t>
            </w:r>
          </w:p>
        </w:tc>
        <w:tc>
          <w:tcPr>
            <w:tcW w:w="86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231F20"/>
              </w:rPr>
              <w:t>(6,082,738)</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226,530</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160" w:type="dxa"/>
            <w:vAlign w:val="bottom"/>
          </w:tcPr>
          <w:p>
            <w:pPr>
              <w:spacing w:after="0"/>
              <w:rPr>
                <w:sz w:val="11"/>
                <w:szCs w:val="11"/>
                <w:color w:val="auto"/>
              </w:rPr>
            </w:pPr>
          </w:p>
        </w:tc>
        <w:tc>
          <w:tcPr>
            <w:tcW w:w="88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11,460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231F20"/>
              </w:rPr>
              <w:t>(5,844,748)</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Selling, general and</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231F20"/>
              </w:rPr>
              <w:t>administrative</w:t>
            </w: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231F20"/>
              </w:rPr>
              <w:t>(6,754,256)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106,596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231F20"/>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113,444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231F20"/>
              </w:rPr>
              <w:t>(6,534,216)</w:t>
            </w:r>
          </w:p>
        </w:tc>
        <w:tc>
          <w:tcPr>
            <w:tcW w:w="0" w:type="dxa"/>
            <w:vAlign w:val="bottom"/>
          </w:tcPr>
          <w:p>
            <w:pPr>
              <w:spacing w:after="0"/>
              <w:rPr>
                <w:sz w:val="1"/>
                <w:szCs w:val="1"/>
                <w:color w:val="auto"/>
              </w:rPr>
            </w:pPr>
          </w:p>
        </w:tc>
      </w:tr>
      <w:tr>
        <w:trPr>
          <w:trHeight w:val="182"/>
        </w:trPr>
        <w:tc>
          <w:tcPr>
            <w:tcW w:w="1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231F20"/>
              </w:rPr>
              <w:t>Loss from operations</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(10,603,371</w:t>
            </w:r>
          </w:p>
        </w:tc>
        <w:tc>
          <w:tcPr>
            <w:tcW w:w="2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348,812</w:t>
            </w:r>
          </w:p>
        </w:tc>
        <w:tc>
          <w:tcPr>
            <w:tcW w:w="1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22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210,702</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126,786</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231F20"/>
              </w:rPr>
              <w:t>(9,917,071</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0" w:type="dxa"/>
            <w:vAlign w:val="bottom"/>
          </w:tcPr>
          <w:p>
            <w:pPr>
              <w:spacing w:after="0"/>
              <w:rPr>
                <w:sz w:val="1"/>
                <w:szCs w:val="1"/>
                <w:color w:val="auto"/>
              </w:rPr>
            </w:pPr>
          </w:p>
        </w:tc>
      </w:tr>
      <w:tr>
        <w:trPr>
          <w:trHeight w:val="70"/>
        </w:trPr>
        <w:tc>
          <w:tcPr>
            <w:tcW w:w="164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231F20"/>
              </w:rPr>
              <w:t>Interest and investment</w:t>
            </w: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231F20"/>
              </w:rPr>
              <w:t>income</w:t>
            </w: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713,524</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(43,867) </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231F20"/>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24,480</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231F20"/>
              </w:rPr>
              <w:t>694,137</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Interest expenses</w:t>
            </w:r>
          </w:p>
        </w:tc>
        <w:tc>
          <w:tcPr>
            <w:tcW w:w="86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231F20"/>
              </w:rPr>
              <w:t>(347,016)</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196,364</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(162,546)</w:t>
            </w:r>
          </w:p>
        </w:tc>
        <w:tc>
          <w:tcPr>
            <w:tcW w:w="160" w:type="dxa"/>
            <w:vAlign w:val="bottom"/>
          </w:tcPr>
          <w:p>
            <w:pPr>
              <w:spacing w:after="0"/>
              <w:rPr>
                <w:sz w:val="11"/>
                <w:szCs w:val="11"/>
                <w:color w:val="auto"/>
              </w:rPr>
            </w:pPr>
          </w:p>
        </w:tc>
        <w:tc>
          <w:tcPr>
            <w:tcW w:w="88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231F20"/>
              </w:rPr>
              <w:t>(299,762)</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(73,545)</w:t>
            </w:r>
          </w:p>
        </w:tc>
        <w:tc>
          <w:tcPr>
            <w:tcW w:w="88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231F20"/>
              </w:rPr>
              <w:t>(686,505)</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Loss on extinguishment of</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231F20"/>
              </w:rPr>
              <w:t>debt</w:t>
            </w: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231F20"/>
              </w:rPr>
              <w:t>(11,326)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11,326</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231F20"/>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17"/>
        </w:trPr>
        <w:tc>
          <w:tcPr>
            <w:tcW w:w="16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Fair value changes on</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financial instruments measured</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at fair value through profit or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231F20"/>
              </w:rPr>
              <w:t>loss</w:t>
            </w: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231F20"/>
              </w:rPr>
              <w:t>(49,838)</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231F20"/>
              </w:rPr>
              <w:t>–</w:t>
            </w:r>
          </w:p>
        </w:tc>
        <w:tc>
          <w:tcPr>
            <w:tcW w:w="160" w:type="dxa"/>
            <w:vAlign w:val="bottom"/>
          </w:tcPr>
          <w:p>
            <w:pPr>
              <w:spacing w:after="0"/>
              <w:rPr>
                <w:sz w:val="13"/>
                <w:szCs w:val="13"/>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231F20"/>
              </w:rPr>
              <w:t>(49,838)</w:t>
            </w:r>
          </w:p>
        </w:tc>
        <w:tc>
          <w:tcPr>
            <w:tcW w:w="0" w:type="dxa"/>
            <w:vAlign w:val="bottom"/>
          </w:tcPr>
          <w:p>
            <w:pPr>
              <w:spacing w:after="0"/>
              <w:rPr>
                <w:sz w:val="1"/>
                <w:szCs w:val="1"/>
                <w:color w:val="auto"/>
              </w:rPr>
            </w:pPr>
          </w:p>
        </w:tc>
      </w:tr>
      <w:tr>
        <w:trPr>
          <w:trHeight w:val="117"/>
        </w:trPr>
        <w:tc>
          <w:tcPr>
            <w:tcW w:w="16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Fair value changes of</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231F20"/>
              </w:rPr>
              <w:t>convertible notes</w:t>
            </w: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2,367,552</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231F20"/>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231F20"/>
              </w:rPr>
              <w:t>2,367,552</w:t>
            </w:r>
          </w:p>
        </w:tc>
        <w:tc>
          <w:tcPr>
            <w:tcW w:w="0" w:type="dxa"/>
            <w:vAlign w:val="bottom"/>
          </w:tcPr>
          <w:p>
            <w:pPr>
              <w:spacing w:after="0"/>
              <w:rPr>
                <w:sz w:val="1"/>
                <w:szCs w:val="1"/>
                <w:color w:val="auto"/>
              </w:rPr>
            </w:pPr>
          </w:p>
        </w:tc>
      </w:tr>
      <w:tr>
        <w:trPr>
          <w:trHeight w:val="95"/>
        </w:trPr>
        <w:tc>
          <w:tcPr>
            <w:tcW w:w="164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231F20"/>
              </w:rPr>
              <w:t>Loss before income tax</w:t>
            </w: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231F20"/>
              </w:rPr>
              <w:t>expense</w:t>
            </w:r>
          </w:p>
        </w:tc>
        <w:tc>
          <w:tcPr>
            <w:tcW w:w="860" w:type="dxa"/>
            <w:vAlign w:val="bottom"/>
            <w:gridSpan w:val="2"/>
          </w:tcPr>
          <w:p>
            <w:pPr>
              <w:jc w:val="right"/>
              <w:ind w:right="118"/>
              <w:spacing w:after="0" w:line="183" w:lineRule="exact"/>
              <w:rPr>
                <w:sz w:val="20"/>
                <w:szCs w:val="20"/>
                <w:color w:val="auto"/>
              </w:rPr>
            </w:pPr>
            <w:r>
              <w:rPr>
                <w:rFonts w:ascii="Times New Roman" w:cs="Times New Roman" w:eastAsia="Times New Roman" w:hAnsi="Times New Roman"/>
                <w:sz w:val="11"/>
                <w:szCs w:val="11"/>
                <w:b w:val="1"/>
                <w:bCs w:val="1"/>
                <w:color w:val="231F20"/>
              </w:rPr>
              <w:t>(10,221,551</w:t>
            </w:r>
            <w:r>
              <w:rPr>
                <w:rFonts w:ascii="Times New Roman" w:cs="Times New Roman" w:eastAsia="Times New Roman" w:hAnsi="Times New Roman"/>
                <w:sz w:val="21"/>
                <w:szCs w:val="21"/>
                <w:b w:val="1"/>
                <w:bCs w:val="1"/>
                <w:color w:val="231F20"/>
                <w:vertAlign w:val="superscript"/>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231F20"/>
              </w:rPr>
              <w:t>348,812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231F20"/>
              </w:rPr>
              <w:t>2,531,375</w:t>
            </w:r>
          </w:p>
        </w:tc>
        <w:tc>
          <w:tcPr>
            <w:tcW w:w="880" w:type="dxa"/>
            <w:vAlign w:val="bottom"/>
            <w:gridSpan w:val="2"/>
          </w:tcPr>
          <w:p>
            <w:pPr>
              <w:jc w:val="right"/>
              <w:ind w:right="97"/>
              <w:spacing w:after="0" w:line="183" w:lineRule="exact"/>
              <w:rPr>
                <w:sz w:val="20"/>
                <w:szCs w:val="20"/>
                <w:color w:val="auto"/>
              </w:rPr>
            </w:pPr>
            <w:r>
              <w:rPr>
                <w:rFonts w:ascii="Times New Roman" w:cs="Times New Roman" w:eastAsia="Times New Roman" w:hAnsi="Times New Roman"/>
                <w:sz w:val="11"/>
                <w:szCs w:val="11"/>
                <w:b w:val="1"/>
                <w:bCs w:val="1"/>
                <w:color w:val="231F20"/>
              </w:rPr>
              <w:t>(49,838</w:t>
            </w:r>
            <w:r>
              <w:rPr>
                <w:rFonts w:ascii="Times New Roman" w:cs="Times New Roman" w:eastAsia="Times New Roman" w:hAnsi="Times New Roman"/>
                <w:sz w:val="21"/>
                <w:szCs w:val="21"/>
                <w:b w:val="1"/>
                <w:bCs w:val="1"/>
                <w:color w:val="231F20"/>
                <w:vertAlign w:val="superscript"/>
              </w:rPr>
              <w:t>)</w:t>
            </w:r>
          </w:p>
        </w:tc>
        <w:tc>
          <w:tcPr>
            <w:tcW w:w="7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1"/>
                <w:szCs w:val="11"/>
                <w:b w:val="1"/>
                <w:bCs w:val="1"/>
                <w:color w:val="231F20"/>
              </w:rPr>
              <w:t>(162,546</w:t>
            </w:r>
            <w:r>
              <w:rPr>
                <w:rFonts w:ascii="Times New Roman" w:cs="Times New Roman" w:eastAsia="Times New Roman" w:hAnsi="Times New Roman"/>
                <w:sz w:val="21"/>
                <w:szCs w:val="21"/>
                <w:b w:val="1"/>
                <w:bCs w:val="1"/>
                <w:color w:val="231F20"/>
                <w:vertAlign w:val="superscript"/>
              </w:rPr>
              <w:t>)</w:t>
            </w:r>
          </w:p>
        </w:tc>
        <w:tc>
          <w:tcPr>
            <w:tcW w:w="16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24,480</w:t>
            </w:r>
          </w:p>
        </w:tc>
        <w:tc>
          <w:tcPr>
            <w:tcW w:w="860" w:type="dxa"/>
            <w:vAlign w:val="bottom"/>
            <w:gridSpan w:val="2"/>
          </w:tcPr>
          <w:p>
            <w:pPr>
              <w:jc w:val="right"/>
              <w:ind w:right="138"/>
              <w:spacing w:after="0" w:line="183" w:lineRule="exact"/>
              <w:rPr>
                <w:sz w:val="20"/>
                <w:szCs w:val="20"/>
                <w:color w:val="auto"/>
              </w:rPr>
            </w:pPr>
            <w:r>
              <w:rPr>
                <w:rFonts w:ascii="Times New Roman" w:cs="Times New Roman" w:eastAsia="Times New Roman" w:hAnsi="Times New Roman"/>
                <w:sz w:val="11"/>
                <w:szCs w:val="11"/>
                <w:b w:val="1"/>
                <w:bCs w:val="1"/>
                <w:color w:val="231F20"/>
              </w:rPr>
              <w:t>(89,060</w:t>
            </w:r>
            <w:r>
              <w:rPr>
                <w:rFonts w:ascii="Times New Roman" w:cs="Times New Roman" w:eastAsia="Times New Roman" w:hAnsi="Times New Roman"/>
                <w:sz w:val="21"/>
                <w:szCs w:val="21"/>
                <w:b w:val="1"/>
                <w:bCs w:val="1"/>
                <w:color w:val="231F20"/>
                <w:vertAlign w:val="superscript"/>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53,241</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
              <w:spacing w:after="0" w:line="183" w:lineRule="exact"/>
              <w:rPr>
                <w:sz w:val="20"/>
                <w:szCs w:val="20"/>
                <w:color w:val="auto"/>
              </w:rPr>
            </w:pPr>
            <w:r>
              <w:rPr>
                <w:rFonts w:ascii="Times New Roman" w:cs="Times New Roman" w:eastAsia="Times New Roman" w:hAnsi="Times New Roman"/>
                <w:sz w:val="11"/>
                <w:szCs w:val="11"/>
                <w:b w:val="1"/>
                <w:bCs w:val="1"/>
                <w:color w:val="231F20"/>
              </w:rPr>
              <w:t>(7,565,087</w:t>
            </w:r>
            <w:r>
              <w:rPr>
                <w:rFonts w:ascii="Times New Roman" w:cs="Times New Roman" w:eastAsia="Times New Roman" w:hAnsi="Times New Roman"/>
                <w:sz w:val="21"/>
                <w:szCs w:val="21"/>
                <w:b w:val="1"/>
                <w:bCs w:val="1"/>
                <w:color w:val="231F20"/>
                <w:vertAlign w:val="superscript"/>
              </w:rPr>
              <w:t>)</w:t>
            </w:r>
          </w:p>
        </w:tc>
        <w:tc>
          <w:tcPr>
            <w:tcW w:w="0" w:type="dxa"/>
            <w:vAlign w:val="bottom"/>
          </w:tcPr>
          <w:p>
            <w:pPr>
              <w:spacing w:after="0"/>
              <w:rPr>
                <w:sz w:val="1"/>
                <w:szCs w:val="1"/>
                <w:color w:val="auto"/>
              </w:rPr>
            </w:pPr>
          </w:p>
        </w:tc>
      </w:tr>
      <w:tr>
        <w:trPr>
          <w:trHeight w:val="115"/>
        </w:trPr>
        <w:tc>
          <w:tcPr>
            <w:tcW w:w="164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231F20"/>
              </w:rPr>
              <w:t>Net loss</w:t>
            </w:r>
          </w:p>
        </w:tc>
        <w:tc>
          <w:tcPr>
            <w:tcW w:w="6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(10,230,560</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7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348,812</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2,531,375</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ind w:left="280"/>
              <w:spacing w:after="0" w:line="116" w:lineRule="exact"/>
              <w:rPr>
                <w:sz w:val="20"/>
                <w:szCs w:val="20"/>
                <w:color w:val="auto"/>
              </w:rPr>
            </w:pPr>
            <w:r>
              <w:rPr>
                <w:rFonts w:ascii="Times New Roman" w:cs="Times New Roman" w:eastAsia="Times New Roman" w:hAnsi="Times New Roman"/>
                <w:sz w:val="13"/>
                <w:szCs w:val="13"/>
                <w:b w:val="1"/>
                <w:bCs w:val="1"/>
                <w:color w:val="231F20"/>
                <w:w w:val="89"/>
              </w:rPr>
              <w:t>(49,838</w:t>
            </w:r>
          </w:p>
        </w:tc>
        <w:tc>
          <w:tcPr>
            <w:tcW w:w="220" w:type="dxa"/>
            <w:vAlign w:val="bottom"/>
            <w:tcBorders>
              <w:top w:val="single" w:sz="8" w:color="CCEEFF"/>
              <w:bottom w:val="single" w:sz="8" w:color="CCEEFF"/>
            </w:tcBorders>
            <w:shd w:val="clear" w:color="auto" w:fill="CCEEFF"/>
          </w:tcPr>
          <w:p>
            <w:pPr>
              <w:jc w:val="right"/>
              <w:ind w:right="97"/>
              <w:spacing w:after="0" w:line="116" w:lineRule="exact"/>
              <w:rPr>
                <w:sz w:val="20"/>
                <w:szCs w:val="20"/>
                <w:color w:val="auto"/>
              </w:rPr>
            </w:pPr>
            <w:r>
              <w:rPr>
                <w:rFonts w:ascii="Times New Roman" w:cs="Times New Roman" w:eastAsia="Times New Roman" w:hAnsi="Times New Roman"/>
                <w:sz w:val="13"/>
                <w:szCs w:val="13"/>
                <w:b w:val="1"/>
                <w:bCs w:val="1"/>
                <w:color w:val="231F20"/>
                <w:w w:val="91"/>
              </w:rPr>
              <w:t>)</w:t>
            </w:r>
          </w:p>
        </w:tc>
        <w:tc>
          <w:tcPr>
            <w:tcW w:w="6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(162,546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0"/>
                <w:szCs w:val="10"/>
                <w:b w:val="1"/>
                <w:bCs w:val="1"/>
                <w:color w:val="231F20"/>
                <w:w w:val="79"/>
              </w:rPr>
              <w:t>–</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24,480</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(89,060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6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53,241</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231F20"/>
              </w:rPr>
              <w:t>(7,574,096</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right="100" w:hanging="161"/>
        <w:spacing w:after="0" w:line="229" w:lineRule="auto"/>
        <w:rPr>
          <w:sz w:val="20"/>
          <w:szCs w:val="20"/>
          <w:color w:val="auto"/>
        </w:rPr>
      </w:pPr>
      <w:r>
        <w:rPr>
          <w:rFonts w:ascii="Times New Roman" w:cs="Times New Roman" w:eastAsia="Times New Roman" w:hAnsi="Times New Roman"/>
          <w:sz w:val="14"/>
          <w:szCs w:val="14"/>
          <w:color w:val="auto"/>
        </w:rPr>
        <w:t>Fair value change on convertible </w:t>
      </w:r>
      <w:r>
        <w:rPr>
          <w:rFonts w:ascii="Times New Roman" w:cs="Times New Roman" w:eastAsia="Times New Roman" w:hAnsi="Times New Roman"/>
          <w:sz w:val="14"/>
          <w:szCs w:val="14"/>
          <w:color w:val="231F20"/>
        </w:rPr>
        <w:t>notes due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own credit risk</w:t>
      </w:r>
    </w:p>
    <w:p>
      <w:pPr>
        <w:spacing w:after="0" w:line="1" w:lineRule="exact"/>
        <w:rPr>
          <w:sz w:val="20"/>
          <w:szCs w:val="20"/>
          <w:color w:val="auto"/>
        </w:rPr>
      </w:pPr>
    </w:p>
    <w:p>
      <w:pPr>
        <w:ind w:left="180" w:hanging="161"/>
        <w:spacing w:after="0" w:line="228" w:lineRule="auto"/>
        <w:rPr>
          <w:sz w:val="20"/>
          <w:szCs w:val="20"/>
          <w:color w:val="auto"/>
        </w:rPr>
      </w:pPr>
      <w:r>
        <w:rPr>
          <w:rFonts w:ascii="Times New Roman" w:cs="Times New Roman" w:eastAsia="Times New Roman" w:hAnsi="Times New Roman"/>
          <w:sz w:val="14"/>
          <w:szCs w:val="14"/>
          <w:color w:val="auto"/>
        </w:rPr>
        <w:t>Changes in the fair value of </w:t>
      </w:r>
      <w:r>
        <w:rPr>
          <w:rFonts w:ascii="Times New Roman" w:cs="Times New Roman" w:eastAsia="Times New Roman" w:hAnsi="Times New Roman"/>
          <w:sz w:val="14"/>
          <w:szCs w:val="14"/>
          <w:color w:val="231F20"/>
        </w:rPr>
        <w:t>equity instruments at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fair value</w:t>
      </w:r>
      <w:r>
        <w:rPr>
          <w:rFonts w:ascii="Times New Roman" w:cs="Times New Roman" w:eastAsia="Times New Roman" w:hAnsi="Times New Roman"/>
          <w:sz w:val="14"/>
          <w:szCs w:val="14"/>
          <w:color w:val="000000"/>
        </w:rPr>
        <w:t> through other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comprehensive </w:t>
      </w:r>
      <w:r>
        <w:rPr>
          <w:rFonts w:ascii="Times New Roman" w:cs="Times New Roman" w:eastAsia="Times New Roman" w:hAnsi="Times New Roman"/>
          <w:sz w:val="14"/>
          <w:szCs w:val="14"/>
          <w:color w:val="231F20"/>
        </w:rPr>
        <w:t>income or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Total other</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231F20"/>
        </w:rPr>
        <w:t>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Total comprehensive loss</w:t>
      </w:r>
    </w:p>
    <w:p>
      <w:pPr>
        <w:spacing w:after="0" w:line="20" w:lineRule="exact"/>
        <w:rPr>
          <w:sz w:val="20"/>
          <w:szCs w:val="20"/>
          <w:color w:val="auto"/>
        </w:rPr>
      </w:pPr>
      <w:r>
        <w:rPr>
          <w:sz w:val="20"/>
          <w:szCs w:val="20"/>
          <w:color w:val="auto"/>
        </w:rPr>
        <w:br w:type="column"/>
      </w: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For the six months ended June 30,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Amounts</w:t>
            </w: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Amounts</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231F20"/>
              </w:rPr>
              <w:t>under IFRS</w:t>
            </w:r>
          </w:p>
        </w:tc>
        <w:tc>
          <w:tcPr>
            <w:tcW w:w="0" w:type="dxa"/>
            <w:vAlign w:val="bottom"/>
          </w:tcPr>
          <w:p>
            <w:pPr>
              <w:spacing w:after="0"/>
              <w:rPr>
                <w:sz w:val="1"/>
                <w:szCs w:val="1"/>
                <w:color w:val="auto"/>
              </w:rPr>
            </w:pPr>
          </w:p>
        </w:tc>
      </w:tr>
      <w:tr>
        <w:trPr>
          <w:trHeight w:val="162"/>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under</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Accounting</w:t>
            </w:r>
          </w:p>
        </w:tc>
        <w:tc>
          <w:tcPr>
            <w:tcW w:w="0" w:type="dxa"/>
            <w:vAlign w:val="bottom"/>
          </w:tcPr>
          <w:p>
            <w:pPr>
              <w:spacing w:after="0"/>
              <w:rPr>
                <w:sz w:val="1"/>
                <w:szCs w:val="1"/>
                <w:color w:val="auto"/>
              </w:rPr>
            </w:pPr>
          </w:p>
        </w:tc>
      </w:tr>
      <w:tr>
        <w:trPr>
          <w:trHeight w:val="173"/>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U.S. GAAP</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231F20"/>
              </w:rPr>
              <w:t>IFRS adjustments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Standards</w:t>
            </w:r>
          </w:p>
        </w:tc>
        <w:tc>
          <w:tcPr>
            <w:tcW w:w="0" w:type="dxa"/>
            <w:vAlign w:val="bottom"/>
          </w:tcPr>
          <w:p>
            <w:pPr>
              <w:spacing w:after="0"/>
              <w:rPr>
                <w:sz w:val="1"/>
                <w:szCs w:val="1"/>
                <w:color w:val="auto"/>
              </w:rPr>
            </w:pPr>
          </w:p>
        </w:tc>
      </w:tr>
      <w:tr>
        <w:trPr>
          <w:trHeight w:val="117"/>
        </w:trPr>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gridSpan w:val="7"/>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231F20"/>
              </w:rPr>
              <w:t>RMB (in thousands)</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Derivative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w w:val="98"/>
              </w:rPr>
              <w:t>Equity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Redeemable</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Available-</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securities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financial</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without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Share-based</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Convertible</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instrument-</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non-</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for-sale</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readily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Warranty</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capped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controlling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8"/>
              </w:rPr>
              <w:t>debt</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determinable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notes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9"/>
              </w:rPr>
              <w:t>call options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interests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securities</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Leases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Accrual</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231F20"/>
              </w:rPr>
              <w:t>Software</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w:t>
            </w:r>
          </w:p>
        </w:tc>
        <w:tc>
          <w:tcPr>
            <w:tcW w:w="8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(ii)</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Note (iii)</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(iv)</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Note (vi)</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(vii)</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(viii)</w:t>
            </w:r>
          </w:p>
        </w:tc>
        <w:tc>
          <w:tcPr>
            <w:tcW w:w="100" w:type="dxa"/>
            <w:vAlign w:val="bottom"/>
          </w:tcPr>
          <w:p>
            <w:pPr>
              <w:spacing w:after="0"/>
              <w:rPr>
                <w:sz w:val="15"/>
                <w:szCs w:val="15"/>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Note (ix)</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231F20"/>
              </w:rPr>
              <w:t>(99,099)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(99,099)</w:t>
            </w:r>
          </w:p>
        </w:tc>
        <w:tc>
          <w:tcPr>
            <w:tcW w:w="0" w:type="dxa"/>
            <w:vAlign w:val="bottom"/>
          </w:tcPr>
          <w:p>
            <w:pPr>
              <w:spacing w:after="0"/>
              <w:rPr>
                <w:sz w:val="1"/>
                <w:szCs w:val="1"/>
                <w:color w:val="auto"/>
              </w:rPr>
            </w:pPr>
          </w:p>
        </w:tc>
      </w:tr>
      <w:tr>
        <w:trPr>
          <w:trHeight w:val="739"/>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231F20"/>
              </w:rPr>
              <w:t>(24,480)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(24,480)</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96,951</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(99,099)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231F20"/>
              </w:rPr>
              <w:t>–</w:t>
            </w:r>
          </w:p>
        </w:tc>
        <w:tc>
          <w:tcPr>
            <w:tcW w:w="1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(24,480)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(26,628)</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(10,133,609)</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348,812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2,432,276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(49,838)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(162,546)</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231F20"/>
              </w:rPr>
              <w:t>–</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(89,060)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53,241</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(7,600,724)</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-1336675</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-574040</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-256540</wp:posOffset>
            </wp:positionV>
            <wp:extent cx="71323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640" w:space="100"/>
            <w:col w:w="9500"/>
          </w:cols>
          <w:pgMar w:left="320" w:top="911" w:right="339" w:bottom="1440" w:gutter="0" w:footer="0" w:header="0"/>
        </w:sectPr>
      </w:pPr>
    </w:p>
    <w:tbl>
      <w:tblPr>
        <w:tblLayout w:type="fixed"/>
        <w:tblInd w:w="0" w:type="dxa"/>
        <w:tblCellMar>
          <w:top w:w="0" w:type="dxa"/>
          <w:left w:w="0" w:type="dxa"/>
          <w:bottom w:w="0" w:type="dxa"/>
          <w:right w:w="0" w:type="dxa"/>
        </w:tblCellMar>
      </w:tblPr>
      <w:tr>
        <w:trPr>
          <w:trHeight w:val="142"/>
        </w:trPr>
        <w:tc>
          <w:tcPr>
            <w:tcW w:w="1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Accretion on</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redeemable non-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controlling interests to</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231F20"/>
              </w:rPr>
              <w:t>(162,546)</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162,546</w:t>
            </w:r>
          </w:p>
        </w:tc>
        <w:tc>
          <w:tcPr>
            <w:tcW w:w="8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231F20"/>
              </w:rPr>
              <w:t>–</w:t>
            </w:r>
          </w:p>
        </w:tc>
        <w:tc>
          <w:tcPr>
            <w:tcW w:w="9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231F20"/>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231F20"/>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1"/>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redemption value</w:t>
            </w:r>
          </w:p>
        </w:tc>
        <w:tc>
          <w:tcPr>
            <w:tcW w:w="8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231F20"/>
              </w:rPr>
              <w:t>Comprehensive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231F20"/>
              </w:rPr>
              <w:t>loss attributable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231F20"/>
              </w:rPr>
              <w:t>to ordinary shareholders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231F20"/>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231F20"/>
              </w:rPr>
              <w: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231F20"/>
              </w:rPr>
              <w:t>of NIO Inc</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(10,287,337)</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348,812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2,432,276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(49,838)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880" w:type="dxa"/>
            <w:vAlign w:val="bottom"/>
            <w:gridSpan w:val="2"/>
            <w:vMerge w:val="continue"/>
          </w:tcPr>
          <w:p>
            <w:pPr>
              <w:spacing w:after="0"/>
              <w:rPr>
                <w:sz w:val="17"/>
                <w:szCs w:val="17"/>
                <w:color w:val="auto"/>
              </w:rPr>
            </w:pP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231F2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(89,060)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53,241</w:t>
            </w:r>
          </w:p>
        </w:tc>
        <w:tc>
          <w:tcPr>
            <w:tcW w:w="820" w:type="dxa"/>
            <w:vAlign w:val="bottom"/>
            <w:gridSpan w:val="2"/>
            <w:vMerge w:val="continue"/>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(7,591,906)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For the six months ended June 30, 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Amounts</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under IFRS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under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Accounting</w:t>
            </w: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U.S. GAAP</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center"/>
              <w:ind w:left="648"/>
              <w:spacing w:after="0"/>
              <w:rPr>
                <w:sz w:val="20"/>
                <w:szCs w:val="20"/>
                <w:color w:val="auto"/>
              </w:rPr>
            </w:pPr>
            <w:r>
              <w:rPr>
                <w:rFonts w:ascii="Times New Roman" w:cs="Times New Roman" w:eastAsia="Times New Roman" w:hAnsi="Times New Roman"/>
                <w:sz w:val="14"/>
                <w:szCs w:val="14"/>
                <w:b w:val="1"/>
                <w:bCs w:val="1"/>
                <w:color w:val="231F20"/>
              </w:rPr>
              <w:t>IFRS adjustments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Standards</w:t>
            </w: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740" w:type="dxa"/>
            <w:vAlign w:val="bottom"/>
            <w:tcBorders>
              <w:top w:val="single" w:sz="8" w:color="auto"/>
            </w:tcBorders>
            <w:gridSpan w:val="7"/>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231F20"/>
              </w:rPr>
              <w:t>RMB (in thousands)</w:t>
            </w: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Derivative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231F20"/>
              </w:rPr>
              <w:t>Equity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Redeemable</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Available-</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231F20"/>
              </w:rPr>
              <w:t>securities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financial</w:t>
            </w:r>
          </w:p>
        </w:tc>
        <w:tc>
          <w:tcPr>
            <w:tcW w:w="9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231F20"/>
              </w:rPr>
              <w:t>without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Share-based</w:t>
            </w: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Convertible</w:t>
            </w: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instrument-</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non-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for-sale</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readily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Warranty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capped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controlling</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8"/>
              </w:rPr>
              <w:t>debt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rPr>
              <w:t>determinable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notes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call options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interests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securities</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Leases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Accrual</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Software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(ii)</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(iii)</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(iv)</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(v)</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231F20"/>
              </w:rPr>
              <w:t>Note (vi)</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Note (vii)</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(viii)</w:t>
            </w:r>
          </w:p>
        </w:tc>
        <w:tc>
          <w:tcPr>
            <w:tcW w:w="200" w:type="dxa"/>
            <w:vAlign w:val="bottom"/>
          </w:tcPr>
          <w:p>
            <w:pPr>
              <w:spacing w:after="0"/>
              <w:rPr>
                <w:sz w:val="12"/>
                <w:szCs w:val="12"/>
                <w:color w:val="auto"/>
              </w:rPr>
            </w:pPr>
          </w:p>
        </w:tc>
        <w:tc>
          <w:tcPr>
            <w:tcW w:w="6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31F20"/>
              </w:rPr>
              <w:t>Note (ix)</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Cost of revenues</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231F20"/>
              </w:rPr>
              <w:t>(19,198,961)</w:t>
            </w: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231F20"/>
              </w:rPr>
              <w:t>(820</w:t>
            </w:r>
            <w:r>
              <w:rPr>
                <w:rFonts w:ascii="Times New Roman" w:cs="Times New Roman" w:eastAsia="Times New Roman" w:hAnsi="Times New Roman"/>
                <w:sz w:val="14"/>
                <w:szCs w:val="14"/>
                <w:color w:val="000000"/>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231F20"/>
              </w:rPr>
              <w:t>42,537</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58,426</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231F20"/>
              </w:rPr>
              <w:t>(19,098,818)</w:t>
            </w: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Research and</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(6,420,183)</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231F20"/>
              </w:rPr>
              <w:t>(165,744</w:t>
            </w:r>
            <w:r>
              <w:rPr>
                <w:rFonts w:ascii="Times New Roman" w:cs="Times New Roman" w:eastAsia="Times New Roman" w:hAnsi="Times New Roman"/>
                <w:sz w:val="14"/>
                <w:szCs w:val="14"/>
                <w:color w:val="000000"/>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231F20"/>
              </w:rPr>
              <w:t>13,081</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(6,572,846)</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231F20"/>
              </w:rPr>
              <w:t>development</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Selling, general</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and administrative</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231F20"/>
              </w:rPr>
              <w:t>(5,302,531)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231F20"/>
              </w:rPr>
              <w:t>(29,348</w:t>
            </w:r>
            <w:r>
              <w:rPr>
                <w:rFonts w:ascii="Times New Roman" w:cs="Times New Roman" w:eastAsia="Times New Roman" w:hAnsi="Times New Roman"/>
                <w:sz w:val="14"/>
                <w:szCs w:val="14"/>
                <w:color w:val="00000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231F20"/>
              </w:rPr>
              <w:t>86,206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(5,245,673)</w:t>
            </w: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231F20"/>
              </w:rPr>
              <w:t>Loss from operations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(11,185,963)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(195,912</w:t>
            </w:r>
            <w:r>
              <w:rPr>
                <w:rFonts w:ascii="Times New Roman" w:cs="Times New Roman" w:eastAsia="Times New Roman" w:hAnsi="Times New Roman"/>
                <w:sz w:val="14"/>
                <w:szCs w:val="14"/>
                <w:b w:val="1"/>
                <w:bCs w:val="1"/>
                <w:color w:val="00000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141,824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231F20"/>
              </w:rPr>
              <w:t>58,426</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(11,181,625)</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Interest expenses</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231F20"/>
              </w:rPr>
              <w:t>(151,103)</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231F20"/>
              </w:rPr>
              <w:t>56,448</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231F20"/>
              </w:rPr>
              <w:t>(147,237)</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231F20"/>
              </w:rPr>
              <w:t>(220,638</w:t>
            </w:r>
            <w:r>
              <w:rPr>
                <w:rFonts w:ascii="Times New Roman" w:cs="Times New Roman" w:eastAsia="Times New Roman" w:hAnsi="Times New Roman"/>
                <w:sz w:val="14"/>
                <w:szCs w:val="14"/>
                <w:color w:val="000000"/>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(51,778)</w:t>
            </w:r>
          </w:p>
        </w:tc>
        <w:tc>
          <w:tcPr>
            <w:tcW w:w="7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231F20"/>
              </w:rPr>
              <w:t>(514,308)</w:t>
            </w: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Fair value changes</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on financial instruments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measured at fair value</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231F20"/>
              </w:rPr>
              <w:t>(56,517</w:t>
            </w:r>
            <w:r>
              <w:rPr>
                <w:rFonts w:ascii="Times New Roman" w:cs="Times New Roman" w:eastAsia="Times New Roman" w:hAnsi="Times New Roman"/>
                <w:sz w:val="14"/>
                <w:szCs w:val="14"/>
                <w:color w:val="00000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(56,517)</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231F20"/>
              </w:rPr>
              <w:t>through profit or loss </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Fair value changes</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of convertible notes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(376,547)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(376,547)</w:t>
            </w: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231F20"/>
              </w:rPr>
              <w:t>Loss before income</w:t>
            </w: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231F20"/>
              </w:rPr>
              <w:t>tax expense</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(10,768,939)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(195,912</w:t>
            </w:r>
            <w:r>
              <w:rPr>
                <w:rFonts w:ascii="Times New Roman" w:cs="Times New Roman" w:eastAsia="Times New Roman" w:hAnsi="Times New Roman"/>
                <w:sz w:val="14"/>
                <w:szCs w:val="14"/>
                <w:b w:val="1"/>
                <w:bCs w:val="1"/>
                <w:color w:val="00000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(320,099)</w:t>
            </w:r>
          </w:p>
        </w:tc>
        <w:tc>
          <w:tcPr>
            <w:tcW w:w="840" w:type="dxa"/>
            <w:vAlign w:val="bottom"/>
            <w:gridSpan w:val="2"/>
            <w:shd w:val="clear" w:color="auto" w:fill="CCEEFF"/>
          </w:tcPr>
          <w:p>
            <w:pPr>
              <w:jc w:val="right"/>
              <w:ind w:right="60"/>
              <w:spacing w:after="0" w:line="200" w:lineRule="exact"/>
              <w:rPr>
                <w:sz w:val="20"/>
                <w:szCs w:val="20"/>
                <w:color w:val="auto"/>
              </w:rPr>
            </w:pPr>
            <w:r>
              <w:rPr>
                <w:rFonts w:ascii="Times New Roman" w:cs="Times New Roman" w:eastAsia="Times New Roman" w:hAnsi="Times New Roman"/>
                <w:sz w:val="13"/>
                <w:szCs w:val="13"/>
                <w:b w:val="1"/>
                <w:bCs w:val="1"/>
                <w:color w:val="231F20"/>
              </w:rPr>
              <w:t>(56,517</w:t>
            </w:r>
            <w:r>
              <w:rPr>
                <w:rFonts w:ascii="Times New Roman" w:cs="Times New Roman" w:eastAsia="Times New Roman" w:hAnsi="Times New Roman"/>
                <w:sz w:val="23"/>
                <w:szCs w:val="23"/>
                <w:b w:val="1"/>
                <w:bCs w:val="1"/>
                <w:color w:val="231F20"/>
                <w:vertAlign w:val="superscript"/>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rPr>
              <w:t>(147,237)</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231F20"/>
              </w:rPr>
              <w:t>(78,814</w:t>
            </w:r>
            <w:r>
              <w:rPr>
                <w:rFonts w:ascii="Times New Roman" w:cs="Times New Roman" w:eastAsia="Times New Roman" w:hAnsi="Times New Roman"/>
                <w:sz w:val="14"/>
                <w:szCs w:val="14"/>
                <w:b w:val="1"/>
                <w:bCs w:val="1"/>
                <w:color w:val="00000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6,648</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60"/>
              <w:spacing w:after="0" w:line="200" w:lineRule="exact"/>
              <w:rPr>
                <w:sz w:val="20"/>
                <w:szCs w:val="20"/>
                <w:color w:val="auto"/>
              </w:rPr>
            </w:pPr>
            <w:r>
              <w:rPr>
                <w:rFonts w:ascii="Times New Roman" w:cs="Times New Roman" w:eastAsia="Times New Roman" w:hAnsi="Times New Roman"/>
                <w:sz w:val="13"/>
                <w:szCs w:val="13"/>
                <w:b w:val="1"/>
                <w:bCs w:val="1"/>
                <w:color w:val="231F20"/>
              </w:rPr>
              <w:t>(11,560,870</w:t>
            </w:r>
            <w:r>
              <w:rPr>
                <w:rFonts w:ascii="Times New Roman" w:cs="Times New Roman" w:eastAsia="Times New Roman" w:hAnsi="Times New Roman"/>
                <w:sz w:val="23"/>
                <w:szCs w:val="23"/>
                <w:b w:val="1"/>
                <w:bCs w:val="1"/>
                <w:color w:val="231F20"/>
                <w:vertAlign w:val="superscript"/>
              </w:rPr>
              <w:t>)</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Income tax expense</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231F20"/>
              </w:rPr>
              <w:t>(26,345)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(26,345)</w:t>
            </w: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231F20"/>
              </w:rPr>
              <w:t>Net loss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(10,795,284)</w:t>
            </w:r>
          </w:p>
        </w:tc>
        <w:tc>
          <w:tcPr>
            <w:tcW w:w="94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2"/>
                <w:szCs w:val="12"/>
                <w:b w:val="1"/>
                <w:bCs w:val="1"/>
                <w:color w:val="auto"/>
              </w:rPr>
              <w:t>(195,912</w:t>
            </w:r>
            <w:r>
              <w:rPr>
                <w:rFonts w:ascii="Times New Roman" w:cs="Times New Roman" w:eastAsia="Times New Roman" w:hAnsi="Times New Roman"/>
                <w:sz w:val="20"/>
                <w:szCs w:val="20"/>
                <w:b w:val="1"/>
                <w:bCs w:val="1"/>
                <w:color w:val="231F20"/>
                <w:vertAlign w:val="superscript"/>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231F20"/>
              </w:rPr>
              <w:t>(320,099)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(56,517)</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(147,237)</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(78,814)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6,648</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b w:val="1"/>
                <w:bCs w:val="1"/>
                <w:color w:val="auto"/>
              </w:rPr>
              <w:t>(11,587,215</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hanging="161"/>
        <w:spacing w:after="0" w:line="233" w:lineRule="auto"/>
        <w:rPr>
          <w:sz w:val="20"/>
          <w:szCs w:val="20"/>
          <w:color w:val="auto"/>
        </w:rPr>
      </w:pPr>
      <w:r>
        <w:rPr>
          <w:rFonts w:ascii="Times New Roman" w:cs="Times New Roman" w:eastAsia="Times New Roman" w:hAnsi="Times New Roman"/>
          <w:sz w:val="14"/>
          <w:szCs w:val="14"/>
          <w:color w:val="231F20"/>
        </w:rPr>
        <w:t>Fair value change on convertible notes due to own credit risk</w:t>
      </w:r>
    </w:p>
    <w:p>
      <w:pPr>
        <w:ind w:left="180" w:right="260" w:hanging="161"/>
        <w:spacing w:after="0" w:line="239" w:lineRule="auto"/>
        <w:rPr>
          <w:sz w:val="20"/>
          <w:szCs w:val="20"/>
          <w:color w:val="auto"/>
        </w:rPr>
      </w:pPr>
      <w:r>
        <w:rPr>
          <w:rFonts w:ascii="Times New Roman" w:cs="Times New Roman" w:eastAsia="Times New Roman" w:hAnsi="Times New Roman"/>
          <w:sz w:val="14"/>
          <w:szCs w:val="14"/>
          <w:b w:val="1"/>
          <w:bCs w:val="1"/>
          <w:color w:val="231F20"/>
        </w:rPr>
        <w:t>Total other comprehensive income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Total comprehensive loss</w:t>
      </w:r>
    </w:p>
    <w:p>
      <w:pPr>
        <w:spacing w:after="0" w:line="30" w:lineRule="exact"/>
        <w:rPr>
          <w:sz w:val="20"/>
          <w:szCs w:val="20"/>
          <w:color w:val="auto"/>
        </w:rPr>
      </w:pPr>
    </w:p>
    <w:p>
      <w:pPr>
        <w:ind w:left="180" w:right="140" w:hanging="161"/>
        <w:spacing w:after="0" w:line="229" w:lineRule="auto"/>
        <w:rPr>
          <w:sz w:val="20"/>
          <w:szCs w:val="20"/>
          <w:color w:val="auto"/>
        </w:rPr>
      </w:pPr>
      <w:r>
        <w:rPr>
          <w:rFonts w:ascii="Times New Roman" w:cs="Times New Roman" w:eastAsia="Times New Roman" w:hAnsi="Times New Roman"/>
          <w:sz w:val="14"/>
          <w:szCs w:val="14"/>
          <w:color w:val="231F20"/>
        </w:rPr>
        <w:t>Accretion on redeemable non-controlling interests to redemption value</w:t>
      </w:r>
    </w:p>
    <w:p>
      <w:pPr>
        <w:spacing w:after="0" w:line="1" w:lineRule="exact"/>
        <w:rPr>
          <w:sz w:val="20"/>
          <w:szCs w:val="20"/>
          <w:color w:val="auto"/>
        </w:rPr>
      </w:pPr>
    </w:p>
    <w:p>
      <w:pPr>
        <w:ind w:left="180" w:right="240" w:hanging="161"/>
        <w:spacing w:after="0" w:line="233" w:lineRule="auto"/>
        <w:rPr>
          <w:sz w:val="20"/>
          <w:szCs w:val="20"/>
          <w:color w:val="auto"/>
        </w:rPr>
      </w:pPr>
      <w:r>
        <w:rPr>
          <w:rFonts w:ascii="Times New Roman" w:cs="Times New Roman" w:eastAsia="Times New Roman" w:hAnsi="Times New Roman"/>
          <w:sz w:val="14"/>
          <w:szCs w:val="14"/>
          <w:b w:val="1"/>
          <w:bCs w:val="1"/>
          <w:color w:val="231F20"/>
        </w:rPr>
        <w:t>Comprehensive loss attributable to ordinary shareholders of NIO Inc</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231F20"/>
              </w:rPr>
              <w:t>Amounts</w:t>
            </w: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Amounts</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231F20"/>
              </w:rPr>
              <w:t>under IFRS</w:t>
            </w:r>
          </w:p>
        </w:tc>
        <w:tc>
          <w:tcPr>
            <w:tcW w:w="0" w:type="dxa"/>
            <w:vAlign w:val="bottom"/>
          </w:tcPr>
          <w:p>
            <w:pPr>
              <w:spacing w:after="0"/>
              <w:rPr>
                <w:sz w:val="1"/>
                <w:szCs w:val="1"/>
                <w:color w:val="auto"/>
              </w:rPr>
            </w:pPr>
          </w:p>
        </w:tc>
      </w:tr>
      <w:tr>
        <w:trPr>
          <w:trHeight w:val="148"/>
        </w:trPr>
        <w:tc>
          <w:tcPr>
            <w:tcW w:w="8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231F20"/>
              </w:rPr>
              <w:t>under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IFRS adjustments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231F20"/>
              </w:rPr>
              <w:t>Accounting</w:t>
            </w:r>
          </w:p>
        </w:tc>
        <w:tc>
          <w:tcPr>
            <w:tcW w:w="0" w:type="dxa"/>
            <w:vAlign w:val="bottom"/>
          </w:tcPr>
          <w:p>
            <w:pPr>
              <w:spacing w:after="0"/>
              <w:rPr>
                <w:sz w:val="1"/>
                <w:szCs w:val="1"/>
                <w:color w:val="auto"/>
              </w:rPr>
            </w:pPr>
          </w:p>
        </w:tc>
      </w:tr>
      <w:tr>
        <w:trPr>
          <w:trHeight w:val="173"/>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w w:val="99"/>
              </w:rPr>
              <w:t>U.S. GAAP</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Standards</w:t>
            </w:r>
          </w:p>
        </w:tc>
        <w:tc>
          <w:tcPr>
            <w:tcW w:w="0" w:type="dxa"/>
            <w:vAlign w:val="bottom"/>
          </w:tcPr>
          <w:p>
            <w:pPr>
              <w:spacing w:after="0"/>
              <w:rPr>
                <w:sz w:val="1"/>
                <w:szCs w:val="1"/>
                <w:color w:val="auto"/>
              </w:rPr>
            </w:pPr>
          </w:p>
        </w:tc>
      </w:tr>
      <w:tr>
        <w:trPr>
          <w:trHeight w:val="184"/>
        </w:trPr>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231F20"/>
              </w:rPr>
              <w:t>RMB (in thousands)</w:t>
            </w:r>
          </w:p>
        </w:tc>
        <w:tc>
          <w:tcPr>
            <w:tcW w:w="9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Derivative</w:t>
            </w: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Redeemable</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Available-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231F20"/>
              </w:rPr>
              <w:t>securities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231F20"/>
              </w:rPr>
              <w:t>financial</w:t>
            </w:r>
          </w:p>
        </w:tc>
        <w:tc>
          <w:tcPr>
            <w:tcW w:w="9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231F20"/>
              </w:rPr>
              <w:t>without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Share-based</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Convertible</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instrument-</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231F20"/>
              </w:rPr>
              <w:t>non-</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231F20"/>
                <w:w w:val="97"/>
              </w:rPr>
              <w:t>for-sale</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readily</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Warranty</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capped</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231F20"/>
              </w:rPr>
              <w:t>controlling</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231F20"/>
              </w:rPr>
              <w:t>debt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231F20"/>
              </w:rPr>
              <w:t>determinable</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231F20"/>
              </w:rPr>
              <w:t>Leases</w:t>
            </w:r>
          </w:p>
        </w:tc>
        <w:tc>
          <w:tcPr>
            <w:tcW w:w="70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Software</w:t>
            </w:r>
          </w:p>
        </w:tc>
        <w:tc>
          <w:tcPr>
            <w:tcW w:w="74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rPr>
              <w:t>notes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call options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w w:val="98"/>
              </w:rPr>
              <w:t>interests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w w:val="99"/>
              </w:rPr>
              <w:t>securities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7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Accrual</w:t>
            </w:r>
          </w:p>
        </w:tc>
        <w:tc>
          <w:tcPr>
            <w:tcW w:w="7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(ii)</w:t>
            </w:r>
          </w:p>
        </w:tc>
        <w:tc>
          <w:tcPr>
            <w:tcW w:w="16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(iii)</w:t>
            </w:r>
          </w:p>
        </w:tc>
        <w:tc>
          <w:tcPr>
            <w:tcW w:w="18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(iv)</w:t>
            </w:r>
          </w:p>
        </w:tc>
        <w:tc>
          <w:tcPr>
            <w:tcW w:w="16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(vi)</w:t>
            </w: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Note (vii)</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Note (viii)</w:t>
            </w:r>
          </w:p>
        </w:tc>
        <w:tc>
          <w:tcPr>
            <w:tcW w:w="8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Note (ix)</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(64,824)</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(64,824)</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272,867</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gridSpan w:val="2"/>
          </w:tcPr>
          <w:p>
            <w:pPr>
              <w:jc w:val="right"/>
              <w:ind w:right="120"/>
              <w:spacing w:after="0" w:line="304" w:lineRule="exact"/>
              <w:rPr>
                <w:sz w:val="20"/>
                <w:szCs w:val="20"/>
                <w:color w:val="auto"/>
              </w:rPr>
            </w:pPr>
            <w:r>
              <w:rPr>
                <w:rFonts w:ascii="Times New Roman" w:cs="Times New Roman" w:eastAsia="Times New Roman" w:hAnsi="Times New Roman"/>
                <w:sz w:val="14"/>
                <w:szCs w:val="14"/>
                <w:b w:val="1"/>
                <w:bCs w:val="1"/>
                <w:color w:val="231F20"/>
              </w:rPr>
              <w:t>(64,824</w:t>
            </w:r>
            <w:r>
              <w:rPr>
                <w:rFonts w:ascii="Times New Roman" w:cs="Times New Roman" w:eastAsia="Times New Roman" w:hAnsi="Times New Roman"/>
                <w:sz w:val="28"/>
                <w:szCs w:val="28"/>
                <w:b w:val="1"/>
                <w:bCs w:val="1"/>
                <w:color w:val="231F20"/>
                <w:vertAlign w:val="superscript"/>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208,043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w w:val="99"/>
              </w:rPr>
              <w:t>(10,522,417)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(195,912)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(384,923)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(56,517)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(147,237)</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8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80" w:type="dxa"/>
            <w:vAlign w:val="bottom"/>
            <w:vMerge w:val="continue"/>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(78,814)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6,648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(11,379,172)</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(147,237)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147,237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w w:val="99"/>
              </w:rPr>
              <w:t>(10,652,698)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231F20"/>
              </w:rPr>
              <w:t>(195,912)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(384,923)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(56,517)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231F2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231F20"/>
              </w:rPr>
              <w:t>(78,814)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231F20"/>
              </w:rPr>
              <w:t>6,648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(11,362,216)</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-1156970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-753745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-325120</wp:posOffset>
            </wp:positionV>
            <wp:extent cx="71323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100"/>
            <w:col w:w="9200"/>
          </w:cols>
          <w:pgMar w:left="320" w:top="911" w:right="37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11"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31F20"/>
        </w:rPr>
        <w:t>Reconciliation of unaudited condensed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231F20"/>
              </w:rPr>
              <w:t>Amounts</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231F20"/>
              </w:rPr>
              <w:t>Amounts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under IFRS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231F20"/>
              </w:rPr>
              <w:t>under</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231F20"/>
              </w:rPr>
              <w:t>IFRS adjustments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Accounting</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231F20"/>
              </w:rPr>
              <w:t>U.S. GAAP</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Standards</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231F20"/>
              </w:rPr>
              <w:t>RMB (in thousands)</w:t>
            </w:r>
          </w:p>
        </w:tc>
        <w:tc>
          <w:tcPr>
            <w:tcW w:w="10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Derivative</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Redeemable</w:t>
            </w: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Available-</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securities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financial</w:t>
            </w:r>
          </w:p>
        </w:tc>
        <w:tc>
          <w:tcPr>
            <w:tcW w:w="9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without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Share-based</w:t>
            </w:r>
          </w:p>
        </w:tc>
        <w:tc>
          <w:tcPr>
            <w:tcW w:w="9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231F20"/>
              </w:rPr>
              <w:t>Convertible</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instrument-</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non-</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for-sale</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readily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231F20"/>
              </w:rPr>
              <w:t>Warranty</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capped</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controlling</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w w:val="98"/>
              </w:rPr>
              <w:t>debt</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231F20"/>
              </w:rPr>
              <w:t>determinable</w:t>
            </w:r>
          </w:p>
        </w:tc>
        <w:tc>
          <w:tcPr>
            <w:tcW w:w="78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231F20"/>
              </w:rPr>
              <w:t>Leases</w:t>
            </w:r>
          </w:p>
        </w:tc>
        <w:tc>
          <w:tcPr>
            <w:tcW w:w="84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Software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9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231F20"/>
              </w:rPr>
              <w:t>notes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call options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interests</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securities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780" w:type="dxa"/>
            <w:vAlign w:val="bottom"/>
            <w:gridSpan w:val="2"/>
            <w:vMerge w:val="continue"/>
          </w:tcPr>
          <w:p>
            <w:pPr>
              <w:spacing w:after="0"/>
              <w:rPr>
                <w:sz w:val="15"/>
                <w:szCs w:val="15"/>
                <w:color w:val="auto"/>
              </w:rPr>
            </w:pPr>
          </w:p>
        </w:tc>
        <w:tc>
          <w:tcPr>
            <w:tcW w:w="8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231F20"/>
              </w:rPr>
              <w:t>Accrual</w:t>
            </w:r>
          </w:p>
        </w:tc>
        <w:tc>
          <w:tcPr>
            <w:tcW w:w="78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8"/>
              </w:rPr>
              <w:t>Note (ii)</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(iii)</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(iv)</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(v)</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(vi)</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w w:val="97"/>
              </w:rPr>
              <w:t>Note (vii)</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Note (viii)</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31F20"/>
              </w:rPr>
              <w:t>Note (ix)</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Prepayments and</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231F20"/>
              </w:rPr>
              <w:t>other current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5,032,716</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5,532,716</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assets</w:t>
            </w:r>
          </w:p>
        </w:tc>
        <w:tc>
          <w:tcPr>
            <w:tcW w:w="9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Financial assets at</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fair value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through profit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173,208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173,208</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or loss</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Financial assets at</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231F20"/>
              </w:rPr>
              <w:t>fair value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231F20"/>
              </w:rPr>
              <w:t>through other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231F20"/>
              </w:rPr>
              <w:t>comprehensive</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480,195</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480,195</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income or loss</w:t>
            </w:r>
          </w:p>
        </w:tc>
        <w:tc>
          <w:tcPr>
            <w:tcW w:w="9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Property, plant and</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24,517,864</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(454,632)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24,063,232</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equipment, net</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Intangible assets,</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29,648</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454,632</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484,280</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net</w:t>
            </w:r>
          </w:p>
        </w:tc>
        <w:tc>
          <w:tcPr>
            <w:tcW w:w="9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Long-term</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5,375,958</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(173,208)</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(480,195)</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4,722,555</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investments</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Right-of-use assets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11,563,603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(385,419)</w:t>
            </w: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11,178,184</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Total assets</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100,515,815</w:t>
            </w:r>
          </w:p>
        </w:tc>
        <w:tc>
          <w:tcPr>
            <w:tcW w:w="2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500,000</w:t>
            </w:r>
          </w:p>
        </w:tc>
        <w:tc>
          <w:tcPr>
            <w:tcW w:w="22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(385,419</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100,630,396</w:t>
            </w:r>
          </w:p>
        </w:tc>
        <w:tc>
          <w:tcPr>
            <w:tcW w:w="0" w:type="dxa"/>
            <w:vAlign w:val="bottom"/>
          </w:tcPr>
          <w:p>
            <w:pPr>
              <w:spacing w:after="0"/>
              <w:rPr>
                <w:sz w:val="1"/>
                <w:szCs w:val="1"/>
                <w:color w:val="auto"/>
              </w:rPr>
            </w:pPr>
          </w:p>
        </w:tc>
      </w:tr>
      <w:tr>
        <w:trPr>
          <w:trHeight w:val="129"/>
        </w:trPr>
        <w:tc>
          <w:tcPr>
            <w:tcW w:w="1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Current portion of</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long-term</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4,211,017</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231F20"/>
              </w:rPr>
              <w:t>(3,579,016)</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632,001</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borrowings</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Accruals and other</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13,295,715</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231F20"/>
              </w:rPr>
              <w:t>(80,767)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13,214,948</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liabilities</w:t>
            </w:r>
          </w:p>
        </w:tc>
        <w:tc>
          <w:tcPr>
            <w:tcW w:w="9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Financial liabilities</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measured at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4,961,563</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4,961,563</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amortized cost</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Long-term</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11,614,644</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231F20"/>
              </w:rPr>
              <w:t>(8,088,413)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3,526,231</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borrowings</w:t>
            </w:r>
          </w:p>
        </w:tc>
        <w:tc>
          <w:tcPr>
            <w:tcW w:w="9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Financial liabilities</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at fair value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through profit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231F20"/>
              </w:rPr>
              <w:t>9,218,066</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9,218,066</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or loss</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Other non-current</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liabilities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7,289,020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231F20"/>
              </w:rPr>
              <w:t>(637,620)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6,651,400</w:t>
            </w:r>
          </w:p>
        </w:tc>
        <w:tc>
          <w:tcPr>
            <w:tcW w:w="0" w:type="dxa"/>
            <w:vAlign w:val="bottom"/>
          </w:tcPr>
          <w:p>
            <w:pPr>
              <w:spacing w:after="0"/>
              <w:rPr>
                <w:sz w:val="1"/>
                <w:szCs w:val="1"/>
                <w:color w:val="auto"/>
              </w:rPr>
            </w:pPr>
          </w:p>
        </w:tc>
      </w:tr>
      <w:tr>
        <w:trPr>
          <w:trHeight w:val="195"/>
        </w:trPr>
        <w:tc>
          <w:tcPr>
            <w:tcW w:w="12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231F20"/>
              </w:rPr>
              <w:t>Total liabilities</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79,799,362</w:t>
            </w:r>
          </w:p>
        </w:tc>
        <w:tc>
          <w:tcPr>
            <w:tcW w:w="2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(2,530,130</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231F20"/>
                <w:w w:val="84"/>
              </w:rPr>
              <w:t>)</w:t>
            </w:r>
          </w:p>
        </w:tc>
        <w:tc>
          <w:tcPr>
            <w:tcW w:w="7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4,961,563</w:t>
            </w:r>
          </w:p>
        </w:tc>
        <w:tc>
          <w:tcPr>
            <w:tcW w:w="22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(637,620</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231F20"/>
              </w:rPr>
              <w:t>81,593,175</w:t>
            </w:r>
          </w:p>
        </w:tc>
        <w:tc>
          <w:tcPr>
            <w:tcW w:w="0" w:type="dxa"/>
            <w:vAlign w:val="bottom"/>
          </w:tcPr>
          <w:p>
            <w:pPr>
              <w:spacing w:after="0"/>
              <w:rPr>
                <w:sz w:val="1"/>
                <w:szCs w:val="1"/>
                <w:color w:val="auto"/>
              </w:rPr>
            </w:pPr>
          </w:p>
        </w:tc>
      </w:tr>
      <w:tr>
        <w:trPr>
          <w:trHeight w:val="79"/>
        </w:trPr>
        <w:tc>
          <w:tcPr>
            <w:tcW w:w="12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231F20"/>
              </w:rPr>
              <w:t>Redeemable non-</w:t>
            </w:r>
          </w:p>
        </w:tc>
        <w:tc>
          <w:tcPr>
            <w:tcW w:w="7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tcBorders>
              <w:righ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231F20"/>
              </w:rPr>
              <w:t>controlling</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interests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231F20"/>
              </w:rPr>
              <w:t>4,461,563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(4,461,563)</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04"/>
        </w:trPr>
        <w:tc>
          <w:tcPr>
            <w:tcW w:w="122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231F20"/>
              </w:rPr>
              <w:t>MEZZANINE</w:t>
            </w: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4,461,563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Pr>
          <w:p>
            <w:pPr>
              <w:spacing w:after="0"/>
              <w:rPr>
                <w:sz w:val="19"/>
                <w:szCs w:val="19"/>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231F2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980" w:type="dxa"/>
            <w:vAlign w:val="bottom"/>
            <w:gridSpan w:val="2"/>
          </w:tcPr>
          <w:p>
            <w:pPr>
              <w:jc w:val="right"/>
              <w:ind w:right="180"/>
              <w:spacing w:after="0" w:line="200" w:lineRule="exact"/>
              <w:rPr>
                <w:sz w:val="20"/>
                <w:szCs w:val="20"/>
                <w:color w:val="auto"/>
              </w:rPr>
            </w:pPr>
            <w:r>
              <w:rPr>
                <w:rFonts w:ascii="Times New Roman" w:cs="Times New Roman" w:eastAsia="Times New Roman" w:hAnsi="Times New Roman"/>
                <w:sz w:val="13"/>
                <w:szCs w:val="13"/>
                <w:b w:val="1"/>
                <w:bCs w:val="1"/>
                <w:color w:val="231F20"/>
              </w:rPr>
              <w:t>(4,461,563</w:t>
            </w:r>
            <w:r>
              <w:rPr>
                <w:rFonts w:ascii="Times New Roman" w:cs="Times New Roman" w:eastAsia="Times New Roman" w:hAnsi="Times New Roman"/>
                <w:sz w:val="23"/>
                <w:szCs w:val="23"/>
                <w:b w:val="1"/>
                <w:bCs w:val="1"/>
                <w:color w:val="231F20"/>
                <w:vertAlign w:val="superscript"/>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vMerge w:val="restart"/>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231F20"/>
              </w:rPr>
              <w:t>Additional paid- in</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220" w:type="dxa"/>
            <w:vAlign w:val="bottom"/>
            <w:vMerge w:val="continue"/>
            <w:shd w:val="clear" w:color="auto" w:fill="CCEEFF"/>
          </w:tcPr>
          <w:p>
            <w:pPr>
              <w:spacing w:after="0"/>
              <w:rPr>
                <w:sz w:val="6"/>
                <w:szCs w:val="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119,068,225</w:t>
            </w:r>
          </w:p>
        </w:tc>
        <w:tc>
          <w:tcPr>
            <w:tcW w:w="200" w:type="dxa"/>
            <w:vAlign w:val="bottom"/>
            <w:vMerge w:val="restart"/>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1,551,060</w:t>
            </w:r>
          </w:p>
        </w:tc>
        <w:tc>
          <w:tcPr>
            <w:tcW w:w="220" w:type="dxa"/>
            <w:vAlign w:val="bottom"/>
            <w:vMerge w:val="restart"/>
            <w:shd w:val="clear" w:color="auto" w:fill="CCEEFF"/>
          </w:tcPr>
          <w:p>
            <w:pPr>
              <w:spacing w:after="0"/>
              <w:rPr>
                <w:sz w:val="6"/>
                <w:szCs w:val="6"/>
                <w:color w:val="auto"/>
              </w:rPr>
            </w:pPr>
          </w:p>
        </w:tc>
        <w:tc>
          <w:tcPr>
            <w:tcW w:w="9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(614,849)</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7,833,200</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127,837,636</w:t>
            </w:r>
          </w:p>
        </w:tc>
        <w:tc>
          <w:tcPr>
            <w:tcW w:w="0" w:type="dxa"/>
            <w:vAlign w:val="bottom"/>
          </w:tcPr>
          <w:p>
            <w:pPr>
              <w:spacing w:after="0"/>
              <w:rPr>
                <w:sz w:val="1"/>
                <w:szCs w:val="1"/>
                <w:color w:val="auto"/>
              </w:rPr>
            </w:pPr>
          </w:p>
        </w:tc>
      </w:tr>
      <w:tr>
        <w:trPr>
          <w:trHeight w:val="171"/>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capital</w:t>
            </w:r>
          </w:p>
        </w:tc>
        <w:tc>
          <w:tcPr>
            <w:tcW w:w="7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31F20"/>
              </w:rPr>
              <w:t>Accumulated other</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231F20"/>
              </w:rPr>
              <w:t>comprehensive</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231F20"/>
              </w:rPr>
              <w:t>529,942</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231F20"/>
              </w:rPr>
              <w:t>(549,700)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62,591</w:t>
            </w:r>
          </w:p>
        </w:tc>
        <w:tc>
          <w:tcPr>
            <w:tcW w:w="7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8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42,833</w:t>
            </w:r>
          </w:p>
        </w:tc>
        <w:tc>
          <w:tcPr>
            <w:tcW w:w="0" w:type="dxa"/>
            <w:vAlign w:val="bottom"/>
          </w:tcPr>
          <w:p>
            <w:pPr>
              <w:spacing w:after="0"/>
              <w:rPr>
                <w:sz w:val="1"/>
                <w:szCs w:val="1"/>
                <w:color w:val="auto"/>
              </w:rPr>
            </w:pPr>
          </w:p>
        </w:tc>
      </w:tr>
      <w:tr>
        <w:trPr>
          <w:trHeight w:val="171"/>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231F20"/>
              </w:rPr>
              <w:t>loss</w:t>
            </w: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1F20"/>
              </w:rPr>
              <w:t>Accumulated</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231F20"/>
              </w:rPr>
              <w:t>deficit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(100,979,776)</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(1,551,060)</w:t>
            </w:r>
          </w:p>
        </w:tc>
        <w:tc>
          <w:tcPr>
            <w:tcW w:w="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231F20"/>
              </w:rPr>
              <w:t>3,079,830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614,849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(7,833,200)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(62,591)</w:t>
            </w:r>
          </w:p>
        </w:tc>
        <w:tc>
          <w:tcPr>
            <w:tcW w:w="7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231F20"/>
              </w:rPr>
              <w:t>(385,419)</w:t>
            </w: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231F20"/>
              </w:rPr>
              <w:t>637,620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(106,479,747)</w:t>
            </w:r>
          </w:p>
        </w:tc>
        <w:tc>
          <w:tcPr>
            <w:tcW w:w="0" w:type="dxa"/>
            <w:vAlign w:val="bottom"/>
          </w:tcPr>
          <w:p>
            <w:pPr>
              <w:spacing w:after="0"/>
              <w:rPr>
                <w:sz w:val="1"/>
                <w:szCs w:val="1"/>
                <w:color w:val="auto"/>
              </w:rPr>
            </w:pPr>
          </w:p>
        </w:tc>
      </w:tr>
      <w:tr>
        <w:trPr>
          <w:trHeight w:val="104"/>
        </w:trPr>
        <w:tc>
          <w:tcPr>
            <w:tcW w:w="122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231F20"/>
              </w:rPr>
              <w:t>Total</w:t>
            </w: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231F20"/>
              </w:rPr>
              <w:t>shareholders’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231F20"/>
              </w:rPr>
              <w:t>16,254,890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231F20"/>
              </w:rPr>
              <w:t>2,530,130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780" w:type="dxa"/>
            <w:vAlign w:val="bottom"/>
            <w:gridSpan w:val="2"/>
          </w:tcPr>
          <w:p>
            <w:pPr>
              <w:jc w:val="right"/>
              <w:ind w:right="119"/>
              <w:spacing w:after="0" w:line="200" w:lineRule="exact"/>
              <w:rPr>
                <w:sz w:val="20"/>
                <w:szCs w:val="20"/>
                <w:color w:val="auto"/>
              </w:rPr>
            </w:pPr>
            <w:r>
              <w:rPr>
                <w:rFonts w:ascii="Times New Roman" w:cs="Times New Roman" w:eastAsia="Times New Roman" w:hAnsi="Times New Roman"/>
                <w:sz w:val="13"/>
                <w:szCs w:val="13"/>
                <w:b w:val="1"/>
                <w:bCs w:val="1"/>
                <w:color w:val="231F20"/>
              </w:rPr>
              <w:t>(385,419</w:t>
            </w:r>
            <w:r>
              <w:rPr>
                <w:rFonts w:ascii="Times New Roman" w:cs="Times New Roman" w:eastAsia="Times New Roman" w:hAnsi="Times New Roman"/>
                <w:sz w:val="23"/>
                <w:szCs w:val="23"/>
                <w:b w:val="1"/>
                <w:bCs w:val="1"/>
                <w:color w:val="231F20"/>
                <w:vertAlign w:val="superscript"/>
              </w:rPr>
              <w:t>)</w:t>
            </w: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231F20"/>
              </w:rPr>
              <w:t>637,620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19,037,221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55"/>
        </w:trPr>
        <w:tc>
          <w:tcPr>
            <w:tcW w:w="1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As of December 31, 2023</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231F20"/>
              </w:rPr>
              <w:t>Amounts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Amounts</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under IFRS</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under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Accounting</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4"/>
              </w:rPr>
              <w:t>U.S. GAAP</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IFRS adjustments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231F20"/>
                <w:w w:val="98"/>
              </w:rPr>
              <w:t>Standards</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4"/>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7"/>
              </w:rPr>
              <w:t>RMB (in thousands)</w:t>
            </w: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rPr>
              <w:t>Equity</w:t>
            </w: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Derivative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securities</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9"/>
              </w:rPr>
              <w:t>financial</w:t>
            </w:r>
          </w:p>
        </w:tc>
        <w:tc>
          <w:tcPr>
            <w:tcW w:w="88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Redeemable</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Available-</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8"/>
              </w:rPr>
              <w:t>without</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instrument-</w:t>
            </w:r>
          </w:p>
        </w:tc>
        <w:tc>
          <w:tcPr>
            <w:tcW w:w="88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231F20"/>
                <w:w w:val="94"/>
              </w:rPr>
              <w:t>non-</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5"/>
              </w:rPr>
              <w:t>for-sale</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readily</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231F20"/>
                <w:w w:val="99"/>
              </w:rPr>
              <w:t>Share-based</w:t>
            </w:r>
          </w:p>
        </w:tc>
        <w:tc>
          <w:tcPr>
            <w:tcW w:w="920" w:type="dxa"/>
            <w:vAlign w:val="bottom"/>
            <w:gridSpan w:val="2"/>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231F20"/>
                <w:w w:val="95"/>
              </w:rPr>
              <w:t>capped</w:t>
            </w:r>
          </w:p>
        </w:tc>
        <w:tc>
          <w:tcPr>
            <w:tcW w:w="88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231F20"/>
                <w:w w:val="95"/>
              </w:rPr>
              <w:t>controlling</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debt</w:t>
            </w: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231F20"/>
                <w:w w:val="97"/>
              </w:rPr>
              <w:t>determinable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231F20"/>
              </w:rPr>
              <w:t>Warranty</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231F20"/>
                <w:w w:val="96"/>
              </w:rPr>
              <w:t>compensation</w:t>
            </w:r>
          </w:p>
        </w:tc>
        <w:tc>
          <w:tcPr>
            <w:tcW w:w="920" w:type="dxa"/>
            <w:vAlign w:val="bottom"/>
            <w:gridSpan w:val="2"/>
          </w:tcPr>
          <w:p>
            <w:pPr>
              <w:jc w:val="right"/>
              <w:ind w:right="378"/>
              <w:spacing w:after="0"/>
              <w:rPr>
                <w:sz w:val="20"/>
                <w:szCs w:val="20"/>
                <w:color w:val="auto"/>
              </w:rPr>
            </w:pPr>
            <w:r>
              <w:rPr>
                <w:rFonts w:ascii="Times New Roman" w:cs="Times New Roman" w:eastAsia="Times New Roman" w:hAnsi="Times New Roman"/>
                <w:sz w:val="13"/>
                <w:szCs w:val="13"/>
                <w:b w:val="1"/>
                <w:bCs w:val="1"/>
                <w:color w:val="231F20"/>
              </w:rPr>
              <w:t>notes</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231F20"/>
                <w:w w:val="94"/>
              </w:rPr>
              <w:t>call options</w:t>
            </w:r>
          </w:p>
        </w:tc>
        <w:tc>
          <w:tcPr>
            <w:tcW w:w="88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231F20"/>
                <w:w w:val="97"/>
              </w:rPr>
              <w:t>interests</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6"/>
              </w:rPr>
              <w:t>securities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231F20"/>
                <w:w w:val="94"/>
              </w:rPr>
              <w:t>fair value</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231F20"/>
              </w:rPr>
              <w:t>Leases</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231F20"/>
              </w:rPr>
              <w:t>Accrual</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231F20"/>
              </w:rPr>
              <w:t>Software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231F20"/>
              </w:rPr>
              <w:t>Note (i)</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231F20"/>
              </w:rPr>
              <w:t>Note (ii)</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Note (iii)</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Note (iv)</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Note (v)</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Note (vi)</w:t>
            </w:r>
          </w:p>
        </w:tc>
        <w:tc>
          <w:tcPr>
            <w:tcW w:w="220" w:type="dxa"/>
            <w:vAlign w:val="bottom"/>
          </w:tcPr>
          <w:p>
            <w:pPr>
              <w:spacing w:after="0"/>
              <w:rPr>
                <w:sz w:val="11"/>
                <w:szCs w:val="11"/>
                <w:color w:val="auto"/>
              </w:rPr>
            </w:pPr>
          </w:p>
        </w:tc>
        <w:tc>
          <w:tcPr>
            <w:tcW w:w="66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231F20"/>
                <w:w w:val="96"/>
              </w:rPr>
              <w:t>Note (vii)</w:t>
            </w:r>
          </w:p>
        </w:tc>
        <w:tc>
          <w:tcPr>
            <w:tcW w:w="220" w:type="dxa"/>
            <w:vAlign w:val="bottom"/>
          </w:tcPr>
          <w:p>
            <w:pPr>
              <w:spacing w:after="0"/>
              <w:rPr>
                <w:sz w:val="11"/>
                <w:szCs w:val="11"/>
                <w:color w:val="auto"/>
              </w:rPr>
            </w:pPr>
          </w:p>
        </w:tc>
        <w:tc>
          <w:tcPr>
            <w:tcW w:w="660" w:type="dxa"/>
            <w:vAlign w:val="bottom"/>
            <w:tcBorders>
              <w:top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231F20"/>
                <w:w w:val="94"/>
              </w:rPr>
              <w:t>Note (viii)</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Note (ix)</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Financial assets at fair</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231F20"/>
              </w:rPr>
              <w:t>value through profit</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or loss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120,000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120,000</w:t>
            </w:r>
          </w:p>
        </w:tc>
        <w:tc>
          <w:tcPr>
            <w:tcW w:w="0" w:type="dxa"/>
            <w:vAlign w:val="bottom"/>
          </w:tcPr>
          <w:p>
            <w:pPr>
              <w:spacing w:after="0"/>
              <w:rPr>
                <w:sz w:val="1"/>
                <w:szCs w:val="1"/>
                <w:color w:val="auto"/>
              </w:rPr>
            </w:pPr>
          </w:p>
        </w:tc>
      </w:tr>
      <w:tr>
        <w:trPr>
          <w:trHeight w:val="117"/>
        </w:trPr>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Financial assets at fair</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231F20"/>
              </w:rPr>
              <w:t>value through other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231F20"/>
              </w:rPr>
              <w:t>comprehensive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income or loss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391,205</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31F20"/>
              </w:rPr>
              <w:t>391,205</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Property, plant and</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equipment, net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24,847,004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(593,797)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24,253,207</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Intangible assets, net</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29,648</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593,797</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623,445</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Long-term investments</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5,487,216</w:t>
            </w:r>
          </w:p>
        </w:tc>
        <w:tc>
          <w:tcPr>
            <w:tcW w:w="9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(120,000)</w:t>
            </w: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(391,205)</w:t>
            </w:r>
          </w:p>
        </w:tc>
        <w:tc>
          <w:tcPr>
            <w:tcW w:w="8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4,976,011</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Right-of-use assets</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11,404,116</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231F20"/>
              </w:rPr>
              <w:t>(296,359)</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11,107,757</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Derivative financial</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instruments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49,838</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49,838</w:t>
            </w:r>
          </w:p>
        </w:tc>
        <w:tc>
          <w:tcPr>
            <w:tcW w:w="0" w:type="dxa"/>
            <w:vAlign w:val="bottom"/>
          </w:tcPr>
          <w:p>
            <w:pPr>
              <w:spacing w:after="0"/>
              <w:rPr>
                <w:sz w:val="1"/>
                <w:szCs w:val="1"/>
                <w:color w:val="auto"/>
              </w:rPr>
            </w:pPr>
          </w:p>
        </w:tc>
      </w:tr>
      <w:tr>
        <w:trPr>
          <w:trHeight w:val="168"/>
        </w:trPr>
        <w:tc>
          <w:tcPr>
            <w:tcW w:w="13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231F20"/>
              </w:rPr>
              <w:t>Total assets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117,383,202</w:t>
            </w:r>
          </w:p>
        </w:tc>
        <w:tc>
          <w:tcPr>
            <w:tcW w:w="2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49,838</w:t>
            </w:r>
          </w:p>
        </w:tc>
        <w:tc>
          <w:tcPr>
            <w:tcW w:w="2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(296,359</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0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117,136,681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38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Current portion of long-</w:t>
            </w:r>
          </w:p>
        </w:tc>
        <w:tc>
          <w:tcPr>
            <w:tcW w:w="7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 borrowings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4,736,087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(3,286,640)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1,449,447</w:t>
            </w:r>
          </w:p>
        </w:tc>
        <w:tc>
          <w:tcPr>
            <w:tcW w:w="0" w:type="dxa"/>
            <w:vAlign w:val="bottom"/>
          </w:tcPr>
          <w:p>
            <w:pPr>
              <w:spacing w:after="0"/>
              <w:rPr>
                <w:sz w:val="1"/>
                <w:szCs w:val="1"/>
                <w:color w:val="auto"/>
              </w:rPr>
            </w:pPr>
          </w:p>
        </w:tc>
      </w:tr>
      <w:tr>
        <w:trPr>
          <w:trHeight w:val="117"/>
        </w:trPr>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Accruals and other</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liabilities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15,556,354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231F20"/>
              </w:rPr>
              <w:t>(124,627)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31F20"/>
              </w:rPr>
              <w:t>15,431,727</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Financial liabilities</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231F20"/>
              </w:rPr>
              <w:t>measured at</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amortized cost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3,860,384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3,860,384</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Long-term borrowings</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13,042,861</w:t>
            </w:r>
          </w:p>
        </w:tc>
        <w:tc>
          <w:tcPr>
            <w:tcW w:w="9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231F20"/>
              </w:rPr>
              <w:t>(11,575,725)</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231F20"/>
              </w:rPr>
              <w:t>1,467,136</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Financial liabilities at</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231F20"/>
              </w:rPr>
              <w:t>fair value through</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profit or loss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231F20"/>
              </w:rPr>
              <w:t>14,889,138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14,889,138</w:t>
            </w:r>
          </w:p>
        </w:tc>
        <w:tc>
          <w:tcPr>
            <w:tcW w:w="0" w:type="dxa"/>
            <w:vAlign w:val="bottom"/>
          </w:tcPr>
          <w:p>
            <w:pPr>
              <w:spacing w:after="0"/>
              <w:rPr>
                <w:sz w:val="1"/>
                <w:szCs w:val="1"/>
                <w:color w:val="auto"/>
              </w:rPr>
            </w:pPr>
          </w:p>
        </w:tc>
      </w:tr>
      <w:tr>
        <w:trPr>
          <w:trHeight w:val="117"/>
        </w:trPr>
        <w:tc>
          <w:tcPr>
            <w:tcW w:w="13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231F20"/>
              </w:rPr>
              <w:t>Other non-current</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liabilities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6,663,805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231F20"/>
              </w:rPr>
              <w:t>(584,379)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231F20"/>
              </w:rPr>
              <w:t>6,079,426</w:t>
            </w:r>
          </w:p>
        </w:tc>
        <w:tc>
          <w:tcPr>
            <w:tcW w:w="0" w:type="dxa"/>
            <w:vAlign w:val="bottom"/>
          </w:tcPr>
          <w:p>
            <w:pPr>
              <w:spacing w:after="0"/>
              <w:rPr>
                <w:sz w:val="1"/>
                <w:szCs w:val="1"/>
                <w:color w:val="auto"/>
              </w:rPr>
            </w:pPr>
          </w:p>
        </w:tc>
      </w:tr>
      <w:tr>
        <w:trPr>
          <w:trHeight w:val="129"/>
        </w:trPr>
        <w:tc>
          <w:tcPr>
            <w:tcW w:w="13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231F20"/>
              </w:rPr>
              <w:t>Total liabilities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87,787,186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(97,854</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3,860,384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(584,379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231F20"/>
                <w:w w:val="73"/>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231F20"/>
              </w:rPr>
              <w:t>90,965,337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Redeemable non-</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3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3,860,384</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(3,860,384)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231F20"/>
              </w:rPr>
              <w:t>MEZZANINE</w:t>
            </w: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80" w:type="dxa"/>
            <w:vAlign w:val="bottom"/>
            <w:vMerge w:val="continue"/>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3,860,384</w:t>
            </w:r>
          </w:p>
        </w:tc>
        <w:tc>
          <w:tcPr>
            <w:tcW w:w="200" w:type="dxa"/>
            <w:vAlign w:val="bottom"/>
            <w:vMerge w:val="restart"/>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vMerge w:val="restart"/>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200" w:type="dxa"/>
            <w:vAlign w:val="bottom"/>
            <w:vMerge w:val="restart"/>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231F20"/>
              </w:rPr>
              <w:t>(3,860,384)</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vMerge w:val="restart"/>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vMerge w:val="restart"/>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231F20"/>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231F20"/>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42"/>
        </w:trPr>
        <w:tc>
          <w:tcPr>
            <w:tcW w:w="13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231F20"/>
              </w:rPr>
              <w:t>EQUITY</w:t>
            </w:r>
          </w:p>
        </w:tc>
        <w:tc>
          <w:tcPr>
            <w:tcW w:w="7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bottom w:val="single" w:sz="8" w:color="CCEEFF"/>
            </w:tcBorders>
            <w:vMerge w:val="restart"/>
          </w:tcPr>
          <w:p>
            <w:pPr>
              <w:spacing w:after="0" w:line="110" w:lineRule="exact"/>
              <w:rPr>
                <w:sz w:val="20"/>
                <w:szCs w:val="20"/>
                <w:color w:val="auto"/>
              </w:rPr>
            </w:pPr>
            <w:r>
              <w:rPr>
                <w:rFonts w:ascii="Times New Roman" w:cs="Times New Roman" w:eastAsia="Times New Roman" w:hAnsi="Times New Roman"/>
                <w:sz w:val="12"/>
                <w:szCs w:val="12"/>
                <w:color w:val="231F20"/>
              </w:rPr>
              <w:t>Additional paid-in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3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3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capital</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117,717,254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1,899,872</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(614,849)</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7,670,654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126,672,931</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231F20"/>
              </w:rPr>
              <w:t>Accumulated other</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comprehensive loss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432,991</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231F20"/>
              </w:rPr>
              <w:t>(450,601)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231F20"/>
              </w:rPr>
              <w:t>87,071</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231F20"/>
              </w:rPr>
              <w:t>69,461</w:t>
            </w: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231F20"/>
              </w:rPr>
              <w:t>Accumulated deficit</w:t>
            </w: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231F20"/>
              </w:rPr>
              <w:t>(90,758,034)</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(1,899,872)</w:t>
            </w:r>
          </w:p>
        </w:tc>
        <w:tc>
          <w:tcPr>
            <w:tcW w:w="92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231F20"/>
              </w:rPr>
              <w:t>548,455</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664,687</w:t>
            </w:r>
          </w:p>
        </w:tc>
        <w:tc>
          <w:tcPr>
            <w:tcW w:w="88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231F20"/>
              </w:rPr>
              <w:t>(7,670,654)</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231F20"/>
              </w:rPr>
              <w:t>(87,071)</w:t>
            </w:r>
          </w:p>
        </w:tc>
        <w:tc>
          <w:tcPr>
            <w:tcW w:w="8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231F20"/>
              </w:rPr>
              <w:t>(296,359)</w:t>
            </w:r>
          </w:p>
        </w:tc>
        <w:tc>
          <w:tcPr>
            <w:tcW w:w="8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231F20"/>
              </w:rPr>
              <w:t>584,379</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231F20"/>
              </w:rPr>
              <w:t>(98,914,469)</w:t>
            </w: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231F20"/>
              </w:rPr>
              <w:t>Total shareholders’</w:t>
            </w: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80" w:type="dxa"/>
            <w:vAlign w:val="bottom"/>
            <w:vMerge w:val="continue"/>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25,735,632</w:t>
            </w:r>
          </w:p>
        </w:tc>
        <w:tc>
          <w:tcPr>
            <w:tcW w:w="200" w:type="dxa"/>
            <w:vAlign w:val="bottom"/>
            <w:vMerge w:val="restart"/>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220" w:type="dxa"/>
            <w:vAlign w:val="bottom"/>
            <w:vMerge w:val="restart"/>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97,854</w:t>
            </w:r>
          </w:p>
        </w:tc>
        <w:tc>
          <w:tcPr>
            <w:tcW w:w="200" w:type="dxa"/>
            <w:vAlign w:val="bottom"/>
            <w:vMerge w:val="restart"/>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49,838</w:t>
            </w:r>
          </w:p>
        </w:tc>
        <w:tc>
          <w:tcPr>
            <w:tcW w:w="880" w:type="dxa"/>
            <w:vAlign w:val="bottom"/>
            <w:gridSpan w:val="2"/>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b w:val="1"/>
                <w:bCs w:val="1"/>
                <w:color w:val="231F20"/>
              </w:rPr>
              <w:t>(296,359)</w:t>
            </w:r>
          </w:p>
        </w:tc>
        <w:tc>
          <w:tcPr>
            <w:tcW w:w="880" w:type="dxa"/>
            <w:vAlign w:val="bottom"/>
            <w:gridSpan w:val="2"/>
            <w:vMerge w:val="restart"/>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b w:val="1"/>
                <w:bCs w:val="1"/>
                <w:color w:val="231F20"/>
              </w:rPr>
              <w:t>584,379</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231F20"/>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231F20"/>
              </w:rPr>
              <w:t>26,171,344</w:t>
            </w:r>
          </w:p>
        </w:tc>
        <w:tc>
          <w:tcPr>
            <w:tcW w:w="0" w:type="dxa"/>
            <w:vAlign w:val="bottom"/>
          </w:tcPr>
          <w:p>
            <w:pPr>
              <w:spacing w:after="0"/>
              <w:rPr>
                <w:sz w:val="1"/>
                <w:szCs w:val="1"/>
                <w:color w:val="auto"/>
              </w:rPr>
            </w:pPr>
          </w:p>
        </w:tc>
      </w:tr>
      <w:tr>
        <w:trPr>
          <w:trHeight w:val="142"/>
        </w:trPr>
        <w:tc>
          <w:tcPr>
            <w:tcW w:w="13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231F20"/>
              </w:rPr>
              <w:t>equity</w:t>
            </w:r>
          </w:p>
        </w:tc>
        <w:tc>
          <w:tcPr>
            <w:tcW w:w="7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231F20"/>
        </w:rPr>
        <w:t>Basis of Preparation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Directors of the Company are responsible for preparation of the Reconciliation Statement in accordance with the relevant requirements of the Hong Kong Listing Rules and relevant guidance in Chapter 2.1 of the Guide for New Listing Applicants. The Reconciliation Statement was prepared based on the Group’s unaudited interim condensed consolidated financial information for the six months ended June 30, 2024 prepared under U.S. GAAP, with adjustments made (if any) thereto in arriving at the unaudited financial information of the Group prepared under IFRS Accounting Standards. The adjustments reflect the differences between the Group’s accounting policies under U.S. GAAP and IFRS Accounting Standards.</w:t>
      </w:r>
    </w:p>
    <w:p>
      <w:pPr>
        <w:spacing w:after="0" w:line="179"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Share-based compensation</w:t>
      </w:r>
    </w:p>
    <w:p>
      <w:pPr>
        <w:spacing w:after="0" w:line="229" w:lineRule="exact"/>
        <w:rPr>
          <w:rFonts w:ascii="Times New Roman" w:cs="Times New Roman" w:eastAsia="Times New Roman" w:hAnsi="Times New Roman"/>
          <w:sz w:val="18"/>
          <w:szCs w:val="18"/>
          <w:b w:val="1"/>
          <w:bCs w:val="1"/>
          <w:color w:val="231F20"/>
        </w:rPr>
      </w:pPr>
    </w:p>
    <w:p>
      <w:pPr>
        <w:ind w:left="5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Group has elected to recognize compensation expense using the straight-line method for all employee equity awards granted with graded vesting over the requisite service period.</w:t>
      </w:r>
    </w:p>
    <w:p>
      <w:pPr>
        <w:spacing w:after="0" w:line="161" w:lineRule="exact"/>
        <w:rPr>
          <w:rFonts w:ascii="Times New Roman" w:cs="Times New Roman" w:eastAsia="Times New Roman" w:hAnsi="Times New Roman"/>
          <w:sz w:val="18"/>
          <w:szCs w:val="18"/>
          <w:b w:val="1"/>
          <w:bCs w:val="1"/>
          <w:color w:val="231F20"/>
        </w:rPr>
      </w:pPr>
    </w:p>
    <w:p>
      <w:pPr>
        <w:ind w:left="520"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graded vesting method is required to recognize compensation expense for all employee equity awards granted with graded vesting.</w:t>
      </w:r>
    </w:p>
    <w:p>
      <w:pPr>
        <w:spacing w:after="0" w:line="157" w:lineRule="exact"/>
        <w:rPr>
          <w:rFonts w:ascii="Times New Roman" w:cs="Times New Roman" w:eastAsia="Times New Roman" w:hAnsi="Times New Roman"/>
          <w:sz w:val="18"/>
          <w:szCs w:val="18"/>
          <w:b w:val="1"/>
          <w:bCs w:val="1"/>
          <w:color w:val="231F20"/>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Convertible notes</w:t>
      </w:r>
    </w:p>
    <w:p>
      <w:pPr>
        <w:spacing w:after="0" w:line="229" w:lineRule="exact"/>
        <w:rPr>
          <w:rFonts w:ascii="Times New Roman" w:cs="Times New Roman" w:eastAsia="Times New Roman" w:hAnsi="Times New Roman"/>
          <w:sz w:val="18"/>
          <w:szCs w:val="18"/>
          <w:b w:val="1"/>
          <w:bCs w:val="1"/>
          <w:color w:val="231F20"/>
        </w:rPr>
      </w:pPr>
    </w:p>
    <w:p>
      <w:pPr>
        <w:ind w:left="5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convertible notes are measured at amortized cost, with any difference between the initial carrying value and the repayment amount recognized as interest expense using effective interest method over the period from issuance date to maturity date.</w:t>
      </w:r>
    </w:p>
    <w:p>
      <w:pPr>
        <w:spacing w:after="0" w:line="161" w:lineRule="exact"/>
        <w:rPr>
          <w:rFonts w:ascii="Times New Roman" w:cs="Times New Roman" w:eastAsia="Times New Roman" w:hAnsi="Times New Roman"/>
          <w:sz w:val="18"/>
          <w:szCs w:val="18"/>
          <w:b w:val="1"/>
          <w:bCs w:val="1"/>
          <w:color w:val="231F20"/>
        </w:rPr>
      </w:pPr>
    </w:p>
    <w:p>
      <w:pPr>
        <w:jc w:val="both"/>
        <w:ind w:left="520"/>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Group’s convertible notes are designated as at fair value through profit or loss such that the convertible notes are initially recognized at fair value. Subsequent to initial recognition, the amounts of changes in fair value of the convertible notes that are attributed to changes in own credit risk are presented in other comprehensive income and the remaining fair value changes are presented in the profit or loss.</w:t>
      </w:r>
    </w:p>
    <w:p>
      <w:pPr>
        <w:spacing w:after="0" w:line="175" w:lineRule="exact"/>
        <w:rPr>
          <w:rFonts w:ascii="Times New Roman" w:cs="Times New Roman" w:eastAsia="Times New Roman" w:hAnsi="Times New Roman"/>
          <w:sz w:val="18"/>
          <w:szCs w:val="18"/>
          <w:b w:val="1"/>
          <w:bCs w:val="1"/>
          <w:color w:val="231F20"/>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Derivative financial instruments-capped call options</w:t>
      </w:r>
    </w:p>
    <w:p>
      <w:pPr>
        <w:spacing w:after="0" w:line="229" w:lineRule="exact"/>
        <w:rPr>
          <w:rFonts w:ascii="Times New Roman" w:cs="Times New Roman" w:eastAsia="Times New Roman" w:hAnsi="Times New Roman"/>
          <w:sz w:val="18"/>
          <w:szCs w:val="18"/>
          <w:b w:val="1"/>
          <w:bCs w:val="1"/>
          <w:color w:val="231F20"/>
        </w:rPr>
      </w:pPr>
    </w:p>
    <w:p>
      <w:pPr>
        <w:ind w:left="52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costs for the capped call options are recorded as deduction of additional paid-in capital within total shareholders’ deficit.</w:t>
      </w:r>
    </w:p>
    <w:p>
      <w:pPr>
        <w:spacing w:after="0" w:line="225" w:lineRule="exact"/>
        <w:rPr>
          <w:rFonts w:ascii="Times New Roman" w:cs="Times New Roman" w:eastAsia="Times New Roman" w:hAnsi="Times New Roman"/>
          <w:sz w:val="18"/>
          <w:szCs w:val="18"/>
          <w:b w:val="1"/>
          <w:bCs w:val="1"/>
          <w:color w:val="231F20"/>
        </w:rPr>
      </w:pPr>
    </w:p>
    <w:p>
      <w:pPr>
        <w:ind w:left="520"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capped call options are recognized as financial assets at fair value through profit or loss such that they are initially recognized at fair value and subsequent to initial recognition, the amounts of changes in fair value are recognized in the profit or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Redeemable non-controlling interests</w:t>
      </w:r>
    </w:p>
    <w:p>
      <w:pPr>
        <w:spacing w:after="0" w:line="229" w:lineRule="exact"/>
        <w:rPr>
          <w:rFonts w:ascii="Times New Roman" w:cs="Times New Roman" w:eastAsia="Times New Roman" w:hAnsi="Times New Roman"/>
          <w:sz w:val="18"/>
          <w:szCs w:val="18"/>
          <w:b w:val="1"/>
          <w:bCs w:val="1"/>
          <w:color w:val="231F20"/>
        </w:rPr>
      </w:pPr>
    </w:p>
    <w:p>
      <w:pPr>
        <w:jc w:val="both"/>
        <w:ind w:left="520"/>
        <w:spacing w:after="0" w:line="25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SEC guidance provides for mezzanine-equity (temporary equity) category in addition to the financial liability and permanent equity categories. The purpose of this “in-between” category is to indicate that a security may not be a permanent part of equity. The Group classifies the redeemable non-controlling interests as mezzanine equity in the consolidated balance sheets and are recorded initially at fair value, net of issuance costs. The Group recognizes accretion to the respective redemption value of the redeemable non-controlling interests over the period starting from issuance date to the earliest redemption date. In addition, the Group recognizes the receivables from a redeemable non-controlling shareholder as a reduction of mezzanine equity.</w:t>
      </w:r>
    </w:p>
    <w:p>
      <w:pPr>
        <w:spacing w:after="0" w:line="187" w:lineRule="exact"/>
        <w:rPr>
          <w:rFonts w:ascii="Times New Roman" w:cs="Times New Roman" w:eastAsia="Times New Roman" w:hAnsi="Times New Roman"/>
          <w:sz w:val="18"/>
          <w:szCs w:val="18"/>
          <w:b w:val="1"/>
          <w:bCs w:val="1"/>
          <w:color w:val="231F20"/>
        </w:rPr>
      </w:pPr>
    </w:p>
    <w:p>
      <w:pPr>
        <w:jc w:val="both"/>
        <w:ind w:left="520"/>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Group’s obligation to purchase its own equity instruments for cash under a forward contract is recognized initially at the present value of the redemption amount and reclassified from equity. Subsequently, the financial liability is measured at amortized cost using the effective interest rate method in accordance with IFRS Accounting Standards. In addition, the Group recognizes the receivables from a redeemable non-controlling shareholder in assets given the Group has a contractual right to receive cash.</w:t>
      </w:r>
    </w:p>
    <w:p>
      <w:pPr>
        <w:spacing w:after="0" w:line="175" w:lineRule="exact"/>
        <w:rPr>
          <w:rFonts w:ascii="Times New Roman" w:cs="Times New Roman" w:eastAsia="Times New Roman" w:hAnsi="Times New Roman"/>
          <w:sz w:val="18"/>
          <w:szCs w:val="18"/>
          <w:b w:val="1"/>
          <w:bCs w:val="1"/>
          <w:color w:val="231F20"/>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Available-for-sale debt securities</w:t>
      </w:r>
    </w:p>
    <w:p>
      <w:pPr>
        <w:spacing w:after="0" w:line="229" w:lineRule="exact"/>
        <w:rPr>
          <w:rFonts w:ascii="Times New Roman" w:cs="Times New Roman" w:eastAsia="Times New Roman" w:hAnsi="Times New Roman"/>
          <w:sz w:val="18"/>
          <w:szCs w:val="18"/>
          <w:b w:val="1"/>
          <w:bCs w:val="1"/>
          <w:color w:val="231F20"/>
        </w:rPr>
      </w:pPr>
    </w:p>
    <w:p>
      <w:pPr>
        <w:jc w:val="both"/>
        <w:ind w:left="520"/>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available-for-sale debt securities classified within Level 3 are valued based on a model utilizing unobservable inputs which require significant management judgment and estimation. The Group reports available-for-sale debt securities at fair value at each balance sheet date with the aggregate unrealized gains and losses, net of tax, reflected in other comprehensive income.</w:t>
      </w:r>
    </w:p>
    <w:p>
      <w:pPr>
        <w:spacing w:after="0" w:line="175" w:lineRule="exact"/>
        <w:rPr>
          <w:rFonts w:ascii="Times New Roman" w:cs="Times New Roman" w:eastAsia="Times New Roman" w:hAnsi="Times New Roman"/>
          <w:sz w:val="18"/>
          <w:szCs w:val="18"/>
          <w:b w:val="1"/>
          <w:bCs w:val="1"/>
          <w:color w:val="231F20"/>
        </w:rPr>
      </w:pPr>
    </w:p>
    <w:p>
      <w:pPr>
        <w:jc w:val="both"/>
        <w:ind w:left="520" w:right="20"/>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since those debt investments could not meet the definition of the equity instrument from the perspective of issuer, and the contractual cashflow of these financial assets does not represent solely payments of principal and interest, thus they should be reclassified from long-term investments to financial assets measured at fair value through profit or loss such that they are initially recognized at fair values and subsequent to initial recognition, the amounts of changes in fair value are recognized in the profit or loss.</w:t>
      </w:r>
    </w:p>
    <w:p>
      <w:pPr>
        <w:spacing w:after="0" w:line="175" w:lineRule="exact"/>
        <w:rPr>
          <w:rFonts w:ascii="Times New Roman" w:cs="Times New Roman" w:eastAsia="Times New Roman" w:hAnsi="Times New Roman"/>
          <w:sz w:val="18"/>
          <w:szCs w:val="18"/>
          <w:b w:val="1"/>
          <w:bCs w:val="1"/>
          <w:color w:val="231F20"/>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Equity securities without readily determinable fair value</w:t>
      </w:r>
    </w:p>
    <w:p>
      <w:pPr>
        <w:spacing w:after="0" w:line="229" w:lineRule="exact"/>
        <w:rPr>
          <w:rFonts w:ascii="Times New Roman" w:cs="Times New Roman" w:eastAsia="Times New Roman" w:hAnsi="Times New Roman"/>
          <w:sz w:val="18"/>
          <w:szCs w:val="18"/>
          <w:b w:val="1"/>
          <w:bCs w:val="1"/>
          <w:color w:val="231F20"/>
        </w:rPr>
      </w:pPr>
    </w:p>
    <w:p>
      <w:pPr>
        <w:ind w:left="520"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Group elected to measure an equity security without a readily determinable fair value using a measurement alternative that measures the securities at cost minus impairment, if any, plus or minus changes resulting from qualifying observable price changes.</w:t>
      </w:r>
    </w:p>
    <w:p>
      <w:pPr>
        <w:spacing w:after="0" w:line="161" w:lineRule="exact"/>
        <w:rPr>
          <w:rFonts w:ascii="Times New Roman" w:cs="Times New Roman" w:eastAsia="Times New Roman" w:hAnsi="Times New Roman"/>
          <w:sz w:val="18"/>
          <w:szCs w:val="18"/>
          <w:b w:val="1"/>
          <w:bCs w:val="1"/>
          <w:color w:val="231F20"/>
        </w:rPr>
      </w:pPr>
    </w:p>
    <w:p>
      <w:pPr>
        <w:ind w:left="5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Group elected to measure the investments in equity instruments at fair value through other comprehensive income or loss (FVOCI). Fair value changes of these investments were recognized in the other comprehensive income or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492" w:hanging="492"/>
        <w:spacing w:after="0"/>
        <w:tabs>
          <w:tab w:leader="none" w:pos="492"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Leases</w:t>
      </w:r>
    </w:p>
    <w:p>
      <w:pPr>
        <w:spacing w:after="0" w:line="229" w:lineRule="exact"/>
        <w:rPr>
          <w:rFonts w:ascii="Times New Roman" w:cs="Times New Roman" w:eastAsia="Times New Roman" w:hAnsi="Times New Roman"/>
          <w:sz w:val="18"/>
          <w:szCs w:val="18"/>
          <w:b w:val="1"/>
          <w:bCs w:val="1"/>
          <w:color w:val="231F20"/>
        </w:rPr>
      </w:pPr>
    </w:p>
    <w:p>
      <w:pPr>
        <w:ind w:left="512"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for operating leases, the amortization of right-of-use assets and the interest expense element of lease liabilities are recorded together as lease expenses, which results in a straight-line recognition effect in profit or loss.</w:t>
      </w:r>
    </w:p>
    <w:p>
      <w:pPr>
        <w:spacing w:after="0" w:line="161" w:lineRule="exact"/>
        <w:rPr>
          <w:rFonts w:ascii="Times New Roman" w:cs="Times New Roman" w:eastAsia="Times New Roman" w:hAnsi="Times New Roman"/>
          <w:sz w:val="18"/>
          <w:szCs w:val="18"/>
          <w:b w:val="1"/>
          <w:bCs w:val="1"/>
          <w:color w:val="231F20"/>
        </w:rPr>
      </w:pPr>
    </w:p>
    <w:p>
      <w:pPr>
        <w:jc w:val="both"/>
        <w:ind w:left="512"/>
        <w:spacing w:after="0" w:line="261"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 right-of-use assets are generally depreciated on a straight-line basis while the interest expense related to the lease liabilities are measured under the effective interest method, which results in higher expenses in earlier periods and lower expenses in later periods. The amortization of the right-of-use assets is recorded as lease expense and the interest expense is required to be presented in separate line item.</w:t>
      </w:r>
    </w:p>
    <w:p>
      <w:pPr>
        <w:spacing w:after="0" w:line="175" w:lineRule="exact"/>
        <w:rPr>
          <w:rFonts w:ascii="Times New Roman" w:cs="Times New Roman" w:eastAsia="Times New Roman" w:hAnsi="Times New Roman"/>
          <w:sz w:val="18"/>
          <w:szCs w:val="18"/>
          <w:b w:val="1"/>
          <w:bCs w:val="1"/>
          <w:color w:val="231F20"/>
        </w:rPr>
      </w:pPr>
    </w:p>
    <w:p>
      <w:pPr>
        <w:ind w:left="492" w:hanging="492"/>
        <w:spacing w:after="0"/>
        <w:tabs>
          <w:tab w:leader="none" w:pos="492"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Warranty accrual</w:t>
      </w:r>
    </w:p>
    <w:p>
      <w:pPr>
        <w:spacing w:after="0" w:line="229" w:lineRule="exact"/>
        <w:rPr>
          <w:rFonts w:ascii="Times New Roman" w:cs="Times New Roman" w:eastAsia="Times New Roman" w:hAnsi="Times New Roman"/>
          <w:sz w:val="18"/>
          <w:szCs w:val="18"/>
          <w:b w:val="1"/>
          <w:bCs w:val="1"/>
          <w:color w:val="231F20"/>
        </w:rPr>
      </w:pPr>
    </w:p>
    <w:p>
      <w:pPr>
        <w:ind w:left="512"/>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the Group elected to record the warranty accrual without considering the discount impact given that the timing of cash payments for the warranty accrual is not fixed or determinable by the Group.</w:t>
      </w:r>
    </w:p>
    <w:p>
      <w:pPr>
        <w:spacing w:after="0" w:line="161" w:lineRule="exact"/>
        <w:rPr>
          <w:rFonts w:ascii="Times New Roman" w:cs="Times New Roman" w:eastAsia="Times New Roman" w:hAnsi="Times New Roman"/>
          <w:sz w:val="18"/>
          <w:szCs w:val="18"/>
          <w:b w:val="1"/>
          <w:bCs w:val="1"/>
          <w:color w:val="231F20"/>
        </w:rPr>
      </w:pPr>
    </w:p>
    <w:p>
      <w:pPr>
        <w:jc w:val="both"/>
        <w:ind w:left="512"/>
        <w:spacing w:after="0" w:line="266"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there is not an accounting policy choice and the initial amount of the warranty accrual is the present value of the anticipated cash flows expected to be required to settle the obligation. The carrying amount of the warranty accrual increases in each period to reflect the passage of time with said increase recognized as an interest expense.</w:t>
      </w:r>
    </w:p>
    <w:p>
      <w:pPr>
        <w:spacing w:after="0" w:line="171" w:lineRule="exact"/>
        <w:rPr>
          <w:rFonts w:ascii="Times New Roman" w:cs="Times New Roman" w:eastAsia="Times New Roman" w:hAnsi="Times New Roman"/>
          <w:sz w:val="18"/>
          <w:szCs w:val="18"/>
          <w:b w:val="1"/>
          <w:bCs w:val="1"/>
          <w:color w:val="231F20"/>
        </w:rPr>
      </w:pPr>
    </w:p>
    <w:p>
      <w:pPr>
        <w:ind w:left="492" w:hanging="492"/>
        <w:spacing w:after="0"/>
        <w:tabs>
          <w:tab w:leader="none" w:pos="492"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Software</w:t>
      </w:r>
    </w:p>
    <w:p>
      <w:pPr>
        <w:spacing w:after="0" w:line="229" w:lineRule="exact"/>
        <w:rPr>
          <w:rFonts w:ascii="Times New Roman" w:cs="Times New Roman" w:eastAsia="Times New Roman" w:hAnsi="Times New Roman"/>
          <w:sz w:val="18"/>
          <w:szCs w:val="18"/>
          <w:b w:val="1"/>
          <w:bCs w:val="1"/>
          <w:color w:val="231F20"/>
        </w:rPr>
      </w:pPr>
    </w:p>
    <w:p>
      <w:pPr>
        <w:ind w:left="512"/>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U.S. GAAP, software is not presented as intangible assets and so the Group records software in property, plant and equipment.</w:t>
      </w:r>
    </w:p>
    <w:p>
      <w:pPr>
        <w:spacing w:after="0" w:line="225" w:lineRule="exact"/>
        <w:rPr>
          <w:rFonts w:ascii="Times New Roman" w:cs="Times New Roman" w:eastAsia="Times New Roman" w:hAnsi="Times New Roman"/>
          <w:sz w:val="18"/>
          <w:szCs w:val="18"/>
          <w:b w:val="1"/>
          <w:bCs w:val="1"/>
          <w:color w:val="231F20"/>
        </w:rPr>
      </w:pPr>
    </w:p>
    <w:p>
      <w:pPr>
        <w:ind w:left="512" w:right="20"/>
        <w:spacing w:after="0" w:line="282" w:lineRule="auto"/>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Under IFRS Accounting Standards, software is reported under the intangible assets category. Accordingly, software is reclassified from property, plant and equipment to intangible assets.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231F20"/>
        </w:rPr>
        <w:t>APPENDIX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Weighted Voting Rights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Our Company is controlled through weighted voting rights (“</w:t>
      </w:r>
      <w:r>
        <w:rPr>
          <w:rFonts w:ascii="Times New Roman" w:cs="Times New Roman" w:eastAsia="Times New Roman" w:hAnsi="Times New Roman"/>
          <w:sz w:val="18"/>
          <w:szCs w:val="18"/>
          <w:b w:val="1"/>
          <w:bCs w:val="1"/>
          <w:color w:val="231F20"/>
        </w:rPr>
        <w:t>WVR</w:t>
      </w:r>
      <w:r>
        <w:rPr>
          <w:rFonts w:ascii="Times New Roman" w:cs="Times New Roman" w:eastAsia="Times New Roman" w:hAnsi="Times New Roman"/>
          <w:sz w:val="18"/>
          <w:szCs w:val="18"/>
          <w:color w:val="231F20"/>
        </w:rPr>
        <w:t>”). Under our WVR structure, each Class A ordinary share entitles the holder to exercise one vote, and each Class C ordinary share entitles the holder to exercise eight votes, on any resolution tabled at our general meetings, subject to Rule 8A.24 of the Hong Kong Listing Rules that requires certain matters (the “</w:t>
      </w:r>
      <w:r>
        <w:rPr>
          <w:rFonts w:ascii="Times New Roman" w:cs="Times New Roman" w:eastAsia="Times New Roman" w:hAnsi="Times New Roman"/>
          <w:sz w:val="18"/>
          <w:szCs w:val="18"/>
          <w:b w:val="1"/>
          <w:bCs w:val="1"/>
          <w:color w:val="231F20"/>
        </w:rPr>
        <w:t>Reserved Matters</w:t>
      </w:r>
      <w:r>
        <w:rPr>
          <w:rFonts w:ascii="Times New Roman" w:cs="Times New Roman" w:eastAsia="Times New Roman" w:hAnsi="Times New Roman"/>
          <w:sz w:val="18"/>
          <w:szCs w:val="18"/>
          <w:color w:val="231F20"/>
        </w:rPr>
        <w:t>”) to be voted on a one vote per share basis.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 xml:space="preserve">Our WVR structure enables our founder, Mr. Bin Li (the “ </w:t>
      </w:r>
      <w:r>
        <w:rPr>
          <w:rFonts w:ascii="Times New Roman" w:cs="Times New Roman" w:eastAsia="Times New Roman" w:hAnsi="Times New Roman"/>
          <w:sz w:val="18"/>
          <w:szCs w:val="18"/>
          <w:b w:val="1"/>
          <w:bCs w:val="1"/>
          <w:color w:val="231F20"/>
        </w:rPr>
        <w:t>WVR Beneficiary</w:t>
      </w:r>
      <w:r>
        <w:rPr>
          <w:rFonts w:ascii="Times New Roman" w:cs="Times New Roman" w:eastAsia="Times New Roman" w:hAnsi="Times New Roman"/>
          <w:sz w:val="18"/>
          <w:szCs w:val="18"/>
          <w:color w:val="231F20"/>
        </w:rPr>
        <w:t>”), controlling the Class C ordinary shares through Originalwish Limited, mobike Global Ltd. and NIO Users Limited, to exercise voting control over our Company notwithstanding the WVR Beneficiary does not hold a majority economic interest in the share capital of our Company. This will enable us to benefit from the continuing vision and leadership of our WVR Beneficiary who will control our Company with a view to our long-term prospects and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Shareholders and prospective investors are advised to be aware of the potential risks of investing in our Company with a WVR structure, in particular that the interests of the WVR Beneficiary may not necessarily always be aligned with those of the shareholders as a whole, and that the WVR Beneficiary will be in a position to exert significant influence over the affairs of our Company and the outcome of shareholders’ resolutions, irrespective of how other shareholders vote. Shareholders and prospective investors should make the decision to invest in our Company only after due and careful consideration.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As of June 30, 2024, Mr. Bin Li was interested in and controlled through (a) Originalwish Limited, 89,013,451 Class C ordinary shares, (b) mobike Global Ltd., 26,454,325 Class C ordinary shares, (c) NIO Users Limited, 14,967,776 Class A ordinary shares and 33,032,224 Class C ordinary shares, and (d) NIO Users Community Limited, 2,000,000 Class A ordinary shares, which in total amounts to 16,967,776 Class A ordinary shares and 148,500,000 Class C ordinary shares on an aggregate basis, representing approximately 38.5% of the voting rights in our Company with respect to shareholders’ resolutions relating to matters other than certain Reserved Matters, calculated based on 2,090,434,842 issued and outstanding ordinary shares as of June 30, 2024, comprising of 1,941,934,842 Class A ordinary shares (excluding 7,366,381 Class A ordinary shares issued and reserved for future issuance upon the exercising or vesting of awards granted under our stock incentive plans) and 148,500,000 Class C ordinary shares.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NIO Users Community Limited is a British Virgin Islands company wholly owned by NIO Users Limited. NIO Users Limited is a British Virgin Islands holding company wholly owned by Maples Trustee Services (Cayman) Limited in its capacity as trustee of NIO Users Trust, a trust in which Mr. Bin Li is the settlor, protector, investment advisor and the only existing </w:t>
      </w:r>
      <w:r>
        <w:rPr>
          <w:rFonts w:ascii="Times New Roman" w:cs="Times New Roman" w:eastAsia="Times New Roman" w:hAnsi="Times New Roman"/>
          <w:sz w:val="18"/>
          <w:szCs w:val="18"/>
          <w:i w:val="1"/>
          <w:iCs w:val="1"/>
          <w:color w:val="231F20"/>
        </w:rPr>
        <w:t>de facto</w:t>
      </w:r>
      <w:r>
        <w:rPr>
          <w:rFonts w:ascii="Times New Roman" w:cs="Times New Roman" w:eastAsia="Times New Roman" w:hAnsi="Times New Roman"/>
          <w:sz w:val="18"/>
          <w:szCs w:val="18"/>
          <w:color w:val="231F20"/>
        </w:rPr>
        <w:t xml:space="preserve"> beneficiary as of June 30, 2024. Mr. Bin Li has the power to direct the trustee with respect to the retention or disposal of, and the exercise of any voting and other rights attached to, the shares held by NIO Users Community Limited and NIO Users Limited in our Company. Originalwish Limited and mobike Global Ltd. are British Virgin Island companies wholly owned by Mr. Bin Li.</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In the event that the holder of Class C ordinary shares elects to convert the Class C ordinary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to Class A ordinary shares, each Class C ordinary share may be converted into one Class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ordinary share on a one-to-one ratio. Upon the conversion of all the issued and outstanding </w:t>
      </w:r>
      <w:r>
        <w:rPr>
          <w:rFonts w:ascii="Times New Roman" w:cs="Times New Roman" w:eastAsia="Times New Roman" w:hAnsi="Times New Roman"/>
          <w:sz w:val="18"/>
          <w:szCs w:val="18"/>
          <w:color w:val="000000"/>
        </w:rPr>
        <w:t>Class C ordinary shares,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will re-designate them into 148,500,000 Class A ordinary shares, representing approximately 7.1% of the total issued and outstanding shares of our Company (excluding 7,366,381 Class A ordinary shares issued and reserved for future issuance upon the exercising or vesting of awards granted under our stock incentive plans) as of June 30,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231F20"/>
        </w:rPr>
        <w:t>The WVR attached to the Class C ordinary shares will cease when the WVR Beneficiary no longer has any beneficial ownership of any of the Class C ordinary shares, in accordance with Rule 8A.22 of the Hong Kong Listing Rules. This may occur:</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231F20"/>
              </w:rPr>
              <w:t>(i)</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upon   the</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occurrence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of</w:t>
            </w:r>
          </w:p>
        </w:tc>
        <w:tc>
          <w:tcPr>
            <w:tcW w:w="2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231F20"/>
              </w:rPr>
              <w:t>any   of   the   circumstances   set</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out   in   Rule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8A.17   of</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the   Hong   Kong   Listing   Rules,</w:t>
            </w:r>
          </w:p>
        </w:tc>
      </w:tr>
      <w:tr>
        <w:trPr>
          <w:trHeight w:val="212"/>
        </w:trPr>
        <w:tc>
          <w:tcPr>
            <w:tcW w:w="34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in particular</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where the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WVR</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Beneficiary is: (1)</w:t>
            </w:r>
          </w:p>
        </w:tc>
        <w:tc>
          <w:tcPr>
            <w:tcW w:w="6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deceased; (2) no longer a member of the board; (3) deemed by The Stock Exchange of Hong</w:t>
            </w:r>
          </w:p>
        </w:tc>
      </w:tr>
      <w:tr>
        <w:trPr>
          <w:trHeight w:val="220"/>
        </w:trPr>
        <w:tc>
          <w:tcPr>
            <w:tcW w:w="340" w:type="dxa"/>
            <w:vAlign w:val="bottom"/>
          </w:tcPr>
          <w:p>
            <w:pPr>
              <w:spacing w:after="0"/>
              <w:rPr>
                <w:sz w:val="19"/>
                <w:szCs w:val="19"/>
                <w:color w:val="auto"/>
              </w:rPr>
            </w:pPr>
          </w:p>
        </w:tc>
        <w:tc>
          <w:tcPr>
            <w:tcW w:w="39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231F20"/>
              </w:rPr>
              <w:t>Kong Limited (the “</w:t>
            </w:r>
            <w:r>
              <w:rPr>
                <w:rFonts w:ascii="Times New Roman" w:cs="Times New Roman" w:eastAsia="Times New Roman" w:hAnsi="Times New Roman"/>
                <w:sz w:val="18"/>
                <w:szCs w:val="18"/>
                <w:b w:val="1"/>
                <w:bCs w:val="1"/>
                <w:color w:val="231F20"/>
              </w:rPr>
              <w:t>Hong Kong Stock Exchange</w:t>
            </w:r>
            <w:r>
              <w:rPr>
                <w:rFonts w:ascii="Times New Roman" w:cs="Times New Roman" w:eastAsia="Times New Roman" w:hAnsi="Times New Roman"/>
                <w:sz w:val="18"/>
                <w:szCs w:val="18"/>
                <w:color w:val="231F20"/>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to be incapacitated</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for the purpose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of performing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his duties as a director; or (4) deemed by</w:t>
            </w:r>
          </w:p>
        </w:tc>
      </w:tr>
      <w:tr>
        <w:trPr>
          <w:trHeight w:val="234"/>
        </w:trPr>
        <w:tc>
          <w:tcPr>
            <w:tcW w:w="340" w:type="dxa"/>
            <w:vAlign w:val="bottom"/>
          </w:tcPr>
          <w:p>
            <w:pPr>
              <w:spacing w:after="0"/>
              <w:rPr>
                <w:sz w:val="20"/>
                <w:szCs w:val="20"/>
                <w:color w:val="auto"/>
              </w:rPr>
            </w:pPr>
          </w:p>
        </w:tc>
        <w:tc>
          <w:tcPr>
            <w:tcW w:w="1084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231F20"/>
              </w:rPr>
              <w:t>the Hong Kong Stock Exchange to no longer meet the requirements of a director set out in the Hong Kong Listing Rules;</w:t>
            </w:r>
          </w:p>
        </w:tc>
      </w:tr>
    </w:tbl>
    <w:p>
      <w:pPr>
        <w:spacing w:after="0" w:line="198" w:lineRule="exact"/>
        <w:rPr>
          <w:sz w:val="20"/>
          <w:szCs w:val="20"/>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 the WVR Beneficiary has transferred to another person the beneficial ownership of, or economic interest in, all of the Class C ordinary shares or the voting rights attached to them, other than in the circumstances permitted by Rule 8A.18 of the Hong Kong Listing Rules;</w:t>
      </w:r>
    </w:p>
    <w:p>
      <w:pPr>
        <w:spacing w:after="0" w:line="161" w:lineRule="exact"/>
        <w:rPr>
          <w:rFonts w:ascii="Times New Roman" w:cs="Times New Roman" w:eastAsia="Times New Roman" w:hAnsi="Times New Roman"/>
          <w:sz w:val="18"/>
          <w:szCs w:val="18"/>
          <w:color w:val="231F20"/>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a vehicle holding Class C ordinary shares on behalf of a WVR Beneficiary no longer complies with Rule 8A.18(2) of the Hong Kong Listing Rules; or</w:t>
      </w:r>
    </w:p>
    <w:p>
      <w:pPr>
        <w:spacing w:after="0" w:line="161"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 all of the Class C ordinary shares have been converted to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Roles of WVR Beneficiary in NIO Users Trust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During the six months ended June 30, 2024, Mr. Bin Li is the settlor, the protector, the investment advisor and the only existing de facto beneficiary of NIO Users Trust and continues to retain the voting rights of the shares in our Company controlled by NIO Users Trust and held by NIO Users Limited. Mr. Li has been the only existing </w:t>
      </w:r>
      <w:r>
        <w:rPr>
          <w:rFonts w:ascii="Times New Roman" w:cs="Times New Roman" w:eastAsia="Times New Roman" w:hAnsi="Times New Roman"/>
          <w:sz w:val="18"/>
          <w:szCs w:val="18"/>
          <w:i w:val="1"/>
          <w:iCs w:val="1"/>
          <w:color w:val="231F20"/>
        </w:rPr>
        <w:t>de facto</w:t>
      </w:r>
      <w:r>
        <w:rPr>
          <w:rFonts w:ascii="Times New Roman" w:cs="Times New Roman" w:eastAsia="Times New Roman" w:hAnsi="Times New Roman"/>
          <w:sz w:val="18"/>
          <w:szCs w:val="18"/>
          <w:color w:val="231F20"/>
        </w:rPr>
        <w:t xml:space="preserve"> beneficiary who has been specifically named and identified under the trust deed (the “</w:t>
      </w:r>
      <w:r>
        <w:rPr>
          <w:rFonts w:ascii="Times New Roman" w:cs="Times New Roman" w:eastAsia="Times New Roman" w:hAnsi="Times New Roman"/>
          <w:sz w:val="18"/>
          <w:szCs w:val="18"/>
          <w:b w:val="1"/>
          <w:bCs w:val="1"/>
          <w:color w:val="231F20"/>
        </w:rPr>
        <w:t>Trust Deed</w:t>
      </w:r>
      <w:r>
        <w:rPr>
          <w:rFonts w:ascii="Times New Roman" w:cs="Times New Roman" w:eastAsia="Times New Roman" w:hAnsi="Times New Roman"/>
          <w:sz w:val="18"/>
          <w:szCs w:val="18"/>
          <w:color w:val="231F20"/>
        </w:rPr>
        <w:t>”) of NIO Users Trust and has full control over the NIO Users Trust as the sole settlor, sole protector and sole investment advisor since its establishment, although two other categories of beneficiaries were written in the Trust Deed, including (i) charities (which refers to any company, body or trust which is (a) charitable in the place where it is situated, registered, incorporated or established and (b) charitable under the laws of the Cayman Islands) and (ii) any person or class of persons added to the class of beneficiaries by the protector by deed delivered to the trustee. As of June 30, 2024, no charity has been identified as the beneficiary and no other person or class of persons has been added by Mr. Li as the protector to the class of beneficiaries. Therefore, Mr. Li has the sole control over the voting rights attached to the shares, including Class C ordinary shares, held by NIO Users Limited and Mr. Li is the only person with economic interest in the trust fund.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Any changes to the roles of the (i) protector, (ii) investment advisor or (iii) beneficiary of NIO Users Trust will have material impact on our WVR structure due to the power entrusted to them (in the case of the investment advisor and the protector) or the economic interests vested in them (in the case of the beneficiary) in the Class C ordinary shares held by NIO Users Limited. Upon the change of any of such roles to any person other than Mr. Bin Li, the beneficial ownership of, or the economic interest in, the Class C ordinary shares or the control over the voting rights attached to the shares held by NIO Users Limited will no longer be solely vested in Mr. Bin Li. Mr. Bin Li may cease to be a protector or investment advisor in the event of death, resignation by written notice to the trustee, or refusal, unfitness or incapacity to act. In such circumstances, the Class C ordinary shares held by NIO Users Limited will be automatically converted to Class A ordinary shares pursuant to Rule 8A.18(1) of the Hong Kong Listing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231F20"/>
        </w:rPr>
        <w:t>During the six months ended June 30, 2024, there has been no material change to the powers, rights and obligations of the (i) protector, (ii) investment advisor, or (iii) beneficiary of NIO Users Trust that would have any material impact on our WVR 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Nominating and ESG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applicable requirements in relation to corporate governance as set out in Chapter 8A of the Hong Kong Listing Rules became applicable to us since March 10, 2022, the date on which listing of and dealings in our Class A ordinary shares first commenced on the Hong Kong Stock Exchange.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have established the Nominating and ESG Committee in compliance with Rules 8A.27, 8A.28 and 8A.30 of the Hong Kong Listing Rules. All of the members of the Nominating and ESG Committee are independent directors, namely, Ms. Yu Long, Mr. Denny Ting Bun Lee and Mr. Hai Wu. Ms. Yu Long is the chairwoman of the Nominating and ESG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is a summary of work that has been performed by the Nominating and ESG Committee during the six months ended June 30, 2024 in respect of its corporate governance functions as well as other functions under its terms of reference:</w:t>
      </w:r>
    </w:p>
    <w:p>
      <w:pPr>
        <w:spacing w:after="0" w:line="16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Made recommendations on the frequency and structure of board meetings and monitored the functioning of the committees of the board.</w:t>
      </w:r>
    </w:p>
    <w:p>
      <w:pPr>
        <w:spacing w:after="0" w:line="225" w:lineRule="exact"/>
        <w:rPr>
          <w:rFonts w:ascii="Times New Roman" w:cs="Times New Roman" w:eastAsia="Times New Roman" w:hAnsi="Times New Roman"/>
          <w:sz w:val="18"/>
          <w:szCs w:val="18"/>
          <w:color w:val="231F20"/>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and monitored the adequacy of the policies and practices of our Company on corporate governance and on compliance with legal and regulatory requirements.</w:t>
      </w:r>
    </w:p>
    <w:p>
      <w:pPr>
        <w:spacing w:after="0" w:line="161" w:lineRule="exact"/>
        <w:rPr>
          <w:rFonts w:ascii="Times New Roman" w:cs="Times New Roman" w:eastAsia="Times New Roman" w:hAnsi="Times New Roman"/>
          <w:sz w:val="18"/>
          <w:szCs w:val="18"/>
          <w:color w:val="231F20"/>
        </w:rPr>
      </w:pPr>
    </w:p>
    <w:p>
      <w:pPr>
        <w:jc w:val="both"/>
        <w:ind w:left="500" w:hanging="492"/>
        <w:spacing w:after="0" w:line="266"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our Company’s compliance with the Corporate Governance Code set out in Appendix C1 to the Hong Kong Listing Rules (the “</w:t>
      </w:r>
      <w:r>
        <w:rPr>
          <w:rFonts w:ascii="Times New Roman" w:cs="Times New Roman" w:eastAsia="Times New Roman" w:hAnsi="Times New Roman"/>
          <w:sz w:val="18"/>
          <w:szCs w:val="18"/>
          <w:b w:val="1"/>
          <w:bCs w:val="1"/>
          <w:color w:val="231F20"/>
        </w:rPr>
        <w:t>Corporate Governance Code</w:t>
      </w:r>
      <w:r>
        <w:rPr>
          <w:rFonts w:ascii="Times New Roman" w:cs="Times New Roman" w:eastAsia="Times New Roman" w:hAnsi="Times New Roman"/>
          <w:sz w:val="18"/>
          <w:szCs w:val="18"/>
          <w:color w:val="231F20"/>
        </w:rPr>
        <w:t>”) to the extent required by Chapter 8A of the Hong Kong Listing Rules and our Company’s disclosure for compliance with Chapter 8A of the Hong Kong Listing Rules.</w:t>
      </w:r>
    </w:p>
    <w:p>
      <w:pPr>
        <w:spacing w:after="0" w:line="175" w:lineRule="exact"/>
        <w:rPr>
          <w:rFonts w:ascii="Times New Roman" w:cs="Times New Roman" w:eastAsia="Times New Roman" w:hAnsi="Times New Roman"/>
          <w:sz w:val="18"/>
          <w:szCs w:val="18"/>
          <w:color w:val="231F20"/>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and monitored the management of conflicts of interest between our Company and its subsidiaries and consolidated affiliated entities (the “</w:t>
      </w:r>
      <w:r>
        <w:rPr>
          <w:rFonts w:ascii="Times New Roman" w:cs="Times New Roman" w:eastAsia="Times New Roman" w:hAnsi="Times New Roman"/>
          <w:sz w:val="18"/>
          <w:szCs w:val="18"/>
          <w:b w:val="1"/>
          <w:bCs w:val="1"/>
          <w:color w:val="231F20"/>
        </w:rPr>
        <w:t>Group</w:t>
      </w:r>
      <w:r>
        <w:rPr>
          <w:rFonts w:ascii="Times New Roman" w:cs="Times New Roman" w:eastAsia="Times New Roman" w:hAnsi="Times New Roman"/>
          <w:sz w:val="18"/>
          <w:szCs w:val="18"/>
          <w:color w:val="231F20"/>
        </w:rPr>
        <w:t>”), and/or the shareholders on one hand and the WVR Beneficiary on the other.</w:t>
      </w:r>
    </w:p>
    <w:p>
      <w:pPr>
        <w:spacing w:after="0" w:line="161" w:lineRule="exact"/>
        <w:rPr>
          <w:rFonts w:ascii="Times New Roman" w:cs="Times New Roman" w:eastAsia="Times New Roman" w:hAnsi="Times New Roman"/>
          <w:sz w:val="18"/>
          <w:szCs w:val="18"/>
          <w:color w:val="231F20"/>
        </w:rPr>
      </w:pPr>
    </w:p>
    <w:p>
      <w:pPr>
        <w:ind w:left="500" w:right="20" w:hanging="492"/>
        <w:spacing w:after="0" w:line="282"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and monitored all risks related to the WVR structure, including any connected transactions between the Group on one hand and any WVR Beneficiary on the other, and made recommendation to the board on any such transaction.</w:t>
      </w:r>
    </w:p>
    <w:p>
      <w:pPr>
        <w:spacing w:after="0" w:line="161" w:lineRule="exact"/>
        <w:rPr>
          <w:rFonts w:ascii="Times New Roman" w:cs="Times New Roman" w:eastAsia="Times New Roman" w:hAnsi="Times New Roman"/>
          <w:sz w:val="18"/>
          <w:szCs w:val="18"/>
          <w:color w:val="231F20"/>
        </w:rPr>
      </w:pPr>
    </w:p>
    <w:p>
      <w:pPr>
        <w:ind w:left="500" w:right="20" w:hanging="492"/>
        <w:spacing w:after="0" w:line="282"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the arrangements for the training and continuous professional development of directors and senior management (in particular, Chapter 8A of the Hong Kong Listing Rules and knowledge in relation to the risks relating to the weighted voting rights structure).</w:t>
      </w:r>
    </w:p>
    <w:p>
      <w:pPr>
        <w:spacing w:after="0" w:line="161" w:lineRule="exact"/>
        <w:rPr>
          <w:rFonts w:ascii="Times New Roman" w:cs="Times New Roman" w:eastAsia="Times New Roman" w:hAnsi="Times New Roman"/>
          <w:sz w:val="18"/>
          <w:szCs w:val="18"/>
          <w:color w:val="231F20"/>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Sought to ensure effective and ongoing communication between our Company and its shareholders, particularly with regard to the requirements of Rule 8A.35 of the Hong Kong Listing Rules.</w:t>
      </w:r>
    </w:p>
    <w:p>
      <w:pPr>
        <w:spacing w:after="0" w:line="161"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Reviewed the structure, size and composition (including the skills, knowledge and experience) of the board as a whole.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540" w:hanging="478"/>
        <w:spacing w:after="0" w:line="282" w:lineRule="auto"/>
        <w:tabs>
          <w:tab w:leader="none" w:pos="5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Identified and interviewed individuals suitably qualified to become board members and select or make recommendations to the board on the selection of individuals nominated for directorships.</w:t>
      </w:r>
    </w:p>
    <w:p>
      <w:pPr>
        <w:spacing w:after="0" w:line="161" w:lineRule="exact"/>
        <w:rPr>
          <w:rFonts w:ascii="Times New Roman" w:cs="Times New Roman" w:eastAsia="Times New Roman" w:hAnsi="Times New Roman"/>
          <w:sz w:val="18"/>
          <w:szCs w:val="18"/>
          <w:color w:val="231F20"/>
        </w:rPr>
      </w:pPr>
    </w:p>
    <w:p>
      <w:pPr>
        <w:ind w:left="540" w:hanging="478"/>
        <w:spacing w:after="0"/>
        <w:tabs>
          <w:tab w:leader="none" w:pos="5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Made recommendations to the board on the appointment or re-appointment of directors and succession planning for directors.</w:t>
      </w:r>
    </w:p>
    <w:p>
      <w:pPr>
        <w:spacing w:after="0" w:line="225" w:lineRule="exact"/>
        <w:rPr>
          <w:rFonts w:ascii="Times New Roman" w:cs="Times New Roman" w:eastAsia="Times New Roman" w:hAnsi="Times New Roman"/>
          <w:sz w:val="18"/>
          <w:szCs w:val="18"/>
          <w:color w:val="231F20"/>
        </w:rPr>
      </w:pPr>
    </w:p>
    <w:p>
      <w:pPr>
        <w:ind w:left="560" w:hanging="485"/>
        <w:spacing w:after="0"/>
        <w:tabs>
          <w:tab w:leader="none" w:pos="56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Reviewed committee assignments and the policy on the rotation of committee memberships and/or chairpersonships.</w:t>
      </w:r>
    </w:p>
    <w:p>
      <w:pPr>
        <w:spacing w:after="0" w:line="225" w:lineRule="exact"/>
        <w:rPr>
          <w:rFonts w:ascii="Times New Roman" w:cs="Times New Roman" w:eastAsia="Times New Roman" w:hAnsi="Times New Roman"/>
          <w:sz w:val="18"/>
          <w:szCs w:val="18"/>
          <w:color w:val="231F20"/>
        </w:rPr>
      </w:pPr>
    </w:p>
    <w:p>
      <w:pPr>
        <w:ind w:left="540" w:hanging="478"/>
        <w:spacing w:after="0"/>
        <w:tabs>
          <w:tab w:leader="none" w:pos="5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Reported on the work of the Nominating and ESG Committee on a half-yearly basis covering areas of its terms of reference.</w:t>
      </w:r>
    </w:p>
    <w:p>
      <w:pPr>
        <w:spacing w:after="0" w:line="225" w:lineRule="exact"/>
        <w:rPr>
          <w:rFonts w:ascii="Times New Roman" w:cs="Times New Roman" w:eastAsia="Times New Roman" w:hAnsi="Times New Roman"/>
          <w:sz w:val="18"/>
          <w:szCs w:val="18"/>
          <w:color w:val="231F20"/>
        </w:rPr>
      </w:pPr>
    </w:p>
    <w:p>
      <w:pPr>
        <w:jc w:val="both"/>
        <w:ind w:left="540" w:hanging="478"/>
        <w:spacing w:after="0" w:line="266" w:lineRule="auto"/>
        <w:tabs>
          <w:tab w:leader="none" w:pos="5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Advised the board periodically with respect to significant developments in the law and practice of corporate governance as well as our Company’s compliance with applicable laws and regulations, and made recommendations to the board on all matters of corporate governance and on any corrective action to be taken.</w:t>
      </w:r>
    </w:p>
    <w:p>
      <w:pPr>
        <w:spacing w:after="0" w:line="175" w:lineRule="exact"/>
        <w:rPr>
          <w:rFonts w:ascii="Times New Roman" w:cs="Times New Roman" w:eastAsia="Times New Roman" w:hAnsi="Times New Roman"/>
          <w:sz w:val="18"/>
          <w:szCs w:val="18"/>
          <w:color w:val="231F20"/>
        </w:rPr>
      </w:pPr>
    </w:p>
    <w:p>
      <w:pPr>
        <w:jc w:val="both"/>
        <w:ind w:left="540" w:hanging="478"/>
        <w:spacing w:after="0" w:line="266" w:lineRule="auto"/>
        <w:tabs>
          <w:tab w:leader="none" w:pos="5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Evaluated the performance of the Nominating and ESG Committee by: (i) reviewing whether the committee charter appropriately addresses the matters that are or should be within the work scope of the Nominating and ESG Committee; and (ii) address matters that the Nominating and ESG Committee considers relevant to its performance.</w:t>
      </w:r>
    </w:p>
    <w:p>
      <w:pPr>
        <w:spacing w:after="0" w:line="175" w:lineRule="exact"/>
        <w:rPr>
          <w:rFonts w:ascii="Times New Roman" w:cs="Times New Roman" w:eastAsia="Times New Roman" w:hAnsi="Times New Roman"/>
          <w:sz w:val="18"/>
          <w:szCs w:val="18"/>
          <w:color w:val="231F20"/>
        </w:rPr>
      </w:pPr>
    </w:p>
    <w:p>
      <w:pPr>
        <w:ind w:left="580" w:hanging="478"/>
        <w:spacing w:after="0"/>
        <w:tabs>
          <w:tab w:leader="none" w:pos="580" w:val="left"/>
        </w:tabs>
        <w:numPr>
          <w:ilvl w:val="2"/>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Reviewed the remuneration and terms of engagement of the compliance advisor.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In particular, the Nominating and ESG Committee has confirmed to the board it is of the view that our Company has adopted sufficient corporate governance measures to manage the potential conflict of interest between our Group or shareholder on one hand and WVR Beneficiary on the other, in order to ensure that the operations and management of our Company are in the interests of the shareholders as a whole indiscriminately. These measures include the Nominating and ESG Committee (i) reviewing and monitoring transactions contemplated to be entered into by the Group and making a recommendation to the board on any matter where there is a potential conflict of interest, and (ii) ensuring that (a) any transactions between our Group and WVR Beneficiary are disclosed and dealt with in accordance with the requirements of the Hong Kong Listing Rules applicable to us, (b) the terms of transactions between our Group and WVR Beneficiary are fair and reasonable and in the interest of our Company and shareholders as a whole, (c) any directors who have a conflict of interest abstain from voting on the relevant board resolution, and (d) the compliance advisor is consulted on any matters related to transactions between our Group and the WVR Beneficiary or involving a potential conflict of interest. The Nominating and ESG Committee recommended the board continue the implementation of these measures and periodically review their efficacy towards these objectives.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231F20"/>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Shareholders’ protection during the period while our Company maintains its secondary listing status on the Hong Kong Stock Exchange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In the thirteenth amended and restated articles of association of our Company (the “</w:t>
      </w:r>
      <w:r>
        <w:rPr>
          <w:rFonts w:ascii="Times New Roman" w:cs="Times New Roman" w:eastAsia="Times New Roman" w:hAnsi="Times New Roman"/>
          <w:sz w:val="18"/>
          <w:szCs w:val="18"/>
          <w:b w:val="1"/>
          <w:bCs w:val="1"/>
          <w:color w:val="231F20"/>
        </w:rPr>
        <w:t>Thirteenth Amended and Restated Articles</w:t>
      </w:r>
      <w:r>
        <w:rPr>
          <w:rFonts w:ascii="Times New Roman" w:cs="Times New Roman" w:eastAsia="Times New Roman" w:hAnsi="Times New Roman"/>
          <w:sz w:val="18"/>
          <w:szCs w:val="18"/>
          <w:color w:val="231F20"/>
        </w:rPr>
        <w:t>”), we refer to the period commencing from the date on which any of our shares first become secondary listed on the Hong Kong Stock Exchange to and including the date immediately before the day which the secondary listing is withdrawn from the Hong Kong Stock Exchange as the relevant period (the “</w:t>
      </w:r>
      <w:r>
        <w:rPr>
          <w:rFonts w:ascii="Times New Roman" w:cs="Times New Roman" w:eastAsia="Times New Roman" w:hAnsi="Times New Roman"/>
          <w:sz w:val="18"/>
          <w:szCs w:val="18"/>
          <w:b w:val="1"/>
          <w:bCs w:val="1"/>
          <w:color w:val="231F20"/>
        </w:rPr>
        <w:t>Relevant Period</w:t>
      </w:r>
      <w:r>
        <w:rPr>
          <w:rFonts w:ascii="Times New Roman" w:cs="Times New Roman" w:eastAsia="Times New Roman" w:hAnsi="Times New Roman"/>
          <w:sz w:val="18"/>
          <w:szCs w:val="18"/>
          <w:color w:val="231F20"/>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During the Relevant Period:</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NIO Users Trust will not have any director nomination right;</w:t>
      </w:r>
    </w:p>
    <w:p>
      <w:pPr>
        <w:spacing w:after="0" w:line="225" w:lineRule="exact"/>
        <w:rPr>
          <w:rFonts w:ascii="Times New Roman" w:cs="Times New Roman" w:eastAsia="Times New Roman" w:hAnsi="Times New Roman"/>
          <w:sz w:val="18"/>
          <w:szCs w:val="18"/>
          <w:color w:val="231F20"/>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shall have only one class of shares with enhanced or weighted voting rights;</w:t>
      </w:r>
    </w:p>
    <w:p>
      <w:pPr>
        <w:spacing w:after="0" w:line="225" w:lineRule="exact"/>
        <w:rPr>
          <w:rFonts w:ascii="Times New Roman" w:cs="Times New Roman" w:eastAsia="Times New Roman" w:hAnsi="Times New Roman"/>
          <w:sz w:val="18"/>
          <w:szCs w:val="18"/>
          <w:color w:val="231F20"/>
        </w:rPr>
      </w:pPr>
    </w:p>
    <w:p>
      <w:pPr>
        <w:ind w:left="520" w:right="20" w:hanging="512"/>
        <w:spacing w:after="0" w:line="282" w:lineRule="auto"/>
        <w:tabs>
          <w:tab w:leader="none" w:pos="5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directors shall not have the power to, amongst others, authorize the division of shares, designate a new share class with enhanced voting rights or the issue of preferred shares; and</w:t>
      </w:r>
    </w:p>
    <w:p>
      <w:pPr>
        <w:spacing w:after="0" w:line="162" w:lineRule="exact"/>
        <w:rPr>
          <w:sz w:val="20"/>
          <w:szCs w:val="20"/>
          <w:color w:val="auto"/>
        </w:rPr>
      </w:pPr>
    </w:p>
    <w:p>
      <w:pPr>
        <w:jc w:val="both"/>
        <w:ind w:left="520" w:hanging="51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231F20"/>
        </w:rPr>
        <w:t>(iv)</w:t>
        <w:tab/>
        <w:t>certain restrictions on the WVR structure of our Company under Chapter 8A of the Hong Kong Listing Rules shall be applicable, such as, amongst others, no further increase in the proportion of Class C ordinary shares to the total number of shares in issue,</w:t>
      </w:r>
    </w:p>
    <w:p>
      <w:pPr>
        <w:ind w:left="520"/>
        <w:spacing w:after="0" w:line="260" w:lineRule="auto"/>
        <w:rPr>
          <w:sz w:val="20"/>
          <w:szCs w:val="20"/>
          <w:color w:val="auto"/>
        </w:rPr>
      </w:pPr>
      <w:r>
        <w:rPr>
          <w:rFonts w:ascii="Times New Roman" w:cs="Times New Roman" w:eastAsia="Times New Roman" w:hAnsi="Times New Roman"/>
          <w:sz w:val="18"/>
          <w:szCs w:val="18"/>
          <w:color w:val="231F20"/>
        </w:rPr>
        <w:t>and only a director or a director holding vehicle is permitted to hold Class C ordinary shares and automatic conversion of Class C ordinary shares into Class A ordinary shares under certain circumstances.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Notwithstanding the above and at any time after the Relevant Period, the provisions which are subject to the Relevant Period will continue to apply in the circumstances where our Company has a change of listing status on the Hong Kong Stock Exchange other than in the case where the secondary listing of our Company is withdrawn from the Hong Kong Stock Exchange (referred to in scenario (a) below) pursuant to the applicable Hong Kong Listing Rules.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Given certain shareholder protection under the Hong Kong Listing Rules will only be applicable during the Relevant Period, shareholders may be afforded less protection after the Relevant Period as compared with other companies secondary listed in Hong Kong. In particular, Rules 8A.07, 8A.09, 8A.13, 8A.14, 8A.15, 8A.16, 8A.17, 8A.18, 8A.19, 8A.21, 8A.22, 8A.23 and 8A.24 of the Hong Kong Listing Rules will be rendered no longer applicable after the Relevant Period pursuant to the Thirteenth Amended and Restated Articles. Furthermore, after the Relevant Period, (i) NIO Users Trust shall be entitled to nominate one director to the board; and (ii) in the event that Mr. Bin Li is not an incumbent director and the board is composed of no less than six directors, NIO Users Trust shall be entitled to nominate one extra director to the board. In addition, after the Relevant Period, our directors will also have the power to, amongst others, authorize the division of shares, designate a new share class with enhanced voting rights, or issue preferred shares. Prospective investors are advised to be aware of the potential risks involved in any potential change of listing venue. For instance, if our shares are no longer traded on the Hong Kong Stock Exchange, investors may lose the shareholder protection mechanisms afforded under the relevant Hong Kong Listing Rules.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231F20"/>
        </w:rPr>
        <w:t>Our Company may only cease to be secondary listed under Chapter 19C of the Hong Kong Listing Rules under one of the following situations:</w:t>
      </w:r>
    </w:p>
    <w:p>
      <w:pPr>
        <w:spacing w:after="0" w:line="225" w:lineRule="exact"/>
        <w:rPr>
          <w:sz w:val="20"/>
          <w:szCs w:val="20"/>
          <w:color w:val="auto"/>
        </w:rPr>
      </w:pPr>
    </w:p>
    <w:p>
      <w:pPr>
        <w:ind w:left="500" w:right="20" w:hanging="492"/>
        <w:spacing w:after="0" w:line="282" w:lineRule="auto"/>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in the case where we are primary listed on another stock exchange and voluntarily withdraw its secondary listing on the Hong Kong Stock Exchange;</w:t>
      </w:r>
    </w:p>
    <w:p>
      <w:pPr>
        <w:spacing w:after="0" w:line="161" w:lineRule="exact"/>
        <w:rPr>
          <w:rFonts w:ascii="Times New Roman" w:cs="Times New Roman" w:eastAsia="Times New Roman" w:hAnsi="Times New Roman"/>
          <w:sz w:val="18"/>
          <w:szCs w:val="18"/>
          <w:color w:val="231F20"/>
        </w:rPr>
      </w:pPr>
    </w:p>
    <w:p>
      <w:pPr>
        <w:ind w:left="500" w:right="20" w:hanging="492"/>
        <w:spacing w:after="0" w:line="282" w:lineRule="auto"/>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migration of the majority of trading to the Hong Kong Stock Exchange’s markets, in the case where the majority of trading in our listed shares migrates to the Hong Kong Stock Exchange’s markets on a permanent basis;</w:t>
      </w:r>
    </w:p>
    <w:p>
      <w:pPr>
        <w:spacing w:after="0" w:line="161"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primary conversion, i.e., a voluntary conversion by our Company to a dual-primary listing on the Hong Kong Stock Exchange;</w:t>
      </w:r>
    </w:p>
    <w:p>
      <w:pPr>
        <w:spacing w:after="0" w:line="225"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overseas delisting, where the shares or depositary receipts issued on our shares cease to be listed on the stock exchange which it is primary listed;</w:t>
      </w:r>
    </w:p>
    <w:p>
      <w:pPr>
        <w:spacing w:after="0" w:line="225"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Hong Kong Stock Exchange cancels the listing of our securities; and</w:t>
      </w:r>
    </w:p>
    <w:p>
      <w:pPr>
        <w:spacing w:after="0" w:line="225"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SFC directs the Hong Kong Stock Exchange to cancel the listing of our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scenarios under which we may cease to be secondary listed on the Hong Kong Stock Exchange are subject to the changing market conditions, our listing or delisting in other jurisdictions, our compliance with the Hong Kong Listing Rules and other factors beyond our control. As a result, there are substantial uncertainties relating to applicability of the shareholders’ rights and protection under the aforementioned provisions of the Thirteenth Amended and Restated Articles, particularly in the case where we delist from the Hong Kong Stock Exchange.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4"/>
    </w:lvl>
  </w:abstractNum>
  <w:abstractNum w:abstractNumId="3">
    <w:nsid w:val="2EB141F2"/>
    <w:multiLevelType w:val="hybridMultilevel"/>
    <w:lvl w:ilvl="0">
      <w:lvlJc w:val="left"/>
      <w:lvlText w:val="(%1)"/>
      <w:numFmt w:val="lowerRoman"/>
      <w:start w:val="7"/>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2024-09-05T08:25:51Z</dcterms:created>
  <dcterms:modified xsi:type="dcterms:W3CDTF">2024-09-05T08:25:51Z</dcterms:modified>
</cp:coreProperties>
</file>