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7703d1_6k.htm"/>
      <w:bookmarkStart w:id="1" w:name="kstm267703d1_6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March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001-38638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NIO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19, No. 1355, Caobao Road, Minhang District</w:t>
        <w:br/>
        <w:t>Shanghai, 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5590" w:type="dxa"/>
        <w:jc w:val="left"/>
        <w:tblInd w:w="0" w:type="dxa"/>
        <w:tblLayout w:type="fixed"/>
        <w:tblCellMar>
          <w:top w:w="0" w:type="dxa"/>
          <w:left w:w="0" w:type="dxa"/>
          <w:bottom w:w="0" w:type="dxa"/>
          <w:right w:w="0" w:type="dxa"/>
        </w:tblCellMar>
      </w:tblPr>
      <w:tblGrid>
        <w:gridCol w:w="995"/>
        <w:gridCol w:w="60"/>
        <w:gridCol w:w="4535"/>
      </w:tblGrid>
      <w:tr>
        <w:trPr/>
        <w:tc>
          <w:tcPr>
            <w:tcW w:w="9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vAlign w:val="center"/>
          </w:tcPr>
          <w:p>
            <w:pPr>
              <w:pStyle w:val="TableContents"/>
              <w:bidi w:val="0"/>
              <w:spacing w:before="0" w:after="283"/>
              <w:jc w:val="center"/>
              <w:rPr/>
            </w:pPr>
            <w:r>
              <w:rPr/>
              <w:t> </w:t>
            </w:r>
          </w:p>
        </w:tc>
        <w:tc>
          <w:tcPr>
            <w:tcW w:w="45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vAlign w:val="center"/>
          </w:tcPr>
          <w:p>
            <w:pPr>
              <w:pStyle w:val="TableContents"/>
              <w:bidi w:val="0"/>
              <w:spacing w:before="0" w:after="283"/>
              <w:jc w:val="center"/>
              <w:rPr/>
            </w:pPr>
            <w:hyperlink w:anchor="tm267703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center"/>
              <w:rPr/>
            </w:pPr>
            <w:r>
              <w:rPr/>
              <w:t> </w:t>
            </w:r>
          </w:p>
        </w:tc>
        <w:tc>
          <w:tcPr>
            <w:tcW w:w="4535" w:type="dxa"/>
            <w:tcBorders/>
            <w:vAlign w:val="center"/>
          </w:tcPr>
          <w:p>
            <w:pPr>
              <w:pStyle w:val="TableContents"/>
              <w:bidi w:val="0"/>
              <w:spacing w:before="0" w:after="283"/>
              <w:jc w:val="left"/>
              <w:rPr/>
            </w:pPr>
            <w:hyperlink w:anchor="tm267703d1_ex99-1.htm">
              <w:r>
                <w:rPr>
                  <w:rStyle w:val="InternetLink"/>
                  <w:rFonts w:ascii="Times New Roman;Times;Serif" w:hAnsi="Times New Roman;Times;Serif"/>
                  <w:sz w:val="20"/>
                </w:rPr>
                <w:t xml:space="preserve">NIO Inc. Provides </w:t>
              </w:r>
            </w:hyperlink>
            <w:hyperlink w:anchor="tm267703d1_ex99-1.htm">
              <w:r>
                <w:rPr>
                  <w:rStyle w:val="InternetLink"/>
                  <w:rFonts w:ascii="Times New Roman;Times;Serif" w:hAnsi="Times New Roman;Times;Serif"/>
                </w:rPr>
                <w:t>February 2026 Delivery Update</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775" w:type="dxa"/>
        <w:jc w:val="left"/>
        <w:tblInd w:w="0" w:type="dxa"/>
        <w:tblLayout w:type="fixed"/>
        <w:tblCellMar>
          <w:top w:w="0" w:type="dxa"/>
          <w:left w:w="0" w:type="dxa"/>
          <w:bottom w:w="0" w:type="dxa"/>
          <w:right w:w="0" w:type="dxa"/>
        </w:tblCellMar>
      </w:tblPr>
      <w:tblGrid>
        <w:gridCol w:w="75"/>
        <w:gridCol w:w="485"/>
        <w:gridCol w:w="80"/>
        <w:gridCol w:w="2135"/>
      </w:tblGrid>
      <w:tr>
        <w:trPr/>
        <w:tc>
          <w:tcPr>
            <w:tcW w:w="75" w:type="dxa"/>
            <w:tcBorders/>
            <w:vAlign w:val="center"/>
          </w:tcPr>
          <w:p>
            <w:pPr>
              <w:pStyle w:val="TableContents"/>
              <w:bidi w:val="0"/>
              <w:spacing w:before="0" w:after="283"/>
              <w:jc w:val="left"/>
              <w:rPr/>
            </w:pPr>
            <w:r>
              <w:rPr/>
              <w:t> </w:t>
            </w:r>
          </w:p>
        </w:tc>
        <w:tc>
          <w:tcPr>
            <w:tcW w:w="2700" w:type="dxa"/>
            <w:gridSpan w:val="3"/>
            <w:tcBorders/>
            <w:vAlign w:val="center"/>
          </w:tcPr>
          <w:p>
            <w:pPr>
              <w:pStyle w:val="TableContents"/>
              <w:bidi w:val="0"/>
              <w:spacing w:before="0" w:after="283"/>
              <w:jc w:val="left"/>
              <w:rPr>
                <w:b/>
              </w:rPr>
            </w:pPr>
            <w:r>
              <w:rPr>
                <w:b/>
              </w:rPr>
              <w:t>NIO Inc.</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213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Yu Qu</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Yu Qu</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2135" w:type="dxa"/>
            <w:tcBorders/>
            <w:vAlign w:val="center"/>
          </w:tcPr>
          <w:p>
            <w:pPr>
              <w:pStyle w:val="TableContents"/>
              <w:bidi w:val="0"/>
              <w:spacing w:before="0" w:after="283"/>
              <w:jc w:val="left"/>
              <w:rPr/>
            </w:pPr>
            <w:r>
              <w:rPr>
                <w:rFonts w:ascii="Times New Roman;Times;Serif" w:hAnsi="Times New Roman;Times;Serif"/>
                <w:sz w:val="20"/>
              </w:rPr>
              <w:t xml:space="preserve">Chief </w:t>
            </w:r>
            <w:r>
              <w:rPr>
                <w:rFonts w:ascii="Times New Roman;Times;Serif" w:hAnsi="Times New Roman;Times;Serif"/>
              </w:rPr>
              <w:t>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7703d1_ex99-1.htm"/>
      <w:bookmarkStart w:id="3" w:name="kstm267703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NIO Inc. Provides February 2026 Delivery Update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133"/>
        <w:gridCol w:w="10026"/>
      </w:tblGrid>
      <w:tr>
        <w:trPr/>
        <w:tc>
          <w:tcPr>
            <w:tcW w:w="4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pPr>
            <w:r>
              <w:rPr/>
              <w:t>•</w:t>
            </w:r>
          </w:p>
        </w:tc>
        <w:tc>
          <w:tcPr>
            <w:tcW w:w="10026" w:type="dxa"/>
            <w:tcBorders/>
            <w:vAlign w:val="center"/>
          </w:tcPr>
          <w:p>
            <w:pPr>
              <w:pStyle w:val="TableContents"/>
              <w:bidi w:val="0"/>
              <w:spacing w:before="0" w:after="283"/>
              <w:jc w:val="both"/>
              <w:rPr>
                <w:i/>
              </w:rPr>
            </w:pPr>
            <w:r>
              <w:rPr>
                <w:i/>
              </w:rPr>
              <w:t>20,797 vehicles were delivered in February 2026, increasing by 57.6% year-over-year</w:t>
            </w:r>
          </w:p>
        </w:tc>
      </w:tr>
    </w:tbl>
    <w:tbl>
      <w:tblPr>
        <w:tblW w:w="5000" w:type="pct"/>
        <w:jc w:val="left"/>
        <w:tblInd w:w="0" w:type="dxa"/>
        <w:tblLayout w:type="fixed"/>
        <w:tblCellMar>
          <w:top w:w="0" w:type="dxa"/>
          <w:left w:w="0" w:type="dxa"/>
          <w:bottom w:w="0" w:type="dxa"/>
          <w:right w:w="0" w:type="dxa"/>
        </w:tblCellMar>
      </w:tblPr>
      <w:tblGrid>
        <w:gridCol w:w="44"/>
        <w:gridCol w:w="130"/>
        <w:gridCol w:w="10031"/>
      </w:tblGrid>
      <w:tr>
        <w:trPr/>
        <w:tc>
          <w:tcPr>
            <w:tcW w:w="4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pPr>
            <w:r>
              <w:rPr/>
              <w:t>•</w:t>
            </w:r>
          </w:p>
        </w:tc>
        <w:tc>
          <w:tcPr>
            <w:tcW w:w="10031" w:type="dxa"/>
            <w:tcBorders/>
            <w:vAlign w:val="center"/>
          </w:tcPr>
          <w:p>
            <w:pPr>
              <w:pStyle w:val="TableContents"/>
              <w:bidi w:val="0"/>
              <w:spacing w:before="0" w:after="283"/>
              <w:jc w:val="both"/>
              <w:rPr>
                <w:i/>
              </w:rPr>
            </w:pPr>
            <w:r>
              <w:rPr>
                <w:i/>
              </w:rPr>
              <w:t>47,979 vehicles were delivered year-to-date in 2026, increasing by 77.3% year-over-year</w:t>
            </w:r>
          </w:p>
        </w:tc>
      </w:tr>
    </w:tbl>
    <w:tbl>
      <w:tblPr>
        <w:tblW w:w="5000" w:type="pct"/>
        <w:jc w:val="left"/>
        <w:tblInd w:w="0" w:type="dxa"/>
        <w:tblLayout w:type="fixed"/>
        <w:tblCellMar>
          <w:top w:w="0" w:type="dxa"/>
          <w:left w:w="0" w:type="dxa"/>
          <w:bottom w:w="0" w:type="dxa"/>
          <w:right w:w="0" w:type="dxa"/>
        </w:tblCellMar>
      </w:tblPr>
      <w:tblGrid>
        <w:gridCol w:w="59"/>
        <w:gridCol w:w="174"/>
        <w:gridCol w:w="9972"/>
      </w:tblGrid>
      <w:tr>
        <w:trPr/>
        <w:tc>
          <w:tcPr>
            <w:tcW w:w="5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w:t>
            </w:r>
          </w:p>
        </w:tc>
        <w:tc>
          <w:tcPr>
            <w:tcW w:w="9972" w:type="dxa"/>
            <w:tcBorders/>
            <w:vAlign w:val="center"/>
          </w:tcPr>
          <w:p>
            <w:pPr>
              <w:pStyle w:val="TableContents"/>
              <w:bidi w:val="0"/>
              <w:spacing w:before="0" w:after="283"/>
              <w:jc w:val="both"/>
              <w:rPr>
                <w:i/>
              </w:rPr>
            </w:pPr>
            <w:r>
              <w:rPr>
                <w:i/>
              </w:rPr>
              <w:t>Cumulative deliveries reached 1,045,571 as of February 28,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March 01, 2026 (GLOBE NEWSWIRE) -- NIO Inc. (NYSE: NIO; HKEX: 9866; SGX: NIO) (“NIO” or the “Company”), a pioneer and a leading company in the global smart electric vehicle market, today announced its February 2026 delivery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delivered 20,797 vehicles in February 2026, representing an increase of 57.6% year-over-year. The deliveries consisted of 15,159 vehicles from the Company’s premium smart electric vehicle brand NIO, 2,981 vehicles from the Company’s family-oriented smart electric vehicle brand ONVO, and 2,657 vehicles from the Company’s small smart high-end electric car brand FIREFLY. Cumulative deliveries reached 1,045,571 as of February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6, 2026, NIO reached a historic milestone of completing 100 million cumulative battery swaps, demonstrating large-scale validation of its battery swapping model and further reinforcing battery swapping as a mainstream energy solution for electric vehicles in China. During the Chinese New Year holiday, daily battery swap volumes reached record highs for five consecutive days, reflecting both strong user reliance and NIO’s robust service capabilities. NIO’s comprehensive battery swapping and charging network ensures efficient, worry-free and seamless travel experiences for users.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NIO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NIO Inc. is a pioneer and a leading company in the global smart electric vehicle market. Founded in November 2014, NIO aspires to shape a sustainable and brighter future with the mission of “Blue Sky Coming”. NIO envisions itself as a user enterprise where innovative technology meets experience excellence. NIO designs, develops, manufactures and sells smart electric vehicles, driving innovations in next-generation core technologies. NIO distinguishes itself through continuous technological breakthroughs and innovations, exceptional products and services, and a community for shared growth. NIO provides premium smart electric vehicles under the NIO brand, family-oriented smart electric vehicles through the ONVO brand, and small smart high-end electric cars with the FIREFLY brand.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NIO may also make written or oral forward-looking statements in its periodic reports to the U.S. Securities and Exchange Commission (the “SEC”), in its annual report to shareholders, in announcements, circulars or other publications made on the websites of each of The Stock Exchange of Hong Kong Limited (the “SEHK”) and the Singapore Exchange Securities Trading Limited (the “SGX-ST”), in press releases and other written materials and in oral statements made by its officers, directors or employees to third parties. Statements that are not historical facts, including statements about NIO’s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NIO’s strategies; NIO’s future business development, financial condition and results of operations; NIO’s ability to develop and manufacture vehicles of sufficient quality and appeal to customers on schedule and on a large scale; its ability to ensure and expand manufacturing capacities including establishing and maintaining partnerships with third parties; its ability to provide convenient and comprehensive power solutions to its customers; the viability, growth potential and prospects of the battery swapping, BaaS, and NIO Assisted and Intelligent Driving and its subscription services; its ability to improve the technologies or develop alternative technologies in meeting evolving market demand and industry development; NIO’s ability to satisfy the mandated safety standards relating to motor vehicles; its ability to secure supply of raw materials or other components used in its vehicles; its ability to secure sufficient reservations and sales of its vehicles; its ability to control costs associated with its operations; its ability to build its current and future brands; general economic and business conditions globally and in China and assumptions underlying or related to any of the foregoing. Further information regarding these and other risks is included in NIO’s filings with the SEC and the announcements and filings on the websites of each of the SEHK and SGX-ST. All information provided in this press release is as of the date of this press release, and NIO does not undertake any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http://ir.nio.com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 Relations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ir@nio.com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Media Relations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global.press@nio.com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924</Words>
  <Characters>5439</Characters>
  <CharactersWithSpaces>6382</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