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001-38638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NIO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Building 19, No. 1355, Caobao Road, Minhang District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Shanghai, 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520"/>
        <w:spacing w:after="0" w:line="207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2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540" w:type="dxa"/>
            <w:vAlign w:val="bottom"/>
            <w:gridSpan w:val="2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14"/>
        </w:trPr>
        <w:tc>
          <w:tcPr>
            <w:tcW w:w="14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Exhibit No.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gridSpan w:val="2"/>
          </w:tcPr>
          <w:p>
            <w:pPr>
              <w:ind w:left="4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94"/>
        </w:trPr>
        <w:tc>
          <w:tcPr>
            <w:tcW w:w="1440" w:type="dxa"/>
            <w:vAlign w:val="bottom"/>
            <w:gridSpan w:val="3"/>
          </w:tcPr>
          <w:p>
            <w:pPr>
              <w:jc w:val="center"/>
              <w:ind w:right="5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9800" w:type="dxa"/>
            <w:vAlign w:val="bottom"/>
            <w:gridSpan w:val="3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NIO Inc. 2025 Annual Report published with the Stock Exchange of Hong Kong Limited</w:t>
            </w:r>
          </w:p>
        </w:tc>
      </w:tr>
      <w:tr>
        <w:trPr>
          <w:trHeight w:val="696"/>
        </w:trPr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5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NIO Inc.</w:t>
            </w:r>
          </w:p>
        </w:tc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Yu Qu</w:t>
            </w:r>
          </w:p>
        </w:tc>
      </w:tr>
      <w:tr>
        <w:trPr>
          <w:trHeight w:val="191"/>
        </w:trPr>
        <w:tc>
          <w:tcPr>
            <w:tcW w:w="52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7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7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Yu Qu</w:t>
            </w:r>
          </w:p>
        </w:tc>
      </w:tr>
      <w:tr>
        <w:trPr>
          <w:trHeight w:val="234"/>
        </w:trPr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10,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2026-04-10T15:43:55Z</dcterms:created>
  <dcterms:modified xsi:type="dcterms:W3CDTF">2026-04-10T15:43:55Z</dcterms:modified>
</cp:coreProperties>
</file>