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600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6008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Iyer Ganesh V</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00" w:type="dxa"/>
            <w:vAlign w:val="bottom"/>
            <w:tcBorders>
              <w:top w:val="single" w:sz="8" w:color="0000EE"/>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NIO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3151 ZANKER ROAD</w:t>
            </w:r>
          </w:p>
        </w:tc>
        <w:tc>
          <w:tcPr>
            <w:tcW w:w="112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 JOSE</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95134</w:t>
            </w:r>
          </w:p>
        </w:tc>
      </w:tr>
      <w:tr>
        <w:trPr>
          <w:trHeight w:val="177"/>
        </w:trPr>
        <w:tc>
          <w:tcPr>
            <w:tcW w:w="9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63"/>
        <w:spacing w:after="0"/>
        <w:rPr>
          <w:sz w:val="20"/>
          <w:szCs w:val="20"/>
          <w:color w:val="auto"/>
        </w:rPr>
      </w:pPr>
      <w:r>
        <w:rPr>
          <w:rFonts w:ascii="Times New Roman" w:cs="Times New Roman" w:eastAsia="Times New Roman" w:hAnsi="Times New Roman"/>
          <w:sz w:val="20"/>
          <w:szCs w:val="20"/>
          <w:color w:val="0000FF"/>
        </w:rPr>
        <w:t>CEO of NIO U.S.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jc w:val="center"/>
              <w:ind w:left="49"/>
              <w:spacing w:after="0"/>
              <w:rPr>
                <w:sz w:val="20"/>
                <w:szCs w:val="20"/>
                <w:color w:val="auto"/>
              </w:rPr>
            </w:pPr>
            <w:r>
              <w:rPr>
                <w:rFonts w:ascii="Times New Roman" w:cs="Times New Roman" w:eastAsia="Times New Roman" w:hAnsi="Times New Roman"/>
                <w:sz w:val="20"/>
                <w:szCs w:val="20"/>
                <w:color w:val="0000FF"/>
                <w:w w:val="98"/>
              </w:rPr>
              <w:t>275,000</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20"/>
                <w:szCs w:val="20"/>
                <w:color w:val="0000FF"/>
                <w:w w:val="98"/>
              </w:rPr>
              <w:t>480,762</w:t>
            </w:r>
          </w:p>
        </w:tc>
        <w:tc>
          <w:tcPr>
            <w:tcW w:w="9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12/31/2030</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5"/>
              </w:rPr>
              <w:t>125,000</w:t>
            </w:r>
          </w:p>
        </w:tc>
        <w:tc>
          <w:tcPr>
            <w:tcW w:w="6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0.27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02/29/2028</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50,000</w:t>
            </w:r>
          </w:p>
        </w:tc>
        <w:tc>
          <w:tcPr>
            <w:tcW w:w="6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2.55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04/01/2030</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40,000</w:t>
            </w:r>
          </w:p>
        </w:tc>
        <w:tc>
          <w:tcPr>
            <w:tcW w:w="6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2.39</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12/31/2030</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5"/>
              </w:rPr>
              <w:t>500,000</w:t>
            </w:r>
          </w:p>
        </w:tc>
        <w:tc>
          <w:tcPr>
            <w:tcW w:w="6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2.05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sectPr>
          <w:pgSz w:w="11900" w:h="16838" w:orient="portrait"/>
          <w:cols w:equalWidth="0" w:num="1">
            <w:col w:w="10940"/>
          </w:cols>
          <w:pgMar w:left="480" w:top="230" w:right="479" w:bottom="0" w:gutter="0" w:footer="0" w:header="0"/>
          <w:type w:val="continuous"/>
        </w:sectPr>
      </w:pPr>
    </w:p>
    <w:p>
      <w:pPr>
        <w:spacing w:after="0" w:line="12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0000FF"/>
        </w:rPr>
        <w:t>Options (right to buy)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80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0000FF"/>
              </w:rPr>
              <w:t>04/02/2026    04/01/2030</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4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0000FF"/>
              </w:rPr>
              <w:t>20,000</w:t>
            </w:r>
          </w:p>
        </w:tc>
        <w:tc>
          <w:tcPr>
            <w:tcW w:w="940" w:type="dxa"/>
            <w:vAlign w:val="bottom"/>
            <w:vMerge w:val="restart"/>
          </w:tcPr>
          <w:p>
            <w:pPr>
              <w:jc w:val="right"/>
              <w:ind w:right="262"/>
              <w:spacing w:after="0"/>
              <w:rPr>
                <w:sz w:val="20"/>
                <w:szCs w:val="20"/>
                <w:color w:val="auto"/>
              </w:rPr>
            </w:pPr>
            <w:r>
              <w:rPr>
                <w:rFonts w:ascii="Times New Roman" w:cs="Times New Roman" w:eastAsia="Times New Roman" w:hAnsi="Times New Roman"/>
                <w:sz w:val="20"/>
                <w:szCs w:val="20"/>
                <w:color w:val="0000FF"/>
              </w:rPr>
              <w:t>2.39</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0000FF"/>
                <w:w w:val="82"/>
              </w:rPr>
              <w:t>D</w:t>
            </w:r>
          </w:p>
        </w:tc>
        <w:tc>
          <w:tcPr>
            <w:tcW w:w="0" w:type="dxa"/>
            <w:vAlign w:val="bottom"/>
          </w:tcPr>
          <w:p>
            <w:pPr>
              <w:spacing w:after="0"/>
              <w:rPr>
                <w:sz w:val="1"/>
                <w:szCs w:val="1"/>
                <w:color w:val="auto"/>
              </w:rPr>
            </w:pPr>
          </w:p>
        </w:tc>
      </w:tr>
      <w:tr>
        <w:trPr>
          <w:trHeight w:val="134"/>
        </w:trPr>
        <w:tc>
          <w:tcPr>
            <w:tcW w:w="18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8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sectPr>
          <w:pgSz w:w="11900" w:h="16838" w:orient="portrait"/>
          <w:cols w:equalWidth="0" w:num="2">
            <w:col w:w="2480" w:space="720"/>
            <w:col w:w="7740"/>
          </w:cols>
          <w:pgMar w:left="480" w:top="230" w:right="479" w:bottom="0" w:gutter="0" w:footer="0" w:header="0"/>
          <w:type w:val="continuous"/>
        </w:sect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represents one Class A ordinary share.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options granted to the reporting person pursuant to the issuer's share incentive plans, all of which have vested as of the date of this Form 3.</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Eve Tang, Attorney-in-</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Fact for Ganesh V. Iyer</w:t>
            </w:r>
          </w:p>
        </w:tc>
        <w:tc>
          <w:tcPr>
            <w:tcW w:w="3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20" w:type="dxa"/>
            <w:vAlign w:val="bottom"/>
            <w:tcBorders>
              <w:bottom w:val="single" w:sz="8" w:color="auto"/>
            </w:tcBorders>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Executing Forms 3, 4 and 5</w:t>
      </w:r>
    </w:p>
    <w:p>
      <w:pPr>
        <w:spacing w:after="0" w:line="23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Eve Tang his or her true and lawful attorney-in-fact to:</w:t>
      </w:r>
    </w:p>
    <w:p>
      <w:pPr>
        <w:spacing w:after="0" w:line="180" w:lineRule="exact"/>
        <w:rPr>
          <w:sz w:val="20"/>
          <w:szCs w:val="20"/>
          <w:color w:val="auto"/>
        </w:rPr>
      </w:pPr>
    </w:p>
    <w:p>
      <w:pPr>
        <w:ind w:left="1660" w:right="80" w:hanging="564"/>
        <w:spacing w:after="0" w:line="258" w:lineRule="auto"/>
        <w:tabs>
          <w:tab w:leader="none" w:pos="1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and/or regenerate codes, passphrases and passwords enabling the undersigned to make electronic filings with the SEC of reports required by Section 16 of the Securities Exchange Act of 1934, as amended, and the rules and regulations promulgated thereunder;</w:t>
      </w:r>
    </w:p>
    <w:p>
      <w:pPr>
        <w:spacing w:after="0" w:line="234" w:lineRule="exact"/>
        <w:rPr>
          <w:rFonts w:ascii="Times New Roman" w:cs="Times New Roman" w:eastAsia="Times New Roman" w:hAnsi="Times New Roman"/>
          <w:sz w:val="20"/>
          <w:szCs w:val="20"/>
          <w:color w:val="auto"/>
        </w:rPr>
      </w:pPr>
    </w:p>
    <w:p>
      <w:pPr>
        <w:ind w:left="1660" w:hanging="564"/>
        <w:spacing w:after="0" w:line="261" w:lineRule="auto"/>
        <w:tabs>
          <w:tab w:leader="none" w:pos="1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 Form 3, Form 4 or Form 5, or any amendment thereto, relating to the securities of NIO Inc., in accordance with Section 16(a) of the Securities Exchange Act of 1934 and the</w:t>
      </w:r>
    </w:p>
    <w:p>
      <w:pPr>
        <w:ind w:left="1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rules thereunder;</w:t>
      </w:r>
    </w:p>
    <w:p>
      <w:pPr>
        <w:spacing w:after="0" w:line="230" w:lineRule="exact"/>
        <w:rPr>
          <w:rFonts w:ascii="Times New Roman" w:cs="Times New Roman" w:eastAsia="Times New Roman" w:hAnsi="Times New Roman"/>
          <w:sz w:val="20"/>
          <w:szCs w:val="20"/>
          <w:color w:val="auto"/>
        </w:rPr>
      </w:pPr>
    </w:p>
    <w:p>
      <w:pPr>
        <w:ind w:left="1660" w:right="420" w:hanging="564"/>
        <w:spacing w:after="0" w:line="266" w:lineRule="auto"/>
        <w:tabs>
          <w:tab w:leader="none" w:pos="1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such Form 3, Form 4 or Form 5, or any amendment thereto, and the timely filing of such form with the United States Securities and Exchange Commission and any other authority; and</w:t>
      </w:r>
    </w:p>
    <w:p>
      <w:pPr>
        <w:spacing w:after="0" w:line="195" w:lineRule="exact"/>
        <w:rPr>
          <w:rFonts w:ascii="Times New Roman" w:cs="Times New Roman" w:eastAsia="Times New Roman" w:hAnsi="Times New Roman"/>
          <w:sz w:val="20"/>
          <w:szCs w:val="20"/>
          <w:color w:val="auto"/>
        </w:rPr>
      </w:pPr>
    </w:p>
    <w:p>
      <w:pPr>
        <w:ind w:left="1660" w:right="220" w:hanging="564"/>
        <w:spacing w:after="0" w:line="258" w:lineRule="auto"/>
        <w:tabs>
          <w:tab w:leader="none" w:pos="1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NIO Inc. unless earlier revoked by the undersigned in a signed writing delivered to the foregoing attorney-in-fact.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Ganesh V. Iyer</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Ganesh V. Iyer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588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1252" TargetMode="External"/><Relationship Id="rId11" Type="http://schemas.openxmlformats.org/officeDocument/2006/relationships/hyperlink" Target="http://www.sec.gov/cgi-bin/browse-edgar?action=getcompany&amp;CIK=0001736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2026-03-18T16:51:42Z</dcterms:created>
  <dcterms:modified xsi:type="dcterms:W3CDTF">2026-03-18T16:51:42Z</dcterms:modified>
</cp:coreProperties>
</file>