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8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0" w:type="dxa"/>
            <w:vAlign w:val="bottom"/>
            <w:gridSpan w:val="2"/>
          </w:tcPr>
          <w:p>
            <w:pPr>
              <w:ind w:left="28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2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9200" w:type="dxa"/>
            <w:vAlign w:val="bottom"/>
            <w:gridSpan w:val="2"/>
          </w:tcPr>
          <w:p>
            <w:pPr>
              <w:ind w:left="41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040" w:type="dxa"/>
            <w:vAlign w:val="bottom"/>
            <w:gridSpan w:val="3"/>
          </w:tcPr>
          <w:p>
            <w:pPr>
              <w:jc w:val="center"/>
              <w:ind w:right="940"/>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NIO Inc. Reports Unaudited First Quarter 2026 Financial Results</w:t>
            </w:r>
          </w:p>
        </w:tc>
      </w:tr>
      <w:tr>
        <w:trPr>
          <w:trHeight w:val="696"/>
        </w:trPr>
        <w:tc>
          <w:tcPr>
            <w:tcW w:w="76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700" w:type="dxa"/>
            <w:vAlign w:val="bottom"/>
            <w:tcBorders>
              <w:top w:val="single" w:sz="8" w:color="0000EE"/>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NIO Inc.</w:t>
            </w:r>
          </w:p>
        </w:tc>
        <w:tc>
          <w:tcPr>
            <w:tcW w:w="2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Qu</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0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NIO Inc. Reports Unaudited First Quarter 2026 Financial Results</w:t>
      </w:r>
    </w:p>
    <w:p>
      <w:pPr>
        <w:ind w:left="2740"/>
        <w:spacing w:after="0" w:line="208" w:lineRule="auto"/>
        <w:rPr>
          <w:sz w:val="20"/>
          <w:szCs w:val="20"/>
          <w:color w:val="auto"/>
        </w:rPr>
      </w:pPr>
      <w:r>
        <w:rPr>
          <w:rFonts w:ascii="Times New Roman" w:cs="Times New Roman" w:eastAsia="Times New Roman" w:hAnsi="Times New Roman"/>
          <w:sz w:val="18"/>
          <w:szCs w:val="18"/>
          <w:i w:val="1"/>
          <w:iCs w:val="1"/>
          <w:color w:val="auto"/>
        </w:rPr>
        <w:t>Quarterly Total Revenues Reached RMB25,532.7 Million (US$3,701.5 Million)</w:t>
      </w:r>
      <w:r>
        <w:rPr>
          <w:rFonts w:ascii="Times New Roman" w:cs="Times New Roman" w:eastAsia="Times New Roman" w:hAnsi="Times New Roman"/>
          <w:sz w:val="29"/>
          <w:szCs w:val="29"/>
          <w:i w:val="1"/>
          <w:iCs w:val="1"/>
          <w:color w:val="auto"/>
          <w:vertAlign w:val="superscript"/>
        </w:rPr>
        <w:t>i</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Quarterly Vehicle Deliveries Were 83,465 Units</w:t>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SHANGHAI, China, May 21, 2026 (GLOBE NEWSWIRE) -- NIO Inc. (NYSE: NIO; HKEX: 9866; SGX: NIO) (“NIO” or the “Company”), a pioneer and a leading company in the global smart electric vehicle market, today announced its unaudited financial results for the first quarter ended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Operating Highlights for the First Quarter of 2026</w:t>
      </w:r>
    </w:p>
    <w:p>
      <w:pPr>
        <w:spacing w:after="0" w:line="225" w:lineRule="exact"/>
        <w:rPr>
          <w:sz w:val="20"/>
          <w:szCs w:val="20"/>
          <w:color w:val="auto"/>
        </w:rPr>
      </w:pPr>
    </w:p>
    <w:p>
      <w:pPr>
        <w:jc w:val="both"/>
        <w:ind w:left="340" w:hanging="332"/>
        <w:spacing w:after="0" w:line="268" w:lineRule="auto"/>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Vehicle deliveries </w:t>
      </w:r>
      <w:r>
        <w:rPr>
          <w:rFonts w:ascii="Times New Roman" w:cs="Times New Roman" w:eastAsia="Times New Roman" w:hAnsi="Times New Roman"/>
          <w:sz w:val="18"/>
          <w:szCs w:val="18"/>
          <w:color w:val="auto"/>
        </w:rPr>
        <w:t>were 83,465 in the first quarter of 2026, representing an increase of 98.3% from the first quarter of 2025, and a decrease of 33.1%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fourth quarter of 2025. The deliveries consisted of 58,543 vehicles from NIO brand, 13,339 vehicles from ONVO brand, and 11,583 vehicles from FIREFLY brand.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Operating Results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5520" w:type="dxa"/>
            <w:vAlign w:val="bottom"/>
          </w:tcPr>
          <w:p>
            <w:pPr>
              <w:spacing w:after="0"/>
              <w:rPr>
                <w:sz w:val="24"/>
                <w:szCs w:val="24"/>
                <w:color w:val="auto"/>
              </w:rPr>
            </w:pPr>
          </w:p>
        </w:tc>
        <w:tc>
          <w:tcPr>
            <w:tcW w:w="15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2026 Q1</w:t>
            </w: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2025 Q4</w:t>
            </w: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2025 Q3</w:t>
            </w: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2025 Q2</w:t>
            </w:r>
          </w:p>
        </w:tc>
      </w:tr>
      <w:tr>
        <w:trPr>
          <w:trHeight w:val="216"/>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Deliveries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83,465</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124,807</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87,071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72,056</w:t>
            </w:r>
          </w:p>
        </w:tc>
        <w:tc>
          <w:tcPr>
            <w:tcW w:w="100" w:type="dxa"/>
            <w:vAlign w:val="bottom"/>
            <w:tcBorders>
              <w:top w:val="single" w:sz="8" w:color="CCEEFF"/>
            </w:tcBorders>
            <w:shd w:val="clear" w:color="auto" w:fill="CCEEFF"/>
          </w:tcPr>
          <w:p>
            <w:pPr>
              <w:spacing w:after="0"/>
              <w:rPr>
                <w:sz w:val="18"/>
                <w:szCs w:val="18"/>
                <w:color w:val="auto"/>
              </w:rPr>
            </w:pPr>
          </w:p>
        </w:tc>
      </w:tr>
      <w:tr>
        <w:trPr>
          <w:trHeight w:val="466"/>
        </w:trPr>
        <w:tc>
          <w:tcPr>
            <w:tcW w:w="5520" w:type="dxa"/>
            <w:vAlign w:val="bottom"/>
          </w:tcPr>
          <w:p>
            <w:pPr>
              <w:spacing w:after="0"/>
              <w:rPr>
                <w:sz w:val="24"/>
                <w:szCs w:val="24"/>
                <w:color w:val="auto"/>
              </w:rPr>
            </w:pPr>
          </w:p>
        </w:tc>
        <w:tc>
          <w:tcPr>
            <w:tcW w:w="15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2025 Q1</w:t>
            </w: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2024 Q4</w:t>
            </w: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2024 Q3</w:t>
            </w: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2024 Q2</w:t>
            </w:r>
          </w:p>
        </w:tc>
      </w:tr>
      <w:tr>
        <w:trPr>
          <w:trHeight w:val="216"/>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Deliveries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42,094</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72,689</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61,855</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Highlights for the First Quarter of 2026</w:t>
      </w:r>
    </w:p>
    <w:p>
      <w:pPr>
        <w:spacing w:after="0" w:line="225" w:lineRule="exact"/>
        <w:rPr>
          <w:sz w:val="20"/>
          <w:szCs w:val="20"/>
          <w:color w:val="auto"/>
        </w:rPr>
      </w:pPr>
    </w:p>
    <w:p>
      <w:pPr>
        <w:ind w:left="340" w:hanging="332"/>
        <w:spacing w:after="0" w:line="285" w:lineRule="auto"/>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Vehicle sales </w:t>
      </w:r>
      <w:r>
        <w:rPr>
          <w:rFonts w:ascii="Times New Roman" w:cs="Times New Roman" w:eastAsia="Times New Roman" w:hAnsi="Times New Roman"/>
          <w:sz w:val="18"/>
          <w:szCs w:val="18"/>
          <w:color w:val="auto"/>
        </w:rPr>
        <w:t>were RMB22,783.7 million (US$3,302.9 million) in the first quarter of 2026, representing an increase of 129.2% from the first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and a decrease of 27.9% from the fourth quarter of 2025.</w:t>
      </w:r>
    </w:p>
    <w:p>
      <w:pPr>
        <w:spacing w:after="0" w:line="190" w:lineRule="exact"/>
        <w:rPr>
          <w:rFonts w:ascii="Arial" w:cs="Arial" w:eastAsia="Arial" w:hAnsi="Arial"/>
          <w:sz w:val="18"/>
          <w:szCs w:val="18"/>
          <w:b w:val="1"/>
          <w:bCs w:val="1"/>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Vehicle margin</w:t>
      </w:r>
      <w:r>
        <w:rPr>
          <w:rFonts w:ascii="Times New Roman" w:cs="Times New Roman" w:eastAsia="Times New Roman" w:hAnsi="Times New Roman"/>
          <w:sz w:val="29"/>
          <w:szCs w:val="29"/>
          <w:color w:val="auto"/>
          <w:vertAlign w:val="superscript"/>
        </w:rPr>
        <w:t>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18.8% in the first quarter of 2026, compared with 10.2% in the first quarter of 2025 and 18.1% in the fourth quarter of 2025.</w:t>
      </w:r>
    </w:p>
    <w:p>
      <w:pPr>
        <w:spacing w:after="0" w:line="158" w:lineRule="exact"/>
        <w:rPr>
          <w:rFonts w:ascii="Arial" w:cs="Arial" w:eastAsia="Arial" w:hAnsi="Arial"/>
          <w:sz w:val="18"/>
          <w:szCs w:val="18"/>
          <w:b w:val="1"/>
          <w:bCs w:val="1"/>
          <w:color w:val="auto"/>
        </w:rPr>
      </w:pPr>
    </w:p>
    <w:p>
      <w:pPr>
        <w:ind w:left="340" w:right="20" w:hanging="332"/>
        <w:spacing w:after="0" w:line="285" w:lineRule="auto"/>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were RMB25,532.7 million (US$3,701.5 million) in the first quarter of 2026, representing an increase of 112.2% from the first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2025 and a decrease of 26.3% from the fourth quarter of 2025.</w:t>
      </w:r>
    </w:p>
    <w:p>
      <w:pPr>
        <w:spacing w:after="0" w:line="182" w:lineRule="exact"/>
        <w:rPr>
          <w:rFonts w:ascii="Arial" w:cs="Arial" w:eastAsia="Arial" w:hAnsi="Arial"/>
          <w:sz w:val="18"/>
          <w:szCs w:val="18"/>
          <w:b w:val="1"/>
          <w:bCs w:val="1"/>
          <w:color w:val="auto"/>
        </w:rPr>
      </w:pPr>
    </w:p>
    <w:p>
      <w:pPr>
        <w:ind w:left="340" w:hanging="332"/>
        <w:spacing w:after="0" w:line="285" w:lineRule="auto"/>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RMB4,859.1 million (US$704.4 million) in the first quarter of 2026, representing an increase of 428.4% from the first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and a decrease of 20.0% from the fourth quarter of 2025.</w:t>
      </w:r>
    </w:p>
    <w:p>
      <w:pPr>
        <w:spacing w:after="0" w:line="200" w:lineRule="exact"/>
        <w:rPr>
          <w:sz w:val="20"/>
          <w:szCs w:val="20"/>
          <w:color w:val="auto"/>
        </w:rPr>
      </w:pPr>
    </w:p>
    <w:p>
      <w:pPr>
        <w:spacing w:after="0" w:line="202"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19.0% in the first quarter of 2026, compared with 7.6% in the first quarter of 2025 and 17.5% in the fourth quarter of 2025.</w:t>
      </w:r>
    </w:p>
    <w:p>
      <w:pPr>
        <w:spacing w:after="0" w:line="251" w:lineRule="exact"/>
        <w:rPr>
          <w:rFonts w:ascii="Arial" w:cs="Arial" w:eastAsia="Arial" w:hAnsi="Arial"/>
          <w:sz w:val="18"/>
          <w:szCs w:val="18"/>
          <w:b w:val="1"/>
          <w:bCs w:val="1"/>
          <w:color w:val="auto"/>
        </w:rPr>
      </w:pPr>
    </w:p>
    <w:p>
      <w:pPr>
        <w:jc w:val="both"/>
        <w:ind w:left="340" w:hanging="332"/>
        <w:spacing w:after="0" w:line="259" w:lineRule="auto"/>
        <w:tabs>
          <w:tab w:leader="none" w:pos="3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Loss from operations </w:t>
      </w:r>
      <w:r>
        <w:rPr>
          <w:rFonts w:ascii="Times New Roman" w:cs="Times New Roman" w:eastAsia="Times New Roman" w:hAnsi="Times New Roman"/>
          <w:sz w:val="18"/>
          <w:szCs w:val="18"/>
          <w:color w:val="auto"/>
        </w:rPr>
        <w:t>was RMB308.8 million (US$44.8 million) in the first quarter of 2026, compared with loss from operations of RMB6,418.1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first quarter of 2025 and profit from operations of RMB807.3 million in the fourth quarter of 2025. Excluding share-based compensation expenses, adjusted profit from operations (non-GAAP) was RMB66.8 million (US$9.7 million) in the first quarter of 2026, compared with adjusted loss from operations (non-GAAP) of RMB5,947.2 million in the first quarter of 2025 and adjusted profit from operations (non-GAAP) of RMB1,251.3 million in the fourth quarter of 2025.</w:t>
      </w:r>
    </w:p>
    <w:p>
      <w:pPr>
        <w:spacing w:after="0" w:line="205" w:lineRule="exact"/>
        <w:rPr>
          <w:rFonts w:ascii="Arial" w:cs="Arial" w:eastAsia="Arial" w:hAnsi="Arial"/>
          <w:sz w:val="18"/>
          <w:szCs w:val="18"/>
          <w:b w:val="1"/>
          <w:bCs w:val="1"/>
          <w:color w:val="auto"/>
        </w:rPr>
      </w:pPr>
    </w:p>
    <w:p>
      <w:pPr>
        <w:jc w:val="both"/>
        <w:ind w:left="340" w:hanging="332"/>
        <w:spacing w:after="0" w:line="262" w:lineRule="auto"/>
        <w:tabs>
          <w:tab w:leader="none" w:pos="3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RMB332.1 million (US$48.1 million) in the first quarter of 2026, compared with net loss of RMB6,750.0 million in the first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and net profit of RMB282.7 million in the fourth quarter of 2025. Excluding share-based compensation expenses, adjusted net profit (non-GAAP) was RMB43.5 million (US$6.3million) in the first quarter of 2026, compared with adjusted net loss (non-GAAP) of RMB6,279.1 million in the first quarter of 2025 and adjusted net profit (non-GAAP) of RMB726.8 million in the fourth quarter of 2025.</w:t>
      </w:r>
    </w:p>
    <w:p>
      <w:pPr>
        <w:spacing w:after="0" w:line="202" w:lineRule="exact"/>
        <w:rPr>
          <w:rFonts w:ascii="Arial" w:cs="Arial" w:eastAsia="Arial" w:hAnsi="Arial"/>
          <w:sz w:val="18"/>
          <w:szCs w:val="18"/>
          <w:b w:val="1"/>
          <w:bCs w:val="1"/>
          <w:color w:val="auto"/>
        </w:rPr>
      </w:pPr>
    </w:p>
    <w:p>
      <w:pPr>
        <w:ind w:left="340" w:hanging="332"/>
        <w:spacing w:after="0" w:line="285" w:lineRule="auto"/>
        <w:tabs>
          <w:tab w:leader="none" w:pos="3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Cash and cash equivalents, restricted cash, short-term investment and long-term time deposits </w:t>
      </w:r>
      <w:r>
        <w:rPr>
          <w:rFonts w:ascii="Times New Roman" w:cs="Times New Roman" w:eastAsia="Times New Roman" w:hAnsi="Times New Roman"/>
          <w:sz w:val="18"/>
          <w:szCs w:val="18"/>
          <w:color w:val="auto"/>
        </w:rPr>
        <w:t>were RMB48.2 billion (US$7.0 billion)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2026.</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Key Financial Results for the First Quarter of 2026</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80"/>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RMB million, except for percentage)</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99"/>
        </w:trPr>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2026Q1</w:t>
            </w: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2025 Q4</w:t>
            </w: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2025 Q1</w:t>
            </w:r>
          </w:p>
        </w:tc>
        <w:tc>
          <w:tcPr>
            <w:tcW w:w="176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 Change</w:t>
            </w:r>
            <w:r>
              <w:rPr>
                <w:rFonts w:ascii="Times New Roman" w:cs="Times New Roman" w:eastAsia="Times New Roman" w:hAnsi="Times New Roman"/>
                <w:sz w:val="29"/>
                <w:szCs w:val="29"/>
                <w:b w:val="1"/>
                <w:bCs w:val="1"/>
                <w:color w:val="auto"/>
                <w:vertAlign w:val="superscript"/>
              </w:rPr>
              <w:t>iii</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9"/>
        </w:trPr>
        <w:tc>
          <w:tcPr>
            <w:tcW w:w="3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QoQ</w:t>
            </w:r>
          </w:p>
        </w:tc>
        <w:tc>
          <w:tcPr>
            <w:tcW w:w="3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YoY</w:t>
            </w:r>
          </w:p>
        </w:tc>
        <w:tc>
          <w:tcPr>
            <w:tcW w:w="360" w:type="dxa"/>
            <w:vAlign w:val="bottom"/>
            <w:tcBorders>
              <w:bottom w:val="single" w:sz="8" w:color="CCEEFF"/>
            </w:tcBorders>
          </w:tcPr>
          <w:p>
            <w:pPr>
              <w:spacing w:after="0"/>
              <w:rPr>
                <w:sz w:val="18"/>
                <w:szCs w:val="18"/>
                <w:color w:val="auto"/>
              </w:rPr>
            </w:pPr>
          </w:p>
        </w:tc>
      </w:tr>
      <w:tr>
        <w:trPr>
          <w:trHeight w:val="209"/>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Sales</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22,783.7</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31,606.2</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9,939.3</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-27.9%</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129.2%</w:t>
            </w: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 Margin</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17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70bp</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860bp</w:t>
            </w:r>
          </w:p>
        </w:tc>
      </w:tr>
      <w:tr>
        <w:trPr>
          <w:trHeight w:val="216"/>
        </w:trPr>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25,532.7</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34,650.2</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12,034.7</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-26.3%</w:t>
            </w:r>
          </w:p>
        </w:tc>
        <w:tc>
          <w:tcPr>
            <w:tcW w:w="2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112.2%</w:t>
            </w: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4,859.1</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6,074.1</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919.6</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428.4%</w:t>
            </w: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17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150bp</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1,140bp</w:t>
            </w:r>
          </w:p>
        </w:tc>
      </w:tr>
      <w:tr>
        <w:trPr>
          <w:trHeight w:val="216"/>
        </w:trPr>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(Loss)/Profit from Operations</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(308.8)</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807.3</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(6,418.1)</w:t>
            </w:r>
          </w:p>
        </w:tc>
        <w:tc>
          <w:tcPr>
            <w:tcW w:w="176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-95.2%</w:t>
            </w: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Profit/(Loss) from Operations (non-GAAP)</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66.8</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1,251.3</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(5,947.2)</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-94.7%</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(Loss)/Profit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(332.1)</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282.7</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(6,750.0)</w:t>
            </w:r>
          </w:p>
        </w:tc>
        <w:tc>
          <w:tcPr>
            <w:tcW w:w="176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-95.1%</w:t>
            </w:r>
          </w:p>
        </w:tc>
      </w:t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Net Profit/(Loss) (non-GAAP)</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43.5</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726.8</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(6,279.1)</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-94.0%</w:t>
            </w:r>
          </w:p>
        </w:tc>
        <w:tc>
          <w:tcPr>
            <w:tcW w:w="240" w:type="dxa"/>
            <w:vAlign w:val="bottom"/>
          </w:tcPr>
          <w:p>
            <w:pPr>
              <w:spacing w:after="0"/>
              <w:rPr>
                <w:sz w:val="20"/>
                <w:szCs w:val="20"/>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r>
    </w:tbl>
    <w:p>
      <w:pPr>
        <w:spacing w:after="0" w:line="395"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Deliveries in April 2026</w:t>
      </w:r>
    </w:p>
    <w:p>
      <w:pPr>
        <w:spacing w:after="0" w:line="229" w:lineRule="exact"/>
        <w:rPr>
          <w:sz w:val="20"/>
          <w:szCs w:val="20"/>
          <w:color w:val="auto"/>
        </w:rPr>
      </w:pPr>
    </w:p>
    <w:p>
      <w:pPr>
        <w:ind w:left="620" w:right="20" w:hanging="302"/>
        <w:spacing w:after="0" w:line="281" w:lineRule="auto"/>
        <w:tabs>
          <w:tab w:leader="none" w:pos="62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Company delivered 29,356 vehicles in April 2026. As of April 30, 2026, the Company had delivered 112,821 vehicles in 2026, with cumulative deliveries reaching 1,110,413.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Debut of NIO ES9</w:t>
      </w:r>
    </w:p>
    <w:p>
      <w:pPr>
        <w:spacing w:after="0" w:line="229" w:lineRule="exact"/>
        <w:rPr>
          <w:sz w:val="20"/>
          <w:szCs w:val="20"/>
          <w:color w:val="auto"/>
        </w:rPr>
      </w:pPr>
    </w:p>
    <w:p>
      <w:pPr>
        <w:jc w:val="both"/>
        <w:ind w:left="620" w:hanging="302"/>
        <w:spacing w:after="0" w:line="260" w:lineRule="auto"/>
        <w:tabs>
          <w:tab w:leader="none" w:pos="6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9, 2026, NIO’s flagship executive SUV, the ES9, officially commenced pre-sales, and will be officially launched and commence delivery on May 27, 2026. As the culmination of over a decade of technological innovation, the ES9 redefines the benchmark for flagship SUVs through its signature design, exceptional space, advanced intelligence, refined comfort, and comprehensive safety. The ES9, featuring over 40 industry-first technologies and nearly 40 class-leading configurations, is set to usher in the era of battery electric vehicles for executive flagship SUVs.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Commencement of ONVO L80 delivery</w:t>
      </w:r>
    </w:p>
    <w:p>
      <w:pPr>
        <w:spacing w:after="0" w:line="229" w:lineRule="exact"/>
        <w:rPr>
          <w:sz w:val="20"/>
          <w:szCs w:val="20"/>
          <w:color w:val="auto"/>
        </w:rPr>
      </w:pPr>
    </w:p>
    <w:p>
      <w:pPr>
        <w:jc w:val="both"/>
        <w:ind w:left="620" w:hanging="302"/>
        <w:spacing w:after="0" w:line="258" w:lineRule="auto"/>
        <w:tabs>
          <w:tab w:leader="none" w:pos="62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28, 2026, ONVO commenced the pre-sale of its flagship large five-seat SUV, the L80, with deliveries commencing shortly after its official launch on May 15, 2026. Fully equipped with ONVO’s latest flagship technologies in spatial engineering, vehicle safety, and lightweight design, the L80 sets a new benchmark as China’s five-seat SUV with the largest trunk space and outstanding versatility. Leveraging technological innovation to redefine user experience, the L80 will expand the addressable scenarios of large five-seat SUVs, accompanying families on every journey of joy.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CEO and CFO Comments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quarter of 2026, the Company delivered 83,465 smart electric vehicles, representing a year-over-year increase of 98.3%. Starting from the second quarter, the Company has entered an intensive new product launch and delivery cycle. We expect total deliveries in the second quarter to range between 110,000 and 115,000 vehicles, with a year-over-year growth of 52.7% to 59.6%,” said William Bin Li, founder, chairman, and chief executive officer of NIO.</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eleven years of sustained investment and dedication, the Company has built comprehensive systematic innovation capabilities, serving as the core foundation for us to continuously launch innovative products and strengthen our long-term competitiveness. The NIO All-New ES8 has ranked first in sales in both China’s large SUV segment and the segment priced above RMB 400,000 for five consecutive months. The NIO ES9, our flagship executive SUV, integrates multiple industry-first technologies and class-leading features, and is poised to lead the premium flagship executive SUV segment into the battery electric era. This year, powered by NIO’s in-house developed smart driving chip, NIO WorldModel and the full-domain vehicle operating system, ONVO’s new models will undergo comprehensive upgrades in smart technologies, continuously enhancing user experience. The recently launched ONVO L80, ONVO’s flagship large five-seat SUV, caters to broader user needs through innovative space and lifestyle design. FIREFLY will continue to launch special edition models to deepen emotional connections with users,” added William Bin Li.</w:t>
      </w:r>
    </w:p>
    <w:p>
      <w:pPr>
        <w:spacing w:after="0" w:line="200" w:lineRule="exact"/>
        <w:rPr>
          <w:sz w:val="20"/>
          <w:szCs w:val="20"/>
          <w:color w:val="auto"/>
        </w:rPr>
      </w:pPr>
    </w:p>
    <w:p>
      <w:pPr>
        <w:spacing w:after="0" w:line="208"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color w:val="auto"/>
        </w:rPr>
        <w:t>"In the first quarter of 2026, our vehicle margin stood at 18.8%, improving quarter-over-quarter for four consecutive quarters. Other sales margin reached 20.6%, a four-year high, supported by the expanding scale and improving profitability of our services and community-related businesses as our user base continues to grow. We also maintained positive non-GAAP operating profit in the quarter, and cash reserves continued to increase,” said Stanley Yu Qu, NIO’s chief financial officer. “We are encouraged by the continued improvement across all key operating metrics. Looking ahead, we will further enhance cost and operational efficiency while strengthening our sustainable business capabilities.”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Results for the First Quarter of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5" w:lineRule="exact"/>
        <w:rPr>
          <w:sz w:val="20"/>
          <w:szCs w:val="20"/>
          <w:color w:val="auto"/>
        </w:rPr>
      </w:pPr>
    </w:p>
    <w:p>
      <w:pPr>
        <w:ind w:left="660" w:hanging="328"/>
        <w:spacing w:after="0" w:line="285"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in the first quarter of 2026 were RMB25,532.7 million (US$3,701.5 million), representing an increase of 112.2% from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2025 and a decrease of 26.3% from the fourth quarter of 2025.</w:t>
      </w:r>
    </w:p>
    <w:p>
      <w:pPr>
        <w:spacing w:after="0" w:line="155" w:lineRule="exact"/>
        <w:rPr>
          <w:rFonts w:ascii="Arial" w:cs="Arial" w:eastAsia="Arial" w:hAnsi="Arial"/>
          <w:sz w:val="18"/>
          <w:szCs w:val="18"/>
          <w:b w:val="1"/>
          <w:bCs w:val="1"/>
          <w:color w:val="auto"/>
        </w:rPr>
      </w:pPr>
    </w:p>
    <w:p>
      <w:pPr>
        <w:jc w:val="both"/>
        <w:ind w:left="660" w:hanging="328"/>
        <w:spacing w:after="0" w:line="262"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Vehicle sales </w:t>
      </w:r>
      <w:r>
        <w:rPr>
          <w:rFonts w:ascii="Times New Roman" w:cs="Times New Roman" w:eastAsia="Times New Roman" w:hAnsi="Times New Roman"/>
          <w:sz w:val="18"/>
          <w:szCs w:val="18"/>
          <w:color w:val="auto"/>
        </w:rPr>
        <w:t>in the first quarter of 2026 were RMB22,783.7 million (US$3,302.9 million), representing an increase of 129.2% from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2025 and a decrease of 27.9% from the fourth quarter of 2025. The increase in vehicle sales over the first quarter of 2025 was mainly due to an increase in delivery volume and a higher average selling price mainly driven by a favorable product mix. The decrease in vehicle sales over the fourth quarter of 2025 was mainly attributable to a decrease in delivery volume.</w:t>
      </w:r>
    </w:p>
    <w:p>
      <w:pPr>
        <w:spacing w:after="0" w:line="175" w:lineRule="exact"/>
        <w:rPr>
          <w:rFonts w:ascii="Arial" w:cs="Arial" w:eastAsia="Arial" w:hAnsi="Arial"/>
          <w:sz w:val="18"/>
          <w:szCs w:val="18"/>
          <w:b w:val="1"/>
          <w:bCs w:val="1"/>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Other sales </w:t>
      </w:r>
      <w:r>
        <w:rPr>
          <w:rFonts w:ascii="Times New Roman" w:cs="Times New Roman" w:eastAsia="Times New Roman" w:hAnsi="Times New Roman"/>
          <w:sz w:val="18"/>
          <w:szCs w:val="18"/>
          <w:color w:val="auto"/>
        </w:rPr>
        <w:t>in the first quarter of 2026 were RMB2,748.9 million (US$398.5 million), representing an increase of 31.2% from the first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and a decrease of 9.7% from the fourth quarter of 2025. The increase in other sales over the first quarter of 2025 was mainly due to (i) increase in sales of parts, accessories and after-sales vehicle services, and provision of power solutions, as a result of continued growth in the number of users, and (ii) increase in revenues from auto financing services. The decrease in other sales over the fourth quarter of 2025 was mainly due to decrease in revenues from technical research and development services and used car sales.</w:t>
      </w:r>
    </w:p>
    <w:p>
      <w:pPr>
        <w:spacing w:after="0" w:line="398"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Cost of Sales and Gross Margin</w:t>
      </w:r>
    </w:p>
    <w:p>
      <w:pPr>
        <w:spacing w:after="0" w:line="225" w:lineRule="exact"/>
        <w:rPr>
          <w:sz w:val="20"/>
          <w:szCs w:val="20"/>
          <w:color w:val="auto"/>
        </w:rPr>
      </w:pPr>
    </w:p>
    <w:p>
      <w:pPr>
        <w:jc w:val="both"/>
        <w:ind w:left="660" w:hanging="328"/>
        <w:spacing w:after="0" w:line="262"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in the first quarter of 2026 was RMB20,673.5 million (US$2,997.0 million), representing an increase of 86.0% from the first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2025 and a decrease of 27.7% from the fourth quarter of 2025. The increase in cost of sales over the first quarter of 2025 was mainly attributable to an increase in delivery volume. The decrease in cost of sales over the fourth quarter of 2025 was mainly attributable to a decrease in delivery volume.</w:t>
      </w:r>
    </w:p>
    <w:p>
      <w:pPr>
        <w:spacing w:after="0" w:line="175" w:lineRule="exact"/>
        <w:rPr>
          <w:rFonts w:ascii="Arial" w:cs="Arial" w:eastAsia="Arial" w:hAnsi="Arial"/>
          <w:sz w:val="18"/>
          <w:szCs w:val="18"/>
          <w:b w:val="1"/>
          <w:bCs w:val="1"/>
          <w:color w:val="auto"/>
        </w:rPr>
      </w:pPr>
    </w:p>
    <w:p>
      <w:pPr>
        <w:ind w:left="660" w:hanging="328"/>
        <w:spacing w:after="0" w:line="285"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in the first quarter of 2026 was RMB4,859.1 million (US$704.4 million), representing an increase of 428.4% from the first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and a decrease of 20.0% from the fourth quarter of 2025.</w:t>
      </w:r>
    </w:p>
    <w:p>
      <w:pPr>
        <w:spacing w:after="0" w:line="155" w:lineRule="exact"/>
        <w:rPr>
          <w:rFonts w:ascii="Arial" w:cs="Arial" w:eastAsia="Arial" w:hAnsi="Arial"/>
          <w:sz w:val="18"/>
          <w:szCs w:val="18"/>
          <w:b w:val="1"/>
          <w:bCs w:val="1"/>
          <w:color w:val="auto"/>
        </w:rPr>
      </w:pPr>
    </w:p>
    <w:p>
      <w:pPr>
        <w:jc w:val="both"/>
        <w:ind w:left="660" w:hanging="328"/>
        <w:spacing w:after="0" w:line="262"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in the first quarter of 2026 was 19.0%, compared with 7.6% in the first quarter of 2025 and 17.5% in the fourth quarter of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increase in gross margin over the first quarter of 2025 was mainly attributable to the increased vehicle margin. The increase in gross margin over the fourth quarter of 2025 was mainly due to (i) an improvement in the gross loss rate from provision of power solutions, and (ii) increase in sales from parts, accessories and after-sales vehicle services with relatively higher margins.</w:t>
      </w:r>
    </w:p>
    <w:p>
      <w:pPr>
        <w:spacing w:after="0" w:line="175" w:lineRule="exact"/>
        <w:rPr>
          <w:rFonts w:ascii="Arial" w:cs="Arial" w:eastAsia="Arial" w:hAnsi="Arial"/>
          <w:sz w:val="18"/>
          <w:szCs w:val="18"/>
          <w:b w:val="1"/>
          <w:bCs w:val="1"/>
          <w:color w:val="auto"/>
        </w:rPr>
      </w:pPr>
    </w:p>
    <w:p>
      <w:pPr>
        <w:jc w:val="both"/>
        <w:ind w:left="660" w:hanging="328"/>
        <w:spacing w:after="0" w:line="268"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Vehicle margin </w:t>
      </w:r>
      <w:r>
        <w:rPr>
          <w:rFonts w:ascii="Times New Roman" w:cs="Times New Roman" w:eastAsia="Times New Roman" w:hAnsi="Times New Roman"/>
          <w:sz w:val="18"/>
          <w:szCs w:val="18"/>
          <w:color w:val="auto"/>
        </w:rPr>
        <w:t>in the first quarter of 2026 was 18.8%, compared with 10.2% in the first quarter of 2025 and 18.1% in the fourth quarter of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increase in vehicle margin from the first quarter of 2025 and the fourth quarter of 2025 was mainly attributable to a more favorable product mix.</w:t>
      </w:r>
    </w:p>
    <w:p>
      <w:pPr>
        <w:spacing w:after="0" w:line="390"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5" w:lineRule="exact"/>
        <w:rPr>
          <w:sz w:val="20"/>
          <w:szCs w:val="20"/>
          <w:color w:val="auto"/>
        </w:rPr>
      </w:pPr>
    </w:p>
    <w:p>
      <w:pPr>
        <w:jc w:val="both"/>
        <w:ind w:left="660" w:hanging="328"/>
        <w:spacing w:after="0" w:line="255" w:lineRule="auto"/>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in the first quarter of 2026 were RMB1,885.0 million (US$273.3 million), representing a decrease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40.7% from the first quarter of 2025 and a decrease of 7.0% from the fourth quarter of 2025. Excluding share-based compensation expenses, adjusted research and development expenses (non-GAAP) were RMB1,708.2 million (US$247.6 million) in the first quarter of 2026, representing a decrease of 41.4% from the first quarter of 2025 and a decrease of 2.1% from the fourth quarter of 2025.The decrease in research and development expenses over the first quarter of 2025 was mainly due to decreased personnel costs in research and development functions primarily as a result of organizational optimization, and decreased design and development costs mainly resulting from different stages of development and improved operational efficiency. The decrease in research and development expenses over the fourth quarter of 2025 was mainly due to decreased design and development costs, which resulted from different stages of development and improved operational efficiency.</w:t>
      </w:r>
    </w:p>
    <w:p>
      <w:pPr>
        <w:spacing w:after="0" w:line="183" w:lineRule="exact"/>
        <w:rPr>
          <w:rFonts w:ascii="Arial" w:cs="Arial" w:eastAsia="Arial" w:hAnsi="Arial"/>
          <w:sz w:val="18"/>
          <w:szCs w:val="18"/>
          <w:b w:val="1"/>
          <w:bCs w:val="1"/>
          <w:color w:val="auto"/>
        </w:rPr>
      </w:pPr>
    </w:p>
    <w:p>
      <w:pPr>
        <w:jc w:val="both"/>
        <w:ind w:left="660" w:hanging="328"/>
        <w:spacing w:after="0" w:line="256" w:lineRule="auto"/>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in the first quarter of 2026 were RMB3,497.3 million (US$507.0 million), representing a decrease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20.5% from the first quarter of 2025 and a decrease of 1.1% from the fourth quarter of 2025. Excluding share-based compensation expenses, adjusted selling, general and administrative expenses (non-GAAP) were RMB3,308.7 million (US$479.7 million) in the first quarter of 2026, representing a decrease of 21.4% from the first quarter of 2025 and a decrease of 2.4% from the fourth quarter of 2025. The decrease in selling, general and administrative expenses over the first quarter of 2025 was mainly attributable to a decrease in personnel and related costs in marketing and other supporting functions as a result of organizational optimization, as well as a decrease in sales and marketing activities. Selling, general and administrative expenses in the first quarter of 2026 remained relatively stable compared with the fourth quarter of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(Loss)/Profit from Operations</w:t>
      </w:r>
    </w:p>
    <w:p>
      <w:pPr>
        <w:spacing w:after="0" w:line="225" w:lineRule="exact"/>
        <w:rPr>
          <w:sz w:val="20"/>
          <w:szCs w:val="20"/>
          <w:color w:val="auto"/>
        </w:rPr>
      </w:pPr>
    </w:p>
    <w:p>
      <w:pPr>
        <w:jc w:val="both"/>
        <w:ind w:left="660" w:hanging="328"/>
        <w:spacing w:after="0" w:line="259" w:lineRule="auto"/>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Loss from operations </w:t>
      </w:r>
      <w:r>
        <w:rPr>
          <w:rFonts w:ascii="Times New Roman" w:cs="Times New Roman" w:eastAsia="Times New Roman" w:hAnsi="Times New Roman"/>
          <w:sz w:val="18"/>
          <w:szCs w:val="18"/>
          <w:color w:val="auto"/>
        </w:rPr>
        <w:t>in the first quarter of 2026 was RMB308.8 million (US$44.8 million), compared with loss from operations of RMB6,418.1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first quarter of 2025 and profit from operations of RMB807.3 million in the fourth quarter of 2025. Excluding share-based compensation expenses, adjusted profit from operations (non-GAAP) was RMB66.8 million (US$9.7 million) in the first quarter of 2026, compared with adjusted loss from operations (non-GAAP) of RMB 5,947.2 million in the first quarter of 2025 and adjusted profit from operations (non-GAAP) of RMB1,251.3 million in the fourth quarter of 2025.</w:t>
      </w:r>
    </w:p>
    <w:p>
      <w:pPr>
        <w:spacing w:after="0" w:line="398"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Net (Loss)/Profit and Earnings Per Share/ADS</w:t>
      </w:r>
    </w:p>
    <w:p>
      <w:pPr>
        <w:spacing w:after="0" w:line="225" w:lineRule="exact"/>
        <w:rPr>
          <w:sz w:val="20"/>
          <w:szCs w:val="20"/>
          <w:color w:val="auto"/>
        </w:rPr>
      </w:pPr>
    </w:p>
    <w:p>
      <w:pPr>
        <w:jc w:val="both"/>
        <w:ind w:left="660" w:hanging="328"/>
        <w:spacing w:after="0" w:line="262" w:lineRule="auto"/>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in the first quarter of 2026 was RMB332.1 million (US$48.1 million), compared with net loss of RMB6,750.0 million in the first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2025 and net profit of RMB282.7million in the fourth quarter of 2025. Excluding share-based compensation expenses, adjusted net profit (non-GAAP) was RMB43.5 million (US$6.3 million) in the first quarter of 2026, compared with adjusted net loss (non-GAAP) of RMB6,279.1 million in the first quarter of 2025 and adjusted net profit of RMB726.8 million in the fourth quarter of 2025.</w:t>
      </w:r>
    </w:p>
    <w:p>
      <w:pPr>
        <w:spacing w:after="0" w:line="175" w:lineRule="exact"/>
        <w:rPr>
          <w:rFonts w:ascii="Arial" w:cs="Arial" w:eastAsia="Arial" w:hAnsi="Arial"/>
          <w:sz w:val="18"/>
          <w:szCs w:val="18"/>
          <w:b w:val="1"/>
          <w:bCs w:val="1"/>
          <w:color w:val="auto"/>
        </w:rPr>
      </w:pPr>
    </w:p>
    <w:p>
      <w:pPr>
        <w:jc w:val="both"/>
        <w:ind w:left="660" w:hanging="328"/>
        <w:spacing w:after="0" w:line="256" w:lineRule="auto"/>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Net loss attributable to NIO’s ordinary shareholders </w:t>
      </w:r>
      <w:r>
        <w:rPr>
          <w:rFonts w:ascii="Times New Roman" w:cs="Times New Roman" w:eastAsia="Times New Roman" w:hAnsi="Times New Roman"/>
          <w:sz w:val="18"/>
          <w:szCs w:val="18"/>
          <w:color w:val="auto"/>
        </w:rPr>
        <w:t>in the first quarter of 2026 was RMB496.0 million (US$71.9 million), compared with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 attributable to NIO’s ordinary shareholders of RMB6,891.1 million in the first quarter of 2025 and net profit attributable to NIO’s ordinary shareholders of RMB122.4 million in the fourth quarter of 2025. Excluding share-based compensation expenses and accretion on redeemable non-controlling interests to redemption value, adjusted net profit attributable to NIO’s ordinary shareholders (non-GAAP) was RMB44.5 million (US$6.5 million) in the first quarter of 2026, compared with adjusted net loss attributable to NIO’s ordinary shareholders (non-GAAP) of RMB6,275.6 million in the first quarter of 2025 and adjusted net profit attributable to NIO’s ordinary shareholders (non-GAAP) of RMB728.1 million in the fourth quarter of 2025.</w:t>
      </w:r>
    </w:p>
    <w:p>
      <w:pPr>
        <w:spacing w:after="0" w:line="181" w:lineRule="exact"/>
        <w:rPr>
          <w:rFonts w:ascii="Arial" w:cs="Arial" w:eastAsia="Arial" w:hAnsi="Arial"/>
          <w:sz w:val="18"/>
          <w:szCs w:val="18"/>
          <w:b w:val="1"/>
          <w:bCs w:val="1"/>
          <w:color w:val="auto"/>
        </w:rPr>
      </w:pPr>
    </w:p>
    <w:p>
      <w:pPr>
        <w:jc w:val="both"/>
        <w:ind w:left="660" w:hanging="328"/>
        <w:spacing w:after="0" w:line="257" w:lineRule="auto"/>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Basic and diluted net loss per ordinary share/ADS </w:t>
      </w:r>
      <w:r>
        <w:rPr>
          <w:rFonts w:ascii="Times New Roman" w:cs="Times New Roman" w:eastAsia="Times New Roman" w:hAnsi="Times New Roman"/>
          <w:sz w:val="18"/>
          <w:szCs w:val="18"/>
          <w:color w:val="auto"/>
        </w:rPr>
        <w:t>in the first quarter of 2026 were both RMB0.20 (US$0.03), compared with basic and diluted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loss per ordinary share/ADS of RMB3.29 in the first quarter of 2025 and basic and diluted net profit per ordinary share/ADS of RMB0.05 in the fourth quarter of 2025. Excluding share-based compensation expenses and accretion on redeemable non-controlling interests to redemption value, adjusted basic and diluted net profit per share/ADS (non-GAAP) were both RMB0.02 (US$0.00) in the first quarter of 2026, compared with adjusted basic and diluted net loss per share/ADS (non-GAAP) of RMB3.01 in the first quarter of 2025 and adjusted basic and diluted net profit per ordinary share/ADS (non-GAAP) of RMB0.29 in the fourth quarter of 2025.</w:t>
      </w:r>
    </w:p>
    <w:p>
      <w:pPr>
        <w:spacing w:after="0" w:line="200" w:lineRule="exact"/>
        <w:rPr>
          <w:sz w:val="20"/>
          <w:szCs w:val="20"/>
          <w:color w:val="auto"/>
        </w:rPr>
      </w:pPr>
    </w:p>
    <w:p>
      <w:pPr>
        <w:spacing w:after="0" w:line="201"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25" w:lineRule="exact"/>
        <w:rPr>
          <w:sz w:val="20"/>
          <w:szCs w:val="20"/>
          <w:color w:val="auto"/>
        </w:rPr>
      </w:pPr>
    </w:p>
    <w:p>
      <w:pPr>
        <w:jc w:val="both"/>
        <w:ind w:left="660" w:hanging="328"/>
        <w:spacing w:after="0" w:line="254" w:lineRule="auto"/>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Balance of cash and cash equivalents, restricted cash, short-term investment and long-term time deposits </w:t>
      </w:r>
      <w:r>
        <w:rPr>
          <w:rFonts w:ascii="Times New Roman" w:cs="Times New Roman" w:eastAsia="Times New Roman" w:hAnsi="Times New Roman"/>
          <w:sz w:val="18"/>
          <w:szCs w:val="18"/>
          <w:color w:val="auto"/>
        </w:rPr>
        <w:t>was RMB48.2 billion (US$7.0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billion) as of March 31, 2026. Our net current assets turned positive as of March 31, 2026 and we generated positive operating cash flows and adjusted net profit (non-GAAP) in the first quarter of 2026, despite recording a net loss under GAAP in this quarter. Based on our going concern and liquidity assessment, which considers our business plan including revenue growth from the sales of existing and new vehicle models, continuous optimization of operation efficiency to improve operating cash flows, working capital management, the ability to raise funds from banks under available credit quotas and other sources when needed, and evaluates uncertainties as to the successful execution of our business plan, we believe that our financial resources, including our available cash and cash equivalents, restricted cash and short-term investments, cash generated from operating activities and funds from available credit quotas and other sources will be sufficient to support our continuous operations in the ordinary course of business for the next twelve months.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Business 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second quarter of 2026, the Company expects:</w:t>
      </w:r>
    </w:p>
    <w:p>
      <w:pPr>
        <w:spacing w:after="0" w:line="221" w:lineRule="exact"/>
        <w:rPr>
          <w:sz w:val="20"/>
          <w:szCs w:val="20"/>
          <w:color w:val="auto"/>
        </w:rPr>
      </w:pPr>
    </w:p>
    <w:p>
      <w:pPr>
        <w:ind w:left="660" w:hanging="328"/>
        <w:spacing w:after="0" w:line="285" w:lineRule="auto"/>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Deliveries of vehicles </w:t>
      </w:r>
      <w:r>
        <w:rPr>
          <w:rFonts w:ascii="Times New Roman" w:cs="Times New Roman" w:eastAsia="Times New Roman" w:hAnsi="Times New Roman"/>
          <w:sz w:val="18"/>
          <w:szCs w:val="18"/>
          <w:color w:val="auto"/>
        </w:rPr>
        <w:t>to be between 110,000 and 115,000 vehicles, representing an increase of approximately 52.7% to 59.6% from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2025.</w:t>
      </w:r>
    </w:p>
    <w:p>
      <w:pPr>
        <w:spacing w:after="0" w:line="182" w:lineRule="exact"/>
        <w:rPr>
          <w:rFonts w:ascii="Arial" w:cs="Arial" w:eastAsia="Arial" w:hAnsi="Arial"/>
          <w:sz w:val="18"/>
          <w:szCs w:val="18"/>
          <w:b w:val="1"/>
          <w:bCs w:val="1"/>
          <w:color w:val="auto"/>
        </w:rPr>
      </w:pPr>
    </w:p>
    <w:p>
      <w:pPr>
        <w:ind w:left="660" w:hanging="328"/>
        <w:spacing w:after="0" w:line="285" w:lineRule="auto"/>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to be between RMB32,777 million (US$4,752 million) and RMB34,436 million (US$4,992 million), representing an increase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72.4% to 81.2% from the same quarter of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business outlook reflects the Company’s current and preliminary view on the business situation and market condition, which is subject to change.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Conference Call</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management will host an earnings conference call at 8:00 AM U.S. Eastern Time on May 21, 2026 (8:00 PM Beijing/Hong Kong/Singapore Time on May 21,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of the conference call will be available on the Company’s investor relations website at </w:t>
      </w:r>
      <w:r>
        <w:rPr>
          <w:rFonts w:ascii="Times New Roman" w:cs="Times New Roman" w:eastAsia="Times New Roman" w:hAnsi="Times New Roman"/>
          <w:sz w:val="18"/>
          <w:szCs w:val="18"/>
          <w:u w:val="single" w:color="auto"/>
          <w:color w:val="auto"/>
        </w:rPr>
        <w:t>https://ir.nio.com/news-events/events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For participants who wish to join the conference using dial-in numbers, please register in advance using the link provided below and dial in 10 minutes prior to the call. Dial-in numbers, passcode and unique access PIN would be provided upon registering.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https://s1.c-conf.com/diamondpass/10054768-rm1exy.html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of the conference call will be accessible by phone at the following numbers, until May 29, 2026:</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+1-855-883-1031</w:t>
            </w:r>
          </w:p>
        </w:tc>
      </w:tr>
      <w:tr>
        <w:trPr>
          <w:trHeight w:val="243"/>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Hong Kong, China:</w:t>
            </w:r>
          </w:p>
        </w:tc>
        <w:tc>
          <w:tcPr>
            <w:tcW w:w="16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+852-800-930-639</w:t>
            </w:r>
          </w:p>
        </w:tc>
      </w:tr>
      <w:tr>
        <w:trPr>
          <w:trHeight w:val="243"/>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16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+86-400-1209-216</w:t>
            </w:r>
          </w:p>
        </w:tc>
      </w:tr>
      <w:tr>
        <w:trPr>
          <w:trHeight w:val="243"/>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16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+65-800-1013-223</w:t>
            </w:r>
          </w:p>
        </w:tc>
      </w:tr>
      <w:tr>
        <w:trPr>
          <w:trHeight w:val="243"/>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+61-7-3107-6325</w:t>
            </w:r>
          </w:p>
        </w:tc>
      </w:tr>
      <w:tr>
        <w:trPr>
          <w:trHeight w:val="243"/>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Replay PIN:</w:t>
            </w:r>
          </w:p>
        </w:tc>
        <w:tc>
          <w:tcPr>
            <w:tcW w:w="1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10054768</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About NIO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premium smart electric vehicles for families through the ONVO brand, and small smart high-end electric cars with the FIREFLY brand.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spacing w:after="0" w:line="200" w:lineRule="exact"/>
        <w:rPr>
          <w:sz w:val="20"/>
          <w:szCs w:val="20"/>
          <w:color w:val="auto"/>
        </w:rPr>
      </w:pPr>
    </w:p>
    <w:p>
      <w:pPr>
        <w:spacing w:after="0" w:line="207"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Non-GAAP Disclosure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uses non-GAAP measures, such as adjusted cost of sales (non-GAAP), adjusted research and development expenses (non-GAAP), adjusted selling, general and administrative expenses (non-GAAP), adjusted profit/(loss) from operations (non-GAAP), adjusted net profit/(loss) (non-GAAP), adjusted net profit/(loss) attributable to ordinary shareholders (non-GAAP) and adjusted basic and diluted net profit/(loss) per share/ADS (non-GAAP), in evaluating its operating results and for financial and operational decision-making purposes. The Company defines adjusted cost of sales (non-GAAP), adjusted research and development expenses (non-GAAP), adjusted selling, general and administrative expenses (non-GAAP) and adjusted profit/(loss) from operations (non-GAAP) and adjusted net profit/(loss) (non-GAAP) as cost of sales, research and development expenses, selling, general and administrative expenses, profit/(loss) from operations and net profit/(loss) excluding share-based compensation expenses and organizational optimization charges. The Company defines adjusted net profit/(loss) attributable to ordinary shareholders (non-GAAP) and adjusted basic and diluted profit/(loss) per share/ADS (non-GAAP) as profit/(loss) attributable to ordinary shareholders and basic and diluted profit/(loss) per share/ADS excluding share-based compensation expenses, organizational optimization charges and accretion on redeemable non-controlling interests to redemption value. By excluding the impact of share-based compensation expenses, organizational optimization charges and accretion on redeemable non-controlling interests to redemption value, which are either non-cash or not indicative of the Company’s ordinary or ongoing operations due to their size or nature, the Company believes that the non-GAAP financial measures help identify underlying trends in its business and enhance the overall understanding of the Company’s past performance and future prospects. The Company also believes that the non-GAAP financial measures allow for greater visibility with respect to key metrics used by the Company’s management in its financial and operational decision-making.</w:t>
      </w:r>
    </w:p>
    <w:p>
      <w:pPr>
        <w:spacing w:after="0" w:line="200" w:lineRule="exact"/>
        <w:rPr>
          <w:sz w:val="20"/>
          <w:szCs w:val="20"/>
          <w:color w:val="auto"/>
        </w:rPr>
      </w:pPr>
    </w:p>
    <w:p>
      <w:pPr>
        <w:spacing w:after="0" w:line="212"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spacing w:after="0" w:line="258" w:lineRule="auto"/>
        <w:rPr>
          <w:sz w:val="20"/>
          <w:szCs w:val="20"/>
          <w:color w:val="auto"/>
        </w:rPr>
      </w:pPr>
      <w:r>
        <w:rPr>
          <w:rFonts w:ascii="Times New Roman" w:cs="Times New Roman" w:eastAsia="Times New Roman" w:hAnsi="Times New Roman"/>
          <w:sz w:val="18"/>
          <w:szCs w:val="18"/>
          <w:color w:val="auto"/>
        </w:rPr>
        <w:t>The non-GAAP financial measures are not presented in accordance with U.S. GAAP and may be different from non-GAAP methods of accounting and reporting used by other companies. The non-GAAP financial measures have limitations as analytical tools and when assessing the Company’s operating performance, investors should not consider them in isolation, or as a substitute for net profit/(loss) or other consolidated statements of comprehensive profit/(loss) data prepared in accordance with U.S. GAAP. The Company encourages investors and others to review its financial information in its entirety and not rely on a single financial measure.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mitigates these limitations by reconciling the non-GAAP financial measures to the most comparable U.S. GAAP performance measures, all of which should be considered when evaluating the Company’s performance.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the non-GAAP financial measures, please see the table captioned “Unaudited Reconciliation of GAAP and Non-GAAP Results” set forth at the end of this press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Exchange Rate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announcement contains translations of certain Renminbi amounts into U.S. dollars at specified rates solely for the convenience of the reader. Unless otherwise stated, all translations from Renminbi to U.S. dollars were made at the rate of RMB6.8980 to US$1.00, the noon buying rate in effect on March 31, 2026 in the H.10 statistical release of the Federal Reserve Board. The Company makes no representation that the Renminbi or U.S. dollars amounts referred could be converted into U.S. dollars or Renminbi, as the case may be, at any particular rate or at all.</w:t>
      </w:r>
    </w:p>
    <w:p>
      <w:pPr>
        <w:spacing w:after="0" w:line="396"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For more information, please visit: http://ir.nio.com.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ir@nio.com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global.press@nio.com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NIO</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5" w:name="page16"/>
    <w:bookmarkEnd w:id="15"/>
    <w:p>
      <w:pPr>
        <w:spacing w:after="0"/>
        <w:rPr>
          <w:sz w:val="20"/>
          <w:szCs w:val="20"/>
          <w:color w:val="auto"/>
        </w:rPr>
      </w:pPr>
      <w:r>
        <w:rPr>
          <w:rFonts w:ascii="Georgia" w:cs="Georgia" w:eastAsia="Georgia" w:hAnsi="Georgia"/>
          <w:sz w:val="18"/>
          <w:szCs w:val="18"/>
          <w:b w:val="1"/>
          <w:bCs w:val="1"/>
          <w:color w:val="auto"/>
        </w:rPr>
        <w:t>NIO INC.</w:t>
      </w: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9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gridSpan w:val="2"/>
          </w:tcPr>
          <w:p>
            <w:pPr>
              <w:spacing w:after="0"/>
              <w:rPr>
                <w:sz w:val="19"/>
                <w:szCs w:val="19"/>
                <w:color w:val="auto"/>
              </w:rPr>
            </w:pPr>
          </w:p>
        </w:tc>
      </w:tr>
      <w:tr>
        <w:trPr>
          <w:trHeight w:val="209"/>
        </w:trPr>
        <w:tc>
          <w:tcPr>
            <w:tcW w:w="49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11,274,094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8,827,507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1,279,720</w:t>
            </w:r>
          </w:p>
        </w:tc>
        <w:tc>
          <w:tcPr>
            <w:tcW w:w="8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14,745,975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16,304,820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2,363,703</w:t>
            </w:r>
          </w:p>
        </w:tc>
        <w:tc>
          <w:tcPr>
            <w:tcW w:w="8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19,755,809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22,938,157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3,325,334</w:t>
            </w:r>
          </w:p>
        </w:tc>
        <w:tc>
          <w:tcPr>
            <w:tcW w:w="8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Trade and notes receivables</w:t>
            </w:r>
          </w:p>
        </w:tc>
        <w:tc>
          <w:tcPr>
            <w:tcW w:w="3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1,394,445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1,159,560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168,101</w:t>
            </w:r>
          </w:p>
        </w:tc>
        <w:tc>
          <w:tcPr>
            <w:tcW w:w="8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3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16,078,250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16,375,974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2,374,018</w:t>
            </w:r>
          </w:p>
        </w:tc>
        <w:tc>
          <w:tcPr>
            <w:tcW w:w="8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3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8,530,854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8,579,710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1,243,797</w:t>
            </w:r>
          </w:p>
        </w:tc>
        <w:tc>
          <w:tcPr>
            <w:tcW w:w="80" w:type="dxa"/>
            <w:vAlign w:val="bottom"/>
          </w:tcPr>
          <w:p>
            <w:pPr>
              <w:spacing w:after="0"/>
              <w:rPr>
                <w:sz w:val="18"/>
                <w:szCs w:val="18"/>
                <w:color w:val="auto"/>
              </w:rPr>
            </w:pPr>
          </w:p>
        </w:tc>
      </w:tr>
      <w:tr>
        <w:trPr>
          <w:trHeight w:val="22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4,853,610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5,154,523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747,249</w:t>
            </w:r>
          </w:p>
        </w:tc>
        <w:tc>
          <w:tcPr>
            <w:tcW w:w="80" w:type="dxa"/>
            <w:vAlign w:val="bottom"/>
            <w:shd w:val="clear" w:color="auto" w:fill="CCEEFF"/>
          </w:tcPr>
          <w:p>
            <w:pPr>
              <w:spacing w:after="0"/>
              <w:rPr>
                <w:sz w:val="19"/>
                <w:szCs w:val="19"/>
                <w:color w:val="auto"/>
              </w:rPr>
            </w:pPr>
          </w:p>
        </w:tc>
      </w:tr>
      <w:tr>
        <w:trPr>
          <w:trHeight w:val="209"/>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2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76,633,037</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79,340,251</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11,501,922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3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88,325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86,036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12,473</w:t>
            </w:r>
          </w:p>
        </w:tc>
        <w:tc>
          <w:tcPr>
            <w:tcW w:w="8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25,827,968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25,432,871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3,686,992</w:t>
            </w:r>
          </w:p>
        </w:tc>
        <w:tc>
          <w:tcPr>
            <w:tcW w:w="8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29,648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29,648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4,298</w:t>
            </w:r>
          </w:p>
        </w:tc>
        <w:tc>
          <w:tcPr>
            <w:tcW w:w="8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rights, net</w:t>
            </w:r>
          </w:p>
        </w:tc>
        <w:tc>
          <w:tcPr>
            <w:tcW w:w="3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196,691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195,365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28,322</w:t>
            </w:r>
          </w:p>
        </w:tc>
        <w:tc>
          <w:tcPr>
            <w:tcW w:w="8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3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2,480,518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2,450,240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355,210</w:t>
            </w:r>
          </w:p>
        </w:tc>
        <w:tc>
          <w:tcPr>
            <w:tcW w:w="8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 operating lease</w:t>
            </w:r>
          </w:p>
        </w:tc>
        <w:tc>
          <w:tcPr>
            <w:tcW w:w="3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11,711,306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11,301,509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1,638,375</w:t>
            </w:r>
          </w:p>
        </w:tc>
        <w:tc>
          <w:tcPr>
            <w:tcW w:w="80" w:type="dxa"/>
            <w:vAlign w:val="bottom"/>
            <w:shd w:val="clear" w:color="auto" w:fill="CCEEFF"/>
          </w:tcPr>
          <w:p>
            <w:pPr>
              <w:spacing w:after="0"/>
              <w:rPr>
                <w:sz w:val="18"/>
                <w:szCs w:val="18"/>
                <w:color w:val="auto"/>
              </w:rPr>
            </w:pP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7,433,585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7,359,089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1,066,844</w:t>
            </w:r>
          </w:p>
        </w:tc>
        <w:tc>
          <w:tcPr>
            <w:tcW w:w="80" w:type="dxa"/>
            <w:vAlign w:val="bottom"/>
          </w:tcPr>
          <w:p>
            <w:pPr>
              <w:spacing w:after="0"/>
              <w:rPr>
                <w:sz w:val="19"/>
                <w:szCs w:val="19"/>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8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47,768,041</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46,854,758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6,792,514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124,401,078</w:t>
            </w:r>
          </w:p>
        </w:tc>
        <w:tc>
          <w:tcPr>
            <w:tcW w:w="2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126,195,009</w:t>
            </w:r>
          </w:p>
        </w:tc>
        <w:tc>
          <w:tcPr>
            <w:tcW w:w="2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18,294,436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4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8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3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4,691,910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5,549,008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804,437</w:t>
            </w:r>
          </w:p>
        </w:tc>
        <w:tc>
          <w:tcPr>
            <w:tcW w:w="8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Trade and notes payable</w:t>
            </w:r>
          </w:p>
        </w:tc>
        <w:tc>
          <w:tcPr>
            <w:tcW w:w="3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53,309,727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53,969,730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7,823,968</w:t>
            </w:r>
          </w:p>
        </w:tc>
        <w:tc>
          <w:tcPr>
            <w:tcW w:w="8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 current</w:t>
            </w:r>
          </w:p>
        </w:tc>
        <w:tc>
          <w:tcPr>
            <w:tcW w:w="3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625,903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638,215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92,522</w:t>
            </w:r>
          </w:p>
        </w:tc>
        <w:tc>
          <w:tcPr>
            <w:tcW w:w="8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3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439,240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306,346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44,411</w:t>
            </w:r>
          </w:p>
        </w:tc>
        <w:tc>
          <w:tcPr>
            <w:tcW w:w="8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2,163,768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2,179,413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315,949</w:t>
            </w:r>
          </w:p>
        </w:tc>
        <w:tc>
          <w:tcPr>
            <w:tcW w:w="8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3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655,971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736,435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106,761</w:t>
            </w:r>
          </w:p>
        </w:tc>
        <w:tc>
          <w:tcPr>
            <w:tcW w:w="80" w:type="dxa"/>
            <w:vAlign w:val="bottom"/>
          </w:tcPr>
          <w:p>
            <w:pPr>
              <w:spacing w:after="0"/>
              <w:rPr>
                <w:sz w:val="18"/>
                <w:szCs w:val="18"/>
                <w:color w:val="auto"/>
              </w:rPr>
            </w:pPr>
          </w:p>
        </w:tc>
      </w:tr>
      <w:tr>
        <w:trPr>
          <w:trHeight w:val="23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 and other liabilities</w:t>
            </w:r>
          </w:p>
        </w:tc>
        <w:tc>
          <w:tcPr>
            <w:tcW w:w="3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16,696,044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15,224,724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2,207,121</w:t>
            </w:r>
          </w:p>
        </w:tc>
        <w:tc>
          <w:tcPr>
            <w:tcW w:w="80" w:type="dxa"/>
            <w:vAlign w:val="bottom"/>
            <w:shd w:val="clear" w:color="auto" w:fill="CCEEFF"/>
          </w:tcPr>
          <w:p>
            <w:pPr>
              <w:spacing w:after="0"/>
              <w:rPr>
                <w:sz w:val="19"/>
                <w:szCs w:val="19"/>
                <w:color w:val="auto"/>
              </w:rPr>
            </w:pPr>
          </w:p>
        </w:tc>
      </w:tr>
      <w:tr>
        <w:trPr>
          <w:trHeight w:val="210"/>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2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78,582,563</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78,603,871</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11,395,169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3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8,626,272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8,389,485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1,216,220</w:t>
            </w:r>
          </w:p>
        </w:tc>
        <w:tc>
          <w:tcPr>
            <w:tcW w:w="8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10,092,039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9,713,184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1,408,116</w:t>
            </w:r>
          </w:p>
        </w:tc>
        <w:tc>
          <w:tcPr>
            <w:tcW w:w="8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 non-current</w:t>
            </w:r>
          </w:p>
        </w:tc>
        <w:tc>
          <w:tcPr>
            <w:tcW w:w="3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604,178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777,289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112,683</w:t>
            </w:r>
          </w:p>
        </w:tc>
        <w:tc>
          <w:tcPr>
            <w:tcW w:w="8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112,691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118,487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17,177</w:t>
            </w:r>
          </w:p>
        </w:tc>
        <w:tc>
          <w:tcPr>
            <w:tcW w:w="80" w:type="dxa"/>
            <w:vAlign w:val="bottom"/>
            <w:shd w:val="clear" w:color="auto" w:fill="CCEEFF"/>
          </w:tcPr>
          <w:p>
            <w:pPr>
              <w:spacing w:after="0"/>
              <w:rPr>
                <w:sz w:val="18"/>
                <w:szCs w:val="18"/>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13,690,778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14,098,969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2,043,923</w:t>
            </w:r>
          </w:p>
        </w:tc>
        <w:tc>
          <w:tcPr>
            <w:tcW w:w="80" w:type="dxa"/>
            <w:vAlign w:val="bottom"/>
          </w:tcPr>
          <w:p>
            <w:pPr>
              <w:spacing w:after="0"/>
              <w:rPr>
                <w:sz w:val="19"/>
                <w:szCs w:val="19"/>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8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33,125,958</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33,097,414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4,798,119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111,708,521</w:t>
            </w: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111,701,285</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16,193,288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628"/>
        </w:trPr>
        <w:tc>
          <w:tcPr>
            <w:tcW w:w="49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1240"/>
          </w:cols>
          <w:pgMar w:left="320" w:top="9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661"/>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4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gridSpan w:val="2"/>
          </w:tcPr>
          <w:p>
            <w:pPr>
              <w:spacing w:after="0"/>
              <w:rPr>
                <w:sz w:val="19"/>
                <w:szCs w:val="19"/>
                <w:color w:val="auto"/>
              </w:rPr>
            </w:pPr>
          </w:p>
        </w:tc>
      </w:tr>
      <w:tr>
        <w:trPr>
          <w:trHeight w:val="209"/>
        </w:trPr>
        <w:tc>
          <w:tcPr>
            <w:tcW w:w="5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1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8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8,551,854</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10,173,477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1,474,844</w:t>
            </w:r>
          </w:p>
        </w:tc>
        <w:tc>
          <w:tcPr>
            <w:tcW w:w="80" w:type="dxa"/>
            <w:vAlign w:val="bottom"/>
          </w:tcPr>
          <w:p>
            <w:pPr>
              <w:spacing w:after="0"/>
              <w:rPr>
                <w:sz w:val="19"/>
                <w:szCs w:val="19"/>
                <w:color w:val="auto"/>
              </w:rPr>
            </w:pPr>
          </w:p>
        </w:tc>
      </w:tr>
      <w:tr>
        <w:trPr>
          <w:trHeight w:val="209"/>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11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8,551,854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10,173,477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1,474,844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NIO Inc. shareholders’ equity</w:t>
            </w:r>
          </w:p>
        </w:tc>
        <w:tc>
          <w:tcPr>
            <w:tcW w:w="28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4,159,460</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4,340,065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629,177</w:t>
            </w:r>
          </w:p>
        </w:tc>
        <w:tc>
          <w:tcPr>
            <w:tcW w:w="80" w:type="dxa"/>
            <w:vAlign w:val="bottom"/>
            <w:shd w:val="clear" w:color="auto" w:fill="CCEEFF"/>
          </w:tcPr>
          <w:p>
            <w:pPr>
              <w:spacing w:after="0"/>
              <w:rPr>
                <w:sz w:val="19"/>
                <w:szCs w:val="19"/>
                <w:color w:val="auto"/>
              </w:rPr>
            </w:pPr>
          </w:p>
        </w:tc>
      </w:tr>
      <w:tr>
        <w:trPr>
          <w:trHeight w:val="209"/>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14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14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4,140,703</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4,320,247</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114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124,401,078</w:t>
            </w: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126,195,009</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18,294,436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628"/>
        </w:trPr>
        <w:tc>
          <w:tcPr>
            <w:tcW w:w="5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Loss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share/ADS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76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60" w:type="dxa"/>
            <w:vAlign w:val="bottom"/>
          </w:tcPr>
          <w:p>
            <w:pPr>
              <w:spacing w:after="0"/>
              <w:rPr>
                <w:sz w:val="19"/>
                <w:szCs w:val="19"/>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74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19"/>
                <w:szCs w:val="19"/>
                <w:color w:val="auto"/>
              </w:rPr>
            </w:pPr>
          </w:p>
        </w:tc>
      </w:tr>
      <w:tr>
        <w:trPr>
          <w:trHeight w:val="209"/>
        </w:trPr>
        <w:tc>
          <w:tcPr>
            <w:tcW w:w="5360" w:type="dxa"/>
            <w:vAlign w:val="bottom"/>
          </w:tcPr>
          <w:p>
            <w:pPr>
              <w:spacing w:after="0"/>
              <w:rPr>
                <w:sz w:val="18"/>
                <w:szCs w:val="18"/>
                <w:color w:val="auto"/>
              </w:rPr>
            </w:pPr>
          </w:p>
        </w:tc>
        <w:tc>
          <w:tcPr>
            <w:tcW w:w="12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RMB</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Vehicle sales</w:t>
            </w: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9,939,305</w:t>
            </w:r>
          </w:p>
        </w:tc>
        <w:tc>
          <w:tcPr>
            <w:tcW w:w="174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31,606,179</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22,783,708</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3,302,944</w:t>
            </w:r>
          </w:p>
        </w:tc>
      </w:tr>
      <w:tr>
        <w:trPr>
          <w:trHeight w:val="22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sales</w:t>
            </w: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2,095,424</w:t>
            </w:r>
          </w:p>
        </w:tc>
        <w:tc>
          <w:tcPr>
            <w:tcW w:w="174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3,044,062</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2,748,947</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398,514</w:t>
            </w:r>
          </w:p>
        </w:tc>
      </w:tr>
      <w:tr>
        <w:trPr>
          <w:trHeight w:val="209"/>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12,034,729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34,650,241</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25,532,655</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3,701,458</w:t>
            </w:r>
          </w:p>
        </w:tc>
        <w:tc>
          <w:tcPr>
            <w:tcW w:w="100" w:type="dxa"/>
            <w:vAlign w:val="bottom"/>
            <w:tcBorders>
              <w:bottom w:val="single" w:sz="8" w:color="CCEEFF"/>
            </w:tcBorders>
          </w:tcPr>
          <w:p>
            <w:pPr>
              <w:spacing w:after="0"/>
              <w:rPr>
                <w:sz w:val="18"/>
                <w:szCs w:val="18"/>
                <w:color w:val="auto"/>
              </w:rPr>
            </w:pPr>
          </w:p>
        </w:tc>
      </w:tr>
      <w:tr>
        <w:trPr>
          <w:trHeight w:val="237"/>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Vehicle sales</w:t>
            </w: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(8,925,641)</w:t>
            </w:r>
          </w:p>
        </w:tc>
        <w:tc>
          <w:tcPr>
            <w:tcW w:w="17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(25,893,175)</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(18,491,467)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(2,680,700)</w:t>
            </w:r>
          </w:p>
        </w:tc>
      </w:tr>
      <w:tr>
        <w:trPr>
          <w:trHeight w:val="23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sales</w:t>
            </w:r>
          </w:p>
        </w:tc>
        <w:tc>
          <w:tcPr>
            <w:tcW w:w="1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(2,189,534)</w:t>
            </w:r>
          </w:p>
        </w:tc>
        <w:tc>
          <w:tcPr>
            <w:tcW w:w="17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(2,683,007)</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(2,182,051)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(316,331)</w:t>
            </w:r>
          </w:p>
        </w:tc>
      </w:tr>
      <w:tr>
        <w:trPr>
          <w:trHeight w:val="209"/>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cost of sales</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(11,115,175</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(28,576,182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(20,673,518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(2,997,031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919,554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6,074,059</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4,859,137</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704,427</w:t>
            </w:r>
          </w:p>
        </w:tc>
        <w:tc>
          <w:tcPr>
            <w:tcW w:w="100" w:type="dxa"/>
            <w:vAlign w:val="bottom"/>
            <w:shd w:val="clear" w:color="auto" w:fill="CCEEFF"/>
          </w:tcPr>
          <w:p>
            <w:pPr>
              <w:spacing w:after="0"/>
              <w:rPr>
                <w:sz w:val="18"/>
                <w:szCs w:val="18"/>
                <w:color w:val="auto"/>
              </w:rPr>
            </w:pPr>
          </w:p>
        </w:tc>
      </w:tr>
      <w:tr>
        <w:trPr>
          <w:trHeight w:val="209"/>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(3,181,403)</w:t>
            </w:r>
          </w:p>
        </w:tc>
        <w:tc>
          <w:tcPr>
            <w:tcW w:w="17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(2,025,954)</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(1,885,024)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(273,271)</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(4,400,763)</w:t>
            </w:r>
          </w:p>
        </w:tc>
        <w:tc>
          <w:tcPr>
            <w:tcW w:w="17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(3,537,388)</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(3,497,306)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(507,003)</w:t>
            </w:r>
          </w:p>
        </w:tc>
      </w:tr>
      <w:tr>
        <w:trPr>
          <w:trHeight w:val="23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244,484</w:t>
            </w:r>
          </w:p>
        </w:tc>
        <w:tc>
          <w:tcPr>
            <w:tcW w:w="174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296,553</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214,382</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31,079</w:t>
            </w:r>
          </w:p>
        </w:tc>
      </w:tr>
      <w:tr>
        <w:trPr>
          <w:trHeight w:val="209"/>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(7,337,682</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(5,266,789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(5,167,948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(749,195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(Loss)/profit from operations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(6,418,128)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807,270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(308,811)</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(44,768)</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173,216</w:t>
            </w:r>
          </w:p>
        </w:tc>
        <w:tc>
          <w:tcPr>
            <w:tcW w:w="174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126,517</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115,894</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16,801</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(244,862)</w:t>
            </w:r>
          </w:p>
        </w:tc>
        <w:tc>
          <w:tcPr>
            <w:tcW w:w="17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(205,130)</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(214,405)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(31,082)</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(14,660)</w:t>
            </w:r>
          </w:p>
        </w:tc>
        <w:tc>
          <w:tcPr>
            <w:tcW w:w="80" w:type="dxa"/>
            <w:vAlign w:val="bottom"/>
          </w:tcPr>
          <w:p>
            <w:pPr>
              <w:spacing w:after="0"/>
              <w:rPr>
                <w:sz w:val="18"/>
                <w:szCs w:val="18"/>
                <w:color w:val="auto"/>
              </w:rPr>
            </w:pPr>
          </w:p>
        </w:tc>
        <w:tc>
          <w:tcPr>
            <w:tcW w:w="16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losses of equity investees</w:t>
            </w:r>
          </w:p>
        </w:tc>
        <w:tc>
          <w:tcPr>
            <w:tcW w:w="1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(256,195)</w:t>
            </w:r>
          </w:p>
        </w:tc>
        <w:tc>
          <w:tcPr>
            <w:tcW w:w="17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(529,242)</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(37,908)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w:t>
            </w: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15,227</w:t>
            </w:r>
          </w:p>
        </w:tc>
        <w:tc>
          <w:tcPr>
            <w:tcW w:w="174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100,586</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125,266</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18,160</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(Loss)/profit before income tax expense</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(6,745,402)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300,001</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(319,964)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(4,631)</w:t>
            </w:r>
          </w:p>
        </w:tc>
        <w:tc>
          <w:tcPr>
            <w:tcW w:w="17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(17,283)</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(12,118)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(1,757)</w:t>
            </w:r>
          </w:p>
        </w:tc>
      </w:tr>
      <w:tr>
        <w:trPr>
          <w:trHeight w:val="209"/>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(loss)/profit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(6,750,033)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282,718</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(332,082)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Accretion on redeemable non-controlling interests to redemption value</w:t>
            </w: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(144,490)</w:t>
            </w:r>
          </w:p>
        </w:tc>
        <w:tc>
          <w:tcPr>
            <w:tcW w:w="17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(161,624)</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(164,987)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(23,918)</w:t>
            </w:r>
          </w:p>
        </w:tc>
      </w:tr>
      <w:tr>
        <w:trPr>
          <w:trHeight w:val="22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3,462</w:t>
            </w:r>
          </w:p>
        </w:tc>
        <w:tc>
          <w:tcPr>
            <w:tcW w:w="174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1,349</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1,061</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154</w:t>
            </w:r>
          </w:p>
        </w:tc>
      </w:tr>
      <w:tr>
        <w:trPr>
          <w:trHeight w:val="263"/>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(loss)/profit attributable to ordinary shareholders of NIO Inc.</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(6,891,061</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122,443</w:t>
            </w:r>
          </w:p>
        </w:tc>
        <w:tc>
          <w:tcPr>
            <w:tcW w:w="22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(496,008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(71,906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5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(loss)/profit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(6,750,033</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282,718</w:t>
            </w:r>
          </w:p>
        </w:tc>
        <w:tc>
          <w:tcPr>
            <w:tcW w:w="22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(332,082</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(48,142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nil tax</w:t>
            </w: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75,911</w:t>
            </w:r>
          </w:p>
        </w:tc>
        <w:tc>
          <w:tcPr>
            <w:tcW w:w="17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(121,977)</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(148,948)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(21,593)</w:t>
            </w:r>
          </w:p>
        </w:tc>
      </w:tr>
      <w:tr>
        <w:trPr>
          <w:trHeight w:val="209"/>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income/(loss)</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75,911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(121,977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(148,948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(loss)/income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(6,674,122</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160,741</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(481,030</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Accretion on redeemable non-controlling interests to redemption value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(161,624)</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(164,987)</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(23,918)</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3,462</w:t>
            </w:r>
          </w:p>
        </w:tc>
        <w:tc>
          <w:tcPr>
            <w:tcW w:w="174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1,349</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1,061</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154</w:t>
            </w:r>
          </w:p>
        </w:tc>
      </w:tr>
      <w:tr>
        <w:trPr>
          <w:trHeight w:val="194"/>
        </w:trPr>
        <w:tc>
          <w:tcPr>
            <w:tcW w:w="53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Comprehensive (loss)/income attributable to ordinary shareholders</w:t>
            </w: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05"/>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of NIO Inc.</w:t>
            </w: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(6,815,150)</w:t>
            </w:r>
          </w:p>
        </w:tc>
        <w:tc>
          <w:tcPr>
            <w:tcW w:w="174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466</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(644,956)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(93,499)</w:t>
            </w:r>
          </w:p>
        </w:tc>
      </w:tr>
      <w:tr>
        <w:trPr>
          <w:trHeight w:val="147"/>
        </w:trPr>
        <w:tc>
          <w:tcPr>
            <w:tcW w:w="536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7"/>
                <w:szCs w:val="17"/>
                <w:b w:val="1"/>
                <w:bCs w:val="1"/>
                <w:color w:val="auto"/>
              </w:rPr>
              <w:t>Weighted average number of ordinary shares/ADSs used in</w:t>
            </w:r>
          </w:p>
        </w:tc>
        <w:tc>
          <w:tcPr>
            <w:tcW w:w="12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238"/>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computing net (loss)/profit per share/ADS</w:t>
            </w: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2,093,881,620</w:t>
            </w:r>
          </w:p>
        </w:tc>
        <w:tc>
          <w:tcPr>
            <w:tcW w:w="174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2,469,498,703</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2,481,180,303</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2,481,180,303</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2,093,881,620</w:t>
            </w:r>
          </w:p>
        </w:tc>
        <w:tc>
          <w:tcPr>
            <w:tcW w:w="174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2,510,927,676</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2,481,180,303</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2,481,180,303</w:t>
            </w:r>
          </w:p>
        </w:tc>
      </w:tr>
      <w:tr>
        <w:trPr>
          <w:trHeight w:val="194"/>
        </w:trPr>
        <w:tc>
          <w:tcPr>
            <w:tcW w:w="53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(loss)/profit per share/ADS attributable to ordinary</w:t>
            </w: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(3.29)</w:t>
            </w:r>
          </w:p>
        </w:tc>
        <w:tc>
          <w:tcPr>
            <w:tcW w:w="174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0.05</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(0.20)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(3.29)</w:t>
            </w:r>
          </w:p>
        </w:tc>
        <w:tc>
          <w:tcPr>
            <w:tcW w:w="174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0.05</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630"/>
        </w:trPr>
        <w:tc>
          <w:tcPr>
            <w:tcW w:w="5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share/ADS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right"/>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Accretion on</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redeemable non-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16"/>
        </w:trPr>
        <w:tc>
          <w:tcPr>
            <w:tcW w:w="5460" w:type="dxa"/>
            <w:vAlign w:val="bottom"/>
          </w:tcPr>
          <w:p>
            <w:pPr>
              <w:spacing w:after="0"/>
              <w:rPr>
                <w:sz w:val="18"/>
                <w:szCs w:val="18"/>
                <w:color w:val="auto"/>
              </w:rPr>
            </w:pPr>
          </w:p>
        </w:tc>
        <w:tc>
          <w:tcPr>
            <w:tcW w:w="13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0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Share-based</w:t>
            </w: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interests to</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Result</w:t>
            </w:r>
          </w:p>
        </w:tc>
      </w:tr>
      <w:tr>
        <w:trPr>
          <w:trHeight w:val="238"/>
        </w:trPr>
        <w:tc>
          <w:tcPr>
            <w:tcW w:w="5460" w:type="dxa"/>
            <w:vAlign w:val="bottom"/>
          </w:tcPr>
          <w:p>
            <w:pPr>
              <w:spacing w:after="0"/>
              <w:rPr>
                <w:sz w:val="20"/>
                <w:szCs w:val="20"/>
                <w:color w:val="auto"/>
              </w:rPr>
            </w:pPr>
          </w:p>
        </w:tc>
        <w:tc>
          <w:tcPr>
            <w:tcW w:w="13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Result</w:t>
            </w:r>
          </w:p>
        </w:tc>
        <w:tc>
          <w:tcPr>
            <w:tcW w:w="1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redemption value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(Non-GAAP)</w:t>
            </w:r>
          </w:p>
        </w:tc>
      </w:tr>
      <w:tr>
        <w:trPr>
          <w:trHeight w:val="209"/>
        </w:trPr>
        <w:tc>
          <w:tcPr>
            <w:tcW w:w="546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(20,673,518)</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10,097</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(20,663,421)</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(1,885,024)</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176,844</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(1,708,180)</w:t>
            </w:r>
          </w:p>
        </w:tc>
      </w:tr>
      <w:tr>
        <w:trPr>
          <w:trHeight w:val="23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(3,497,306)</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188,629</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(3,308,677)</w:t>
            </w:r>
          </w:p>
        </w:tc>
      </w:tr>
      <w:tr>
        <w:trPr>
          <w:trHeight w:val="209"/>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(26,055,848)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375,570</w:t>
            </w:r>
          </w:p>
        </w:tc>
        <w:tc>
          <w:tcPr>
            <w:tcW w:w="220" w:type="dxa"/>
            <w:vAlign w:val="bottom"/>
          </w:tcPr>
          <w:p>
            <w:pPr>
              <w:spacing w:after="0"/>
              <w:rPr>
                <w:sz w:val="18"/>
                <w:szCs w:val="18"/>
                <w:color w:val="auto"/>
              </w:rPr>
            </w:pPr>
          </w:p>
        </w:tc>
        <w:tc>
          <w:tcPr>
            <w:tcW w:w="1320" w:type="dxa"/>
            <w:vAlign w:val="bottom"/>
            <w:tcBorders>
              <w:top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(25,680,278)</w:t>
            </w: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(Loss)/profit from operations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(308,811)</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375,570</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66,759</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(loss)/profit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(332,082)</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375,570</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43,488</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(loss)/profit attributable to ordinary shareholders of NIO Inc.</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(496,008)</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375,570</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164,987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44,549</w:t>
            </w:r>
          </w:p>
        </w:tc>
      </w:tr>
      <w:tr>
        <w:trPr>
          <w:trHeight w:val="198"/>
        </w:trPr>
        <w:tc>
          <w:tcPr>
            <w:tcW w:w="5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(loss)/profit per share/ADS attributable to ordinary shareholders,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 (RMB)</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0.15</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r>
      <w:tr>
        <w:trPr>
          <w:trHeight w:val="198"/>
        </w:trPr>
        <w:tc>
          <w:tcPr>
            <w:tcW w:w="5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(loss)/profit per share/ADS attributable to ordinary shareholders,</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(USD)</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662"/>
        </w:trPr>
        <w:tc>
          <w:tcPr>
            <w:tcW w:w="54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 2025</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Accretion on</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redeemable non-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16"/>
        </w:trPr>
        <w:tc>
          <w:tcPr>
            <w:tcW w:w="5460" w:type="dxa"/>
            <w:vAlign w:val="bottom"/>
          </w:tcPr>
          <w:p>
            <w:pPr>
              <w:spacing w:after="0"/>
              <w:rPr>
                <w:sz w:val="18"/>
                <w:szCs w:val="18"/>
                <w:color w:val="auto"/>
              </w:rPr>
            </w:pPr>
          </w:p>
        </w:tc>
        <w:tc>
          <w:tcPr>
            <w:tcW w:w="13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0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Share-based</w:t>
            </w: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interests to</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Result</w:t>
            </w:r>
          </w:p>
        </w:tc>
      </w:tr>
      <w:tr>
        <w:trPr>
          <w:trHeight w:val="238"/>
        </w:trPr>
        <w:tc>
          <w:tcPr>
            <w:tcW w:w="5460" w:type="dxa"/>
            <w:vAlign w:val="bottom"/>
          </w:tcPr>
          <w:p>
            <w:pPr>
              <w:spacing w:after="0"/>
              <w:rPr>
                <w:sz w:val="20"/>
                <w:szCs w:val="20"/>
                <w:color w:val="auto"/>
              </w:rPr>
            </w:pPr>
          </w:p>
        </w:tc>
        <w:tc>
          <w:tcPr>
            <w:tcW w:w="13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Result</w:t>
            </w:r>
          </w:p>
        </w:tc>
        <w:tc>
          <w:tcPr>
            <w:tcW w:w="1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redemption value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(Non-GAAP)</w:t>
            </w:r>
          </w:p>
        </w:tc>
      </w:tr>
      <w:tr>
        <w:trPr>
          <w:trHeight w:val="210"/>
        </w:trPr>
        <w:tc>
          <w:tcPr>
            <w:tcW w:w="546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(28,576,182)</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14,098</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(28,562,084)</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(2,025,954)</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281,102</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(1,744,852)</w:t>
            </w:r>
          </w:p>
        </w:tc>
      </w:tr>
      <w:tr>
        <w:trPr>
          <w:trHeight w:val="22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(3,537,388)</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148,868</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(3,388,520)</w:t>
            </w:r>
          </w:p>
        </w:tc>
      </w:tr>
      <w:tr>
        <w:trPr>
          <w:trHeight w:val="210"/>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(34,139,524)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444,068</w:t>
            </w:r>
          </w:p>
        </w:tc>
        <w:tc>
          <w:tcPr>
            <w:tcW w:w="220" w:type="dxa"/>
            <w:vAlign w:val="bottom"/>
          </w:tcPr>
          <w:p>
            <w:pPr>
              <w:spacing w:after="0"/>
              <w:rPr>
                <w:sz w:val="18"/>
                <w:szCs w:val="18"/>
                <w:color w:val="auto"/>
              </w:rPr>
            </w:pPr>
          </w:p>
        </w:tc>
        <w:tc>
          <w:tcPr>
            <w:tcW w:w="1320" w:type="dxa"/>
            <w:vAlign w:val="bottom"/>
            <w:tcBorders>
              <w:top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(33,695,456)</w:t>
            </w: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from operations</w:t>
            </w:r>
          </w:p>
        </w:tc>
        <w:tc>
          <w:tcPr>
            <w:tcW w:w="1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807,270</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444,068</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1,251,338</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profit</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282,718</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444,068</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726,786</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 attributable to ordinary shareholders of NIO Inc.</w:t>
            </w:r>
          </w:p>
        </w:tc>
        <w:tc>
          <w:tcPr>
            <w:tcW w:w="1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122,443</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444,068</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161,624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728,135</w:t>
            </w:r>
          </w:p>
        </w:tc>
      </w:tr>
      <w:tr>
        <w:trPr>
          <w:trHeight w:val="198"/>
        </w:trPr>
        <w:tc>
          <w:tcPr>
            <w:tcW w:w="5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profit per share/ADS attributable to ordinary shareholders, basic and</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(RMB)</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0.18</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0.29</w:t>
            </w:r>
          </w:p>
        </w:tc>
      </w:tr>
      <w:tr>
        <w:trPr>
          <w:trHeight w:val="648"/>
        </w:trPr>
        <w:tc>
          <w:tcPr>
            <w:tcW w:w="5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bl>
    <w:p>
      <w:pPr>
        <w:sectPr>
          <w:pgSz w:w="11900" w:h="16838" w:orient="portrait"/>
          <w:cols w:equalWidth="0" w:num="1">
            <w:col w:w="11240"/>
          </w:cols>
          <w:pgMar w:left="320" w:top="900"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Accretion on</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redeemable non-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16"/>
        </w:trPr>
        <w:tc>
          <w:tcPr>
            <w:tcW w:w="546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0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Share-based</w:t>
            </w: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interests to</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Result</w:t>
            </w:r>
          </w:p>
        </w:tc>
      </w:tr>
      <w:tr>
        <w:trPr>
          <w:trHeight w:val="238"/>
        </w:trPr>
        <w:tc>
          <w:tcPr>
            <w:tcW w:w="546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Result</w:t>
            </w:r>
          </w:p>
        </w:tc>
        <w:tc>
          <w:tcPr>
            <w:tcW w:w="1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redemption value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(Non-GAAP)</w:t>
            </w:r>
          </w:p>
        </w:tc>
      </w:tr>
      <w:tr>
        <w:trPr>
          <w:trHeight w:val="209"/>
        </w:trPr>
        <w:tc>
          <w:tcPr>
            <w:tcW w:w="546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(11,115,175)</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15,001</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(11,100,174)</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(3,181,403)</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267,047</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(2,914,356)</w:t>
            </w:r>
          </w:p>
        </w:tc>
      </w:tr>
      <w:tr>
        <w:trPr>
          <w:trHeight w:val="23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(4,400,763)</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188,891</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(4,211,872)</w:t>
            </w:r>
          </w:p>
        </w:tc>
      </w:tr>
      <w:tr>
        <w:trPr>
          <w:trHeight w:val="209"/>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(18,697,341)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470,939</w:t>
            </w:r>
          </w:p>
        </w:tc>
        <w:tc>
          <w:tcPr>
            <w:tcW w:w="22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(18,226,402)</w:t>
            </w: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(6,418,128)</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470,939</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(5,947,189)</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(6,750,033)</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470,939</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(6,279,094)</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ordinary shareholders of NIO Inc.</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(6,891,061)</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470,939</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144,490</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(6,275,632)</w:t>
            </w:r>
          </w:p>
        </w:tc>
      </w:tr>
      <w:tr>
        <w:trPr>
          <w:trHeight w:val="198"/>
        </w:trPr>
        <w:tc>
          <w:tcPr>
            <w:tcW w:w="5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share/ADS attributable to ordinary shareholders, basic and</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(RMB)</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0.21</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53" w:lineRule="exact"/>
        <w:rPr>
          <w:sz w:val="20"/>
          <w:szCs w:val="20"/>
          <w:color w:val="auto"/>
        </w:rPr>
      </w:pPr>
    </w:p>
    <w:p>
      <w:pPr>
        <w:ind w:firstLine="8"/>
        <w:spacing w:after="0" w:line="195" w:lineRule="auto"/>
        <w:tabs>
          <w:tab w:leader="none" w:pos="89"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All translations from RMB to USD for the first quarter of 2026 were made at the rate of RMB6.8980 to US$1.00, the noon buying rate in effect on March 31, 2026 in the H.10 statistical release of the Federal Reserve Board.</w:t>
      </w:r>
    </w:p>
    <w:p>
      <w:pPr>
        <w:spacing w:after="0" w:line="1" w:lineRule="exact"/>
        <w:rPr>
          <w:rFonts w:ascii="Times New Roman" w:cs="Times New Roman" w:eastAsia="Times New Roman" w:hAnsi="Times New Roman"/>
          <w:sz w:val="30"/>
          <w:szCs w:val="30"/>
          <w:color w:val="auto"/>
          <w:vertAlign w:val="superscript"/>
        </w:rPr>
      </w:pPr>
    </w:p>
    <w:p>
      <w:pPr>
        <w:ind w:right="780"/>
        <w:spacing w:after="0" w:line="228"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ii</w:t>
      </w:r>
      <w:r>
        <w:rPr>
          <w:rFonts w:ascii="Times New Roman" w:cs="Times New Roman" w:eastAsia="Times New Roman" w:hAnsi="Times New Roman"/>
          <w:sz w:val="18"/>
          <w:szCs w:val="18"/>
          <w:color w:val="auto"/>
        </w:rPr>
        <w:t xml:space="preserve"> Vehicle margin is the margin of new vehicle sales, which is calculated based on revenues and cost of sales derived from new vehicle sales only. </w:t>
      </w:r>
      <w:r>
        <w:rPr>
          <w:rFonts w:ascii="Times New Roman" w:cs="Times New Roman" w:eastAsia="Times New Roman" w:hAnsi="Times New Roman"/>
          <w:sz w:val="29"/>
          <w:szCs w:val="29"/>
          <w:color w:val="auto"/>
          <w:vertAlign w:val="superscript"/>
        </w:rPr>
        <w:t>iii</w:t>
      </w:r>
      <w:r>
        <w:rPr>
          <w:rFonts w:ascii="Times New Roman" w:cs="Times New Roman" w:eastAsia="Times New Roman" w:hAnsi="Times New Roman"/>
          <w:sz w:val="18"/>
          <w:szCs w:val="18"/>
          <w:color w:val="auto"/>
        </w:rPr>
        <w:t xml:space="preserve"> Except for gross margin and vehicle margin, where absolute changes instead of percentage changes are calculated.</w:t>
      </w:r>
    </w:p>
    <w:p>
      <w:pPr>
        <w:spacing w:after="0" w:line="320"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i"/>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2026-05-21T06:02:29Z</dcterms:created>
  <dcterms:modified xsi:type="dcterms:W3CDTF">2026-05-21T06:02:29Z</dcterms:modified>
</cp:coreProperties>
</file>