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185-2_4seq1.xml.htm"/>
      <w:bookmarkStart w:id="1" w:name="kstm262418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Qin Lihong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 CAOBAO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NIO Inc.</w:t>
              </w:r>
            </w:hyperlink>
            <w:r>
              <w:rPr/>
              <w:t xml:space="preserve"> [ </w:t>
            </w:r>
            <w:r>
              <w:rPr>
                <w:rFonts w:ascii="Times;serif" w:hAnsi="Times;serif"/>
                <w:color w:val="0000FF"/>
                <w:sz w:val="24"/>
                <w:shd w:fill="FFFFFF" w:val="clear"/>
              </w:rPr>
              <w:t>NIO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6"/>
        <w:gridCol w:w="900"/>
        <w:gridCol w:w="772"/>
        <w:gridCol w:w="598"/>
        <w:gridCol w:w="339"/>
        <w:gridCol w:w="1043"/>
        <w:gridCol w:w="429"/>
        <w:gridCol w:w="694"/>
        <w:gridCol w:w="1336"/>
        <w:gridCol w:w="965"/>
        <w:gridCol w:w="9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619,662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150,000</w:t>
            </w:r>
            <w:r>
              <w:rPr>
                <w:rFonts w:ascii="Times;serif" w:hAnsi="Times;serif"/>
                <w:color w:val="008000"/>
                <w:position w:val="7"/>
                <w:sz w:val="16"/>
                <w:sz w:val="20"/>
                <w:shd w:fill="FFFFFF" w:val="clear"/>
              </w:rPr>
              <w:t>(2)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w:t>
            </w:r>
            <w:r>
              <w:rPr>
                <w:rFonts w:ascii="Times;serif" w:hAnsi="Times;serif"/>
                <w:color w:val="008000"/>
                <w:position w:val="7"/>
                <w:sz w:val="16"/>
                <w:sz w:val="20"/>
                <w:shd w:fill="FFFFFF" w:val="clear"/>
              </w:rPr>
              <w:t>(3)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469,662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10,499,899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DX Mix Limited</w:t>
            </w:r>
          </w:p>
        </w:tc>
      </w:tr>
      <w:tr>
        <w:trPr/>
        <w:tc>
          <w:tcPr>
            <w:tcW w:w="21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Prime Hubs Limited</w:t>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150,000 shares to be sold pursuant to a non-discretionary sell-to-cover arrangement for the purpose of satisfying income tax liabilities incurred upon vesting of the 300,000 restricted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closing price of the Issuer's American depositary shares on the last trading day before the reported transaction. The Issuer expects to sell these shares on behalf of the Reporting Person in the open market, and the actual sales price may differ from the closing price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evidence the contingent right to receive Class A ordinary shares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share units vest in five equal annual installments beginning on September 1, 2025, with 20% vesting in each annual installment, subject to the terms and conditions of the underlying award agreement. The restricted share units do not have expiration dates. The vesting reported herein was as of September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Lihong Qin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249" TargetMode="External"/><Relationship Id="rId5" Type="http://schemas.openxmlformats.org/officeDocument/2006/relationships/hyperlink" Target="http://www.sec.gov/cgi-bin/browse-edgar?action=getcompany&amp;CIK=0001736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4194</Characters>
  <CharactersWithSpaces>4869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