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NIO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Ordinary Shares, par value $0.00025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62914V106**</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Tencent Holdings Limited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Level 29, Three Pacific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 1 Queen’s Road East, Wanchai, Hong Kong</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Telephone: +852 3148 5100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8,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 w:right="12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0"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jc w:val="both"/>
        <w:ind w:left="424" w:right="18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CUSIP number assigned to the Class A Ordinary Shares. CUSIP number 62914V106 has been assigned to the American Depositary Shares of the Issuer, which are quoted on the New York Stock Exchange under the symbol “NIO.” Each American Depositary Share represents one Class A Ordinary Share.</w:t>
      </w:r>
    </w:p>
    <w:p>
      <w:pPr>
        <w:spacing w:after="0" w:line="184"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color w:val="auto"/>
              </w:rPr>
              <w:t>CUSIP No. 62914V106</w:t>
            </w:r>
          </w:p>
        </w:tc>
        <w:tc>
          <w:tcPr>
            <w:tcW w:w="3860" w:type="dxa"/>
            <w:vAlign w:val="bottom"/>
          </w:tcPr>
          <w:p>
            <w:pPr>
              <w:ind w:left="840"/>
              <w:spacing w:after="0"/>
              <w:rPr>
                <w:sz w:val="20"/>
                <w:szCs w:val="20"/>
                <w:color w:val="auto"/>
              </w:rPr>
            </w:pPr>
            <w:r>
              <w:rPr>
                <w:rFonts w:ascii="Arial" w:cs="Arial" w:eastAsia="Arial" w:hAnsi="Arial"/>
                <w:sz w:val="18"/>
                <w:szCs w:val="18"/>
                <w:b w:val="1"/>
                <w:bCs w:val="1"/>
                <w:color w:val="auto"/>
              </w:rPr>
              <w:t>SCHEDULE 13D</w:t>
            </w:r>
          </w:p>
        </w:tc>
        <w:tc>
          <w:tcPr>
            <w:tcW w:w="2940" w:type="dxa"/>
            <w:vAlign w:val="bottom"/>
          </w:tcPr>
          <w:p>
            <w:pPr>
              <w:ind w:left="1660"/>
              <w:spacing w:after="0"/>
              <w:rPr>
                <w:sz w:val="20"/>
                <w:szCs w:val="20"/>
                <w:color w:val="auto"/>
              </w:rPr>
            </w:pPr>
            <w:r>
              <w:rPr>
                <w:rFonts w:ascii="Arial" w:cs="Arial" w:eastAsia="Arial" w:hAnsi="Arial"/>
                <w:sz w:val="18"/>
                <w:szCs w:val="18"/>
                <w:color w:val="auto"/>
                <w:w w:val="86"/>
              </w:rPr>
              <w:t>Page 2 of 8 pages</w:t>
            </w:r>
          </w:p>
        </w:tc>
      </w:tr>
      <w:tr>
        <w:trPr>
          <w:trHeight w:val="148"/>
        </w:trPr>
        <w:tc>
          <w:tcPr>
            <w:tcW w:w="4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6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172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172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46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46062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Tencent Holdings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4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92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Pr>
          <w:p>
            <w:pPr>
              <w:ind w:left="80"/>
              <w:spacing w:after="0"/>
              <w:rPr>
                <w:sz w:val="20"/>
                <w:szCs w:val="20"/>
                <w:color w:val="auto"/>
              </w:rPr>
            </w:pPr>
            <w:r>
              <w:rPr>
                <w:rFonts w:ascii="Arial" w:cs="Arial" w:eastAsia="Arial" w:hAnsi="Arial"/>
                <w:sz w:val="22"/>
                <w:szCs w:val="22"/>
                <w:color w:val="auto"/>
              </w:rPr>
              <w:t>175,059,212</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3"/>
                <w:szCs w:val="13"/>
                <w:color w:val="auto"/>
              </w:rPr>
            </w:pPr>
          </w:p>
        </w:tc>
        <w:tc>
          <w:tcPr>
            <w:tcW w:w="922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6"/>
                <w:szCs w:val="6"/>
                <w:color w:val="auto"/>
              </w:rPr>
            </w:pP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9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vMerge w:val="restart"/>
          </w:tcPr>
          <w:p>
            <w:pPr>
              <w:ind w:left="80"/>
              <w:spacing w:after="0"/>
              <w:rPr>
                <w:sz w:val="20"/>
                <w:szCs w:val="20"/>
                <w:color w:val="auto"/>
              </w:rPr>
            </w:pPr>
            <w:r>
              <w:rPr>
                <w:rFonts w:ascii="Arial" w:cs="Arial" w:eastAsia="Arial" w:hAnsi="Arial"/>
                <w:sz w:val="22"/>
                <w:szCs w:val="22"/>
                <w:color w:val="auto"/>
              </w:rPr>
              <w:t>175,059,212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92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gridSpan w:val="2"/>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88"/>
              </w:rPr>
              <w:t>175,059,212</w:t>
            </w: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16.3%</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color w:val="auto"/>
              </w:rPr>
              <w:t>CUSIP No. 62914V106</w:t>
            </w:r>
          </w:p>
        </w:tc>
        <w:tc>
          <w:tcPr>
            <w:tcW w:w="3860" w:type="dxa"/>
            <w:vAlign w:val="bottom"/>
          </w:tcPr>
          <w:p>
            <w:pPr>
              <w:ind w:left="840"/>
              <w:spacing w:after="0"/>
              <w:rPr>
                <w:sz w:val="20"/>
                <w:szCs w:val="20"/>
                <w:color w:val="auto"/>
              </w:rPr>
            </w:pPr>
            <w:r>
              <w:rPr>
                <w:rFonts w:ascii="Arial" w:cs="Arial" w:eastAsia="Arial" w:hAnsi="Arial"/>
                <w:sz w:val="18"/>
                <w:szCs w:val="18"/>
                <w:b w:val="1"/>
                <w:bCs w:val="1"/>
                <w:color w:val="auto"/>
              </w:rPr>
              <w:t>SCHEDULE 13D</w:t>
            </w:r>
          </w:p>
        </w:tc>
        <w:tc>
          <w:tcPr>
            <w:tcW w:w="2940" w:type="dxa"/>
            <w:vAlign w:val="bottom"/>
          </w:tcPr>
          <w:p>
            <w:pPr>
              <w:ind w:left="1660"/>
              <w:spacing w:after="0"/>
              <w:rPr>
                <w:sz w:val="20"/>
                <w:szCs w:val="20"/>
                <w:color w:val="auto"/>
              </w:rPr>
            </w:pPr>
            <w:r>
              <w:rPr>
                <w:rFonts w:ascii="Arial" w:cs="Arial" w:eastAsia="Arial" w:hAnsi="Arial"/>
                <w:sz w:val="18"/>
                <w:szCs w:val="18"/>
                <w:color w:val="auto"/>
                <w:w w:val="86"/>
              </w:rPr>
              <w:t>Page 3 of 8 pages</w:t>
            </w:r>
          </w:p>
        </w:tc>
      </w:tr>
      <w:tr>
        <w:trPr>
          <w:trHeight w:val="148"/>
        </w:trPr>
        <w:tc>
          <w:tcPr>
            <w:tcW w:w="4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6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172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172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459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24599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Image Frame Investment (HK)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Hong Kong</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87,388,807</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87,388,807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87,388,807</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8.8%</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color w:val="auto"/>
              </w:rPr>
              <w:t>CUSIP No. 62914V106</w:t>
            </w:r>
          </w:p>
        </w:tc>
        <w:tc>
          <w:tcPr>
            <w:tcW w:w="3860" w:type="dxa"/>
            <w:vAlign w:val="bottom"/>
          </w:tcPr>
          <w:p>
            <w:pPr>
              <w:ind w:left="840"/>
              <w:spacing w:after="0"/>
              <w:rPr>
                <w:sz w:val="20"/>
                <w:szCs w:val="20"/>
                <w:color w:val="auto"/>
              </w:rPr>
            </w:pPr>
            <w:r>
              <w:rPr>
                <w:rFonts w:ascii="Arial" w:cs="Arial" w:eastAsia="Arial" w:hAnsi="Arial"/>
                <w:sz w:val="18"/>
                <w:szCs w:val="18"/>
                <w:b w:val="1"/>
                <w:bCs w:val="1"/>
                <w:color w:val="auto"/>
              </w:rPr>
              <w:t>SCHEDULE 13D</w:t>
            </w:r>
          </w:p>
        </w:tc>
        <w:tc>
          <w:tcPr>
            <w:tcW w:w="2940" w:type="dxa"/>
            <w:vAlign w:val="bottom"/>
          </w:tcPr>
          <w:p>
            <w:pPr>
              <w:ind w:left="1660"/>
              <w:spacing w:after="0"/>
              <w:rPr>
                <w:sz w:val="20"/>
                <w:szCs w:val="20"/>
                <w:color w:val="auto"/>
              </w:rPr>
            </w:pPr>
            <w:r>
              <w:rPr>
                <w:rFonts w:ascii="Arial" w:cs="Arial" w:eastAsia="Arial" w:hAnsi="Arial"/>
                <w:sz w:val="18"/>
                <w:szCs w:val="18"/>
                <w:color w:val="auto"/>
                <w:w w:val="86"/>
              </w:rPr>
              <w:t>Page 4 of 8 pages</w:t>
            </w:r>
          </w:p>
        </w:tc>
      </w:tr>
      <w:tr>
        <w:trPr>
          <w:trHeight w:val="148"/>
        </w:trPr>
        <w:tc>
          <w:tcPr>
            <w:tcW w:w="4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6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172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172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460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246062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Mount Putuo Investment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40,905,125</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40,905,125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40,905,125</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4.3%</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color w:val="auto"/>
              </w:rPr>
              <w:t>CUSIP No. 62914V106</w:t>
            </w:r>
          </w:p>
        </w:tc>
        <w:tc>
          <w:tcPr>
            <w:tcW w:w="3860" w:type="dxa"/>
            <w:vAlign w:val="bottom"/>
          </w:tcPr>
          <w:p>
            <w:pPr>
              <w:ind w:left="840"/>
              <w:spacing w:after="0"/>
              <w:rPr>
                <w:sz w:val="20"/>
                <w:szCs w:val="20"/>
                <w:color w:val="auto"/>
              </w:rPr>
            </w:pPr>
            <w:r>
              <w:rPr>
                <w:rFonts w:ascii="Arial" w:cs="Arial" w:eastAsia="Arial" w:hAnsi="Arial"/>
                <w:sz w:val="18"/>
                <w:szCs w:val="18"/>
                <w:b w:val="1"/>
                <w:bCs w:val="1"/>
                <w:color w:val="auto"/>
              </w:rPr>
              <w:t>SCHEDULE 13D</w:t>
            </w:r>
          </w:p>
        </w:tc>
        <w:tc>
          <w:tcPr>
            <w:tcW w:w="2940" w:type="dxa"/>
            <w:vAlign w:val="bottom"/>
          </w:tcPr>
          <w:p>
            <w:pPr>
              <w:ind w:left="1660"/>
              <w:spacing w:after="0"/>
              <w:rPr>
                <w:sz w:val="20"/>
                <w:szCs w:val="20"/>
                <w:color w:val="auto"/>
              </w:rPr>
            </w:pPr>
            <w:r>
              <w:rPr>
                <w:rFonts w:ascii="Arial" w:cs="Arial" w:eastAsia="Arial" w:hAnsi="Arial"/>
                <w:sz w:val="18"/>
                <w:szCs w:val="18"/>
                <w:color w:val="auto"/>
                <w:w w:val="86"/>
              </w:rPr>
              <w:t>Page 5 of 8 pages</w:t>
            </w:r>
          </w:p>
        </w:tc>
      </w:tr>
      <w:tr>
        <w:trPr>
          <w:trHeight w:val="148"/>
        </w:trPr>
        <w:tc>
          <w:tcPr>
            <w:tcW w:w="4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w w:val="93"/>
              </w:rPr>
              <w:t>1NAME OF REPORTING PERSONS</w:t>
            </w:r>
          </w:p>
        </w:tc>
        <w:tc>
          <w:tcPr>
            <w:tcW w:w="386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172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172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617220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-154305</wp:posOffset>
            </wp:positionV>
            <wp:extent cx="8890" cy="2459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24599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Huang River Investment Limited</w:t>
            </w: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240" w:type="dxa"/>
            <w:vAlign w:val="bottom"/>
          </w:tcPr>
          <w:p>
            <w:pPr>
              <w:ind w:left="100"/>
              <w:spacing w:after="0"/>
              <w:rPr>
                <w:sz w:val="20"/>
                <w:szCs w:val="20"/>
                <w:color w:val="auto"/>
              </w:rPr>
            </w:pPr>
            <w:r>
              <w:rPr>
                <w:rFonts w:ascii="Arial" w:cs="Arial" w:eastAsia="Arial" w:hAnsi="Arial"/>
                <w:sz w:val="22"/>
                <w:szCs w:val="22"/>
                <w:color w:val="auto"/>
              </w:rPr>
              <w:t>43,028,990</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06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2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43,028,990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16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4"/>
              </w:rPr>
              <w:t>43,028,990</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99"/>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4.6%</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04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6 of 8 pages</w:t>
      </w:r>
    </w:p>
    <w:p>
      <w:pPr>
        <w:spacing w:after="0" w:line="16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Amendment No. 1 to Schedule 13D amends and supplements the Schedule 13D filed with the United States Securities and Exchange Commission on June 19, 2020 (as amended to date, the “Schedule 13D”), relating to the Class A ordinary shares, par value $0.00025 per share (“Class A Ordinary Shares”) and American depositary shares, each representing one Class A Ordinary Share (“ADSs”), of NIO Inc., an exempted company incorporated under the laws of the Cayman Islands (the “Issuer”). Capitalized terms used herein without definition shall have the meaning set forth in the Schedule 13D.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The following sets forth, as of the date of this Schedule 13D, the aggregate number of Class A Ordinary Shares and percentage of Class A Ordinary Shares beneficially owned by each of the Reporting Persons, as well as the number of Class A Ordinary Shares as to which each Reporting Person has the sole power to vote or to direct the vote, shared power to vote or to direct the vote, sole power to dispose or to direct the disposition, or shared power to dispose or to direct the disposition of, as of the date hereof, based on (i) 903,928,082 Class A Ordinary Shares issued and outstanding immediately after the 2020 Follow-on Offering as disclosed in the Issuer’s prospectus supplement filed with the U.S. Securities and Exchange Commission (the “SEC”) on June 11, 2020, (ii) an aggregate of 132,030,222 Class A Ordinary Shares issuable upon conversion of 132,030,222 Class B Ordinary Shares within 60 days from the date hereof, (iii) 3,154,077 Class A Ordinary Shares issuable upon conversion of the 2024 Notes within 60 days from the date hereof based on the initial conversion price, (iv) 16,778,523 Class A Ordinary Shares issuable upon conversion of the 2020 Notes within 60 days from the date hereof based on the initial conversion price and (v) 16,025,641 Class A Ordinary Shares issuable upon conversion of the 2022 Notes within 60 days from the date hereof based on the initial conversion price.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Sole power</w:t>
            </w:r>
          </w:p>
        </w:tc>
        <w:tc>
          <w:tcPr>
            <w:tcW w:w="7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Sole power</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power to</w:t>
            </w:r>
          </w:p>
        </w:tc>
        <w:tc>
          <w:tcPr>
            <w:tcW w:w="12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2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vote or</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to dispose or</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4"/>
        </w:trPr>
        <w:tc>
          <w:tcPr>
            <w:tcW w:w="496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1"/>
              </w:rPr>
              <w:t>direct the</w:t>
            </w:r>
          </w:p>
        </w:tc>
        <w:tc>
          <w:tcPr>
            <w:tcW w:w="780" w:type="dxa"/>
            <w:vAlign w:val="bottom"/>
            <w:gridSpan w:val="2"/>
          </w:tcPr>
          <w:p>
            <w:pPr>
              <w:jc w:val="right"/>
              <w:ind w:right="260"/>
              <w:spacing w:after="0" w:line="144" w:lineRule="exact"/>
              <w:rPr>
                <w:sz w:val="20"/>
                <w:szCs w:val="20"/>
                <w:color w:val="auto"/>
              </w:rPr>
            </w:pPr>
            <w:r>
              <w:rPr>
                <w:rFonts w:ascii="Arial" w:cs="Arial" w:eastAsia="Arial" w:hAnsi="Arial"/>
                <w:sz w:val="14"/>
                <w:szCs w:val="14"/>
                <w:b w:val="1"/>
                <w:bCs w:val="1"/>
                <w:color w:val="auto"/>
                <w:w w:val="90"/>
              </w:rPr>
              <w:t>to direct</w:t>
            </w: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2"/>
              </w:rPr>
              <w:t>to direct the</w:t>
            </w: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w:t>
            </w:r>
          </w:p>
        </w:tc>
        <w:tc>
          <w:tcPr>
            <w:tcW w:w="43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owned</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of class</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vote</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the vote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disposition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disposition</w:t>
            </w: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Tencent Holdings Limited</w:t>
            </w: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175,059,212</w:t>
            </w:r>
          </w:p>
        </w:tc>
        <w:tc>
          <w:tcPr>
            <w:tcW w:w="2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16.3%</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175,059,212</w:t>
            </w: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175,059,212</w:t>
            </w:r>
          </w:p>
        </w:tc>
        <w:tc>
          <w:tcPr>
            <w:tcW w:w="26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Image Frame Investment (HK) Limited</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87,388,807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87,388,807</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87,388,807</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Putuo Investment Limited</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40,905,125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Huang River Investment Limited</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43,028,990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43,028,990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43,028,990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Image Frame may be deemed to beneficially own 87,388,807 Class A Ordinary Shares issuable upon conversion of 87,388,807 Class B Ordinary Shares held of record by Image Frame.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Mount Putuo may be deemed to beneficially own 40,905,125 Class A Ordinary Shares issuable upon conversion of 40,905,125 Class B Ordinary Shares held of record by Mount Putuo.</w:t>
      </w:r>
    </w:p>
    <w:p>
      <w:pPr>
        <w:sectPr>
          <w:pgSz w:w="11900" w:h="16838" w:orient="portrait"/>
          <w:cols w:equalWidth="0" w:num="1">
            <w:col w:w="11020"/>
          </w:cols>
          <w:pgMar w:left="440" w:top="270" w:right="439" w:bottom="1440" w:gutter="0" w:footer="0" w:header="0"/>
        </w:sectPr>
      </w:pPr>
    </w:p>
    <w:bookmarkStart w:id="6" w:name="page7"/>
    <w:bookmarkEnd w:id="6"/>
    <w:p>
      <w:pPr>
        <w:ind w:left="4"/>
        <w:spacing w:after="0"/>
        <w:tabs>
          <w:tab w:leader="none" w:pos="504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7 of 8 pages</w:t>
      </w:r>
    </w:p>
    <w:p>
      <w:pPr>
        <w:spacing w:after="0" w:line="162" w:lineRule="exact"/>
        <w:rPr>
          <w:sz w:val="20"/>
          <w:szCs w:val="20"/>
          <w:color w:val="auto"/>
        </w:rPr>
      </w:pPr>
    </w:p>
    <w:p>
      <w:pPr>
        <w:ind w:left="4" w:right="340" w:firstLine="440"/>
        <w:spacing w:after="0" w:line="273" w:lineRule="auto"/>
        <w:rPr>
          <w:sz w:val="20"/>
          <w:szCs w:val="20"/>
          <w:color w:val="auto"/>
        </w:rPr>
      </w:pPr>
      <w:r>
        <w:rPr>
          <w:rFonts w:ascii="Arial" w:cs="Arial" w:eastAsia="Arial" w:hAnsi="Arial"/>
          <w:sz w:val="17"/>
          <w:szCs w:val="17"/>
          <w:color w:val="auto"/>
        </w:rPr>
        <w:t>Huang River may be deemed to beneficially own 43,028,990 Class A Ordinary Shares, which includes (i) 7,070,749 Class A Ordinary Shares represented by 7,070,749 ADSs held of record by Huang River, including 1,680,000 ADSs acquired from the 2020 Follow-on Offering, 3,154,077 Class A Ordinary Shares issuable upon conversion of the 2024 Notes within 60 days from the date hereof based on the initial conversion price, 16,778,523 Class A Ordinary Shares issuable upon conversion of the 2020 Notes within 60 days from the date hereof based on the initial conversion price and 16,025,641 Class A Ordinary Shares issuable upon conversion of the 2022 Notes within 60 days from the date hereof based on the initial conversion price. The 2024 Notes, 2020 Notes and 2022 Notes are held of record by Huang River.</w:t>
      </w:r>
    </w:p>
    <w:p>
      <w:pPr>
        <w:spacing w:after="0" w:line="178"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Tencent is the parent company of Image Frame, Mount Putuo and Huang River and may be deemed to beneficially own the securities held of record by Image Frame, Mount Putuo and Huang River. Tencent’s beneficial ownership also includes 3,736,290 Class A Ordinary Shares issuable upon conversion of 3,736,290 Class B Ordinary Shares held of record by an affiliate of Tencent.</w:t>
      </w:r>
    </w:p>
    <w:p>
      <w:pPr>
        <w:spacing w:after="0" w:line="184"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Holders of Class A Ordinary Shares and Class B Ordinary Shares have the same rights except for voting and conversion rights. Each Class A Ordinary Share is entitled to one vote, and each Class B Ordinary Share is entitled to four votes and is convertible into one Class A Ordinary Share at any time by the holder thereof. Class A Ordinary Shares are not convertible into Class B Ordinary Shares under any circumstances.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the knowledge of the Reporting Persons, none of the Related Persons beneficially owns any Class A Ordinary Shares.</w:t>
      </w:r>
    </w:p>
    <w:p>
      <w:pPr>
        <w:spacing w:after="0" w:line="225" w:lineRule="exact"/>
        <w:rPr>
          <w:sz w:val="20"/>
          <w:szCs w:val="20"/>
          <w:color w:val="auto"/>
        </w:rPr>
      </w:pPr>
    </w:p>
    <w:p>
      <w:pPr>
        <w:ind w:left="4" w:right="80" w:hanging="4"/>
        <w:spacing w:after="0" w:line="277"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described in Item 4, during the past 60 days, none of the Reporting Persons or to the best knowledge of the Reporting Persons, the Related Persons has effected any transactions in the Class A Ordinary Shares.</w:t>
      </w:r>
    </w:p>
    <w:p>
      <w:pPr>
        <w:spacing w:after="0" w:line="170" w:lineRule="exact"/>
        <w:rPr>
          <w:rFonts w:ascii="Arial" w:cs="Arial" w:eastAsia="Arial" w:hAnsi="Arial"/>
          <w:sz w:val="18"/>
          <w:szCs w:val="18"/>
          <w:color w:val="auto"/>
        </w:rPr>
      </w:pPr>
    </w:p>
    <w:p>
      <w:pPr>
        <w:ind w:left="4" w:right="40" w:hanging="4"/>
        <w:spacing w:after="0" w:line="277"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set forth in this Schedule 13D, no other person is known to have the right to receive or the power to direct the receipt of dividends from, or the proceeds from the sale of, the Class A Ordinary Shares beneficially owned by the Reporting Persons.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24"/>
          </w:cols>
          <w:pgMar w:left="436" w:top="270" w:right="439" w:bottom="1440" w:gutter="0" w:footer="0" w:header="0"/>
        </w:sectPr>
      </w:pPr>
    </w:p>
    <w:bookmarkStart w:id="7" w:name="page8"/>
    <w:bookmarkEnd w:id="7"/>
    <w:p>
      <w:pPr>
        <w:spacing w:after="0"/>
        <w:tabs>
          <w:tab w:leader="none" w:pos="49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62914V106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8 of 8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TENCENT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 Huateng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 Huateng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IMAGE FRAME INVESTMENT (HK)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 Huateng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 Huateng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MOUNT PUTUO INVESTMENT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 Huateng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 Huateng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HUANG RIVER INVESTMENT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 Huateng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 Huateng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Schedule 13D Amendment—NIO Inc.]</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2020-07-13T06:23:25Z</dcterms:created>
  <dcterms:modified xsi:type="dcterms:W3CDTF">2020-07-13T06:23:25Z</dcterms:modified>
</cp:coreProperties>
</file>