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535d2_6k.htm"/>
      <w:bookmarkStart w:id="1" w:name="kstm2624535d2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Hong Kong time, we published our unaudited financial results for the second quarter and six months ended June 30, 2026 as our interim report for the six months ended June 30, 2026 (the “HK Interim Report”) under Rule 13.48(1) of the Rules Governing the Listing of Securities on The Stock Exchange of Hong Kong Limited (the “Hong Kong Listing Rules”) on the website of The Stock Exchange of Hong Kong Limited. Pursuant to the Hong Kong Listing Rules, our HK Interim Report contains supplemental disclosure of reconciliation of the material differences between our consolidated financial statements prepared under U.S. GAAP and International Financial Reporting Standards, which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165" w:type="dxa"/>
        <w:jc w:val="left"/>
        <w:tblInd w:w="0" w:type="dxa"/>
        <w:tblLayout w:type="fixed"/>
        <w:tblCellMar>
          <w:top w:w="0" w:type="dxa"/>
          <w:left w:w="0" w:type="dxa"/>
          <w:bottom w:w="28" w:type="dxa"/>
          <w:right w:w="0" w:type="dxa"/>
        </w:tblCellMar>
      </w:tblPr>
      <w:tblGrid>
        <w:gridCol w:w="995"/>
        <w:gridCol w:w="60"/>
        <w:gridCol w:w="911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1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4535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center"/>
              <w:rPr/>
            </w:pPr>
            <w:r>
              <w:rPr/>
              <w:t> </w:t>
            </w:r>
          </w:p>
        </w:tc>
        <w:tc>
          <w:tcPr>
            <w:tcW w:w="9110" w:type="dxa"/>
            <w:tcBorders/>
            <w:tcMar>
              <w:bottom w:w="0" w:type="dxa"/>
            </w:tcMar>
            <w:vAlign w:val="center"/>
          </w:tcPr>
          <w:p>
            <w:pPr>
              <w:pStyle w:val="TableContents"/>
              <w:bidi w:val="0"/>
              <w:spacing w:before="0" w:after="283"/>
              <w:jc w:val="left"/>
              <w:rPr/>
            </w:pPr>
            <w:hyperlink w:anchor="tm2624535d2_ex99-1.htm">
              <w:r>
                <w:rPr>
                  <w:rStyle w:val="InternetLink"/>
                  <w:rFonts w:ascii="Times New Roman;Times;Serif" w:hAnsi="Times New Roman;Times;Serif"/>
                  <w:sz w:val="20"/>
                </w:rPr>
                <w:t>Supplemental Disclosure—Reconciliation Between U.S. GAAP and International Financial Reporting Standards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 Qu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rFonts w:ascii="Times New Roman;Times;Serif" w:hAnsi="Times New Roman;Times;Serif"/>
                <w:sz w:val="20"/>
              </w:rPr>
              <w:t>Name</w:t>
            </w:r>
            <w:r>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tm2624535d2_ex99-1.htm"/>
      <w:bookmarkStart w:id="3" w:name="kstm2624535d2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between U.S. GAAP and IFRS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for its primary listing in the United States are prepared in accordance with the accounting principles generally accepted in the United States of America (the “U.S. GAAP”). As a secondary listed issuer of the Hong Kong Stock Exchange, the Company is required to include a reconciliation statement in our annual financial statements starting from the first full financial year commencing on or after January 1, 2022, and in all subsequent financial statements (including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interim reporting with the Hong Kong Stock Exchange for the six month period ended June 30, 2026, we have prepared and included as Appendix, the reconciliation statement of the unaudited condensed consolidated statement of comprehensive loss for the six months ended June 30, 2026 and the unaudited condensed consolidated balance sheets as of June 30, 2026 of the Company, its subsidiaries and consolidated VIEs (collectively referred to as “the Group”) between the accounting policies adopted by the Group of the relevant period in accordance with U.S. GAAP and IFRS Accounting Standards as issued by the International Accounting Standards Board (together, the “Reconciliation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the auditor of the Company in Hong Kong, has performed a limited assurance engagement on the Reconciliation Statement in accordance with International Standard on Assurance Engagements 3000 (Revised) “Assurance Engagements Other Than Audits or Reviews of Historical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between U.S. GAAP and IFRS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condensed statement of comprehensive loss and the unaudited condensed consolidated balance sheets are prepared in accordance with U.S. GAAP, which differ in certain respects from IFRS Accounting Standards. The effects of material differences between the unaudited interim condensed consolidated financial information of the Group prepared under U.S. GAAP and IFRS Accounting Standards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unaudited condensed consolidated statement of comprehensive loss</w:t>
      </w:r>
    </w:p>
    <w:p>
      <w:pPr>
        <w:pStyle w:val="TextBody"/>
        <w:bidi w:val="0"/>
        <w:spacing w:before="0" w:after="0"/>
        <w:ind w:left="0" w:right="0" w:hanging="0"/>
        <w:jc w:val="both"/>
        <w:rPr>
          <w:caps w:val="false"/>
          <w:smallCaps w:val="false"/>
        </w:rPr>
      </w:pPr>
      <w:r>
        <w:rPr>
          <w:caps w:val="false"/>
          <w:smallCaps w:val="false"/>
        </w:rPr>
        <w:t> </w:t>
      </w:r>
    </w:p>
    <w:tbl>
      <w:tblPr>
        <w:tblW w:w="11915" w:type="dxa"/>
        <w:jc w:val="left"/>
        <w:tblInd w:w="0" w:type="dxa"/>
        <w:tblLayout w:type="fixed"/>
        <w:tblCellMar>
          <w:top w:w="0" w:type="dxa"/>
          <w:left w:w="0" w:type="dxa"/>
          <w:bottom w:w="0" w:type="dxa"/>
          <w:right w:w="0" w:type="dxa"/>
        </w:tblCellMar>
      </w:tblPr>
      <w:tblGrid>
        <w:gridCol w:w="1010"/>
        <w:gridCol w:w="60"/>
        <w:gridCol w:w="60"/>
        <w:gridCol w:w="890"/>
        <w:gridCol w:w="80"/>
        <w:gridCol w:w="60"/>
        <w:gridCol w:w="83"/>
        <w:gridCol w:w="927"/>
        <w:gridCol w:w="80"/>
        <w:gridCol w:w="60"/>
        <w:gridCol w:w="72"/>
        <w:gridCol w:w="803"/>
        <w:gridCol w:w="80"/>
        <w:gridCol w:w="60"/>
        <w:gridCol w:w="121"/>
        <w:gridCol w:w="739"/>
        <w:gridCol w:w="60"/>
        <w:gridCol w:w="60"/>
        <w:gridCol w:w="73"/>
        <w:gridCol w:w="817"/>
        <w:gridCol w:w="80"/>
        <w:gridCol w:w="60"/>
        <w:gridCol w:w="108"/>
        <w:gridCol w:w="662"/>
        <w:gridCol w:w="60"/>
        <w:gridCol w:w="60"/>
        <w:gridCol w:w="136"/>
        <w:gridCol w:w="829"/>
        <w:gridCol w:w="60"/>
        <w:gridCol w:w="60"/>
        <w:gridCol w:w="60"/>
        <w:gridCol w:w="665"/>
        <w:gridCol w:w="80"/>
        <w:gridCol w:w="60"/>
        <w:gridCol w:w="60"/>
        <w:gridCol w:w="695"/>
        <w:gridCol w:w="80"/>
        <w:gridCol w:w="60"/>
        <w:gridCol w:w="60"/>
        <w:gridCol w:w="620"/>
        <w:gridCol w:w="60"/>
        <w:gridCol w:w="60"/>
        <w:gridCol w:w="60"/>
        <w:gridCol w:w="890"/>
        <w:gridCol w:w="95"/>
      </w:tblGrid>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8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ended June 30, 2026</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 xml:space="preserve">under </w:t>
            </w:r>
          </w:p>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 GAAP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90" w:type="dxa"/>
            <w:gridSpan w:val="3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IFRS 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under IFRS</w:t>
              <w:br/>
              <w:t>Accounting</w:t>
              <w:br/>
              <w:t>Standards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90" w:type="dxa"/>
            <w:gridSpan w:val="34"/>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 (in thousands)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Share-based</w:t>
              <w:br/>
              <w:t>compensation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br/>
              <w:t>notes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Derivative</w:t>
              <w:br/>
              <w:t>financial</w:t>
              <w:br/>
              <w:t>instrument-</w:t>
              <w:br/>
              <w:t>capped call</w:t>
              <w:br/>
              <w:t>options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br/>
              <w:t>non-</w:t>
              <w:br/>
              <w:t>controlling</w:t>
              <w:br/>
              <w:t>interests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Available-</w:t>
              <w:br/>
              <w:t>for-sale</w:t>
              <w:br/>
              <w:t>debt</w:t>
              <w:br/>
              <w:t>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securities</w:t>
              <w:br/>
              <w:t>without</w:t>
              <w:br/>
              <w:t>readily</w:t>
              <w:br/>
              <w:t>determinable</w:t>
              <w:b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Leases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Warranty</w:t>
              <w:br/>
              <w:t>Accrual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Software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92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803"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 w:type="dxa"/>
            <w:tcBorders/>
            <w:vAlign w:val="center"/>
          </w:tcPr>
          <w:p>
            <w:pPr>
              <w:pStyle w:val="TableContents"/>
              <w:bidi w:val="0"/>
              <w:spacing w:before="0" w:after="283"/>
              <w:jc w:val="center"/>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 w:type="dxa"/>
            <w:tcBorders/>
            <w:vAlign w:val="center"/>
          </w:tcPr>
          <w:p>
            <w:pPr>
              <w:pStyle w:val="TableContents"/>
              <w:bidi w:val="0"/>
              <w:spacing w:before="0" w:after="283"/>
              <w:jc w:val="center"/>
              <w:rPr>
                <w:caps w:val="false"/>
                <w:smallCaps w:val="false"/>
              </w:rPr>
            </w:pPr>
            <w:r>
              <w:rPr>
                <w:caps w:val="false"/>
                <w:smallCaps w:val="false"/>
              </w:rPr>
              <w:t> </w:t>
            </w:r>
          </w:p>
        </w:tc>
        <w:tc>
          <w:tcPr>
            <w:tcW w:w="82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(ix)</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(46,903,889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131,997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136,370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(46,633,208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(4,029,942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(172,037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(4,188,121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(7,921,822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124,837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(7,725,543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(656,030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(44,886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217,297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136,370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(347,249</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(456,794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176,518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(357,312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(83,909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(957,039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changes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(372,786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(372,786</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(815,140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(44,886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(196,268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(357,312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(18,245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(1,379,390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(860,091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(44,886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(196,268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(357,312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(18,245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(1,424,341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760" w:type="dxa"/>
        <w:jc w:val="left"/>
        <w:tblInd w:w="0" w:type="dxa"/>
        <w:tblLayout w:type="fixed"/>
        <w:tblCellMar>
          <w:top w:w="0" w:type="dxa"/>
          <w:left w:w="0" w:type="dxa"/>
          <w:bottom w:w="0" w:type="dxa"/>
          <w:right w:w="0" w:type="dxa"/>
        </w:tblCellMar>
      </w:tblPr>
      <w:tblGrid>
        <w:gridCol w:w="1145"/>
        <w:gridCol w:w="60"/>
        <w:gridCol w:w="60"/>
        <w:gridCol w:w="800"/>
        <w:gridCol w:w="80"/>
        <w:gridCol w:w="60"/>
        <w:gridCol w:w="95"/>
        <w:gridCol w:w="915"/>
        <w:gridCol w:w="80"/>
        <w:gridCol w:w="60"/>
        <w:gridCol w:w="78"/>
        <w:gridCol w:w="797"/>
        <w:gridCol w:w="80"/>
        <w:gridCol w:w="60"/>
        <w:gridCol w:w="121"/>
        <w:gridCol w:w="739"/>
        <w:gridCol w:w="60"/>
        <w:gridCol w:w="60"/>
        <w:gridCol w:w="73"/>
        <w:gridCol w:w="817"/>
        <w:gridCol w:w="80"/>
        <w:gridCol w:w="60"/>
        <w:gridCol w:w="108"/>
        <w:gridCol w:w="662"/>
        <w:gridCol w:w="60"/>
        <w:gridCol w:w="60"/>
        <w:gridCol w:w="136"/>
        <w:gridCol w:w="829"/>
        <w:gridCol w:w="60"/>
        <w:gridCol w:w="60"/>
        <w:gridCol w:w="60"/>
        <w:gridCol w:w="575"/>
        <w:gridCol w:w="80"/>
        <w:gridCol w:w="60"/>
        <w:gridCol w:w="60"/>
        <w:gridCol w:w="695"/>
        <w:gridCol w:w="60"/>
        <w:gridCol w:w="60"/>
        <w:gridCol w:w="60"/>
        <w:gridCol w:w="620"/>
        <w:gridCol w:w="60"/>
        <w:gridCol w:w="60"/>
        <w:gridCol w:w="60"/>
        <w:gridCol w:w="800"/>
        <w:gridCol w:w="95"/>
      </w:tblGrid>
      <w:tr>
        <w:trPr/>
        <w:tc>
          <w:tcPr>
            <w:tcW w:w="114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8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ended June 30, 2026</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Amounts under </w:t>
            </w:r>
          </w:p>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 GAAP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80" w:type="dxa"/>
            <w:gridSpan w:val="3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IFRS 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under IFRS</w:t>
              <w:br/>
              <w:t>Accounting</w:t>
              <w:br/>
              <w:t>Standards</w:t>
            </w:r>
          </w:p>
        </w:tc>
        <w:tc>
          <w:tcPr>
            <w:tcW w:w="9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80" w:type="dxa"/>
            <w:gridSpan w:val="34"/>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 (in thousands)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Share-based</w:t>
              <w:br/>
              <w:t>compensation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br/>
              <w:t>notes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Derivative</w:t>
              <w:br/>
              <w:t>financial</w:t>
              <w:br/>
              <w:t>instrument-</w:t>
              <w:br/>
              <w:t xml:space="preserve">capped </w:t>
              <w:br/>
              <w:t>call options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br/>
              <w:t>non-</w:t>
              <w:br/>
              <w:t>controlling</w:t>
              <w:br/>
              <w:t>interests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Available-</w:t>
              <w:br/>
              <w:t>for-sale</w:t>
              <w:br/>
              <w:t>debt</w:t>
              <w:br/>
              <w:t>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securities</w:t>
              <w:br/>
              <w:t>without</w:t>
              <w:br/>
              <w:t>readily</w:t>
              <w:br/>
              <w:t>determinable</w:t>
              <w:b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Leases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Warranty</w:t>
              <w:br/>
              <w:t>Accrual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Software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91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 w:type="dxa"/>
            <w:tcBorders/>
            <w:vAlign w:val="center"/>
          </w:tcPr>
          <w:p>
            <w:pPr>
              <w:pStyle w:val="TableContents"/>
              <w:bidi w:val="0"/>
              <w:spacing w:before="0" w:after="283"/>
              <w:jc w:val="center"/>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 w:type="dxa"/>
            <w:tcBorders/>
            <w:vAlign w:val="center"/>
          </w:tcPr>
          <w:p>
            <w:pPr>
              <w:pStyle w:val="TableContents"/>
              <w:bidi w:val="0"/>
              <w:spacing w:before="0" w:after="283"/>
              <w:jc w:val="center"/>
              <w:rPr>
                <w:caps w:val="false"/>
                <w:smallCaps w:val="false"/>
              </w:rPr>
            </w:pPr>
            <w:r>
              <w:rPr>
                <w:caps w:val="false"/>
                <w:smallCaps w:val="false"/>
              </w:rPr>
              <w:t> </w:t>
            </w:r>
          </w:p>
        </w:tc>
        <w:tc>
          <w:tcPr>
            <w:tcW w:w="82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(ix)</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 on convertible notes due to own credit risk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118,097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(269,857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118,097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(151,760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(1,129,948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(44,886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(78,171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(357,312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(18,245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(1,576,101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Accretion on redeemable non-controlling interests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357,312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 loss attributable to ordinary shareholders of NIO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(1,487,456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(44,886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(78,171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(18,245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(1,576,297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985" w:type="dxa"/>
        <w:jc w:val="left"/>
        <w:tblInd w:w="0" w:type="dxa"/>
        <w:tblLayout w:type="fixed"/>
        <w:tblCellMar>
          <w:top w:w="0" w:type="dxa"/>
          <w:left w:w="0" w:type="dxa"/>
          <w:bottom w:w="0" w:type="dxa"/>
          <w:right w:w="0" w:type="dxa"/>
        </w:tblCellMar>
      </w:tblPr>
      <w:tblGrid>
        <w:gridCol w:w="1100"/>
        <w:gridCol w:w="60"/>
        <w:gridCol w:w="60"/>
        <w:gridCol w:w="890"/>
        <w:gridCol w:w="80"/>
        <w:gridCol w:w="60"/>
        <w:gridCol w:w="91"/>
        <w:gridCol w:w="919"/>
        <w:gridCol w:w="60"/>
        <w:gridCol w:w="60"/>
        <w:gridCol w:w="72"/>
        <w:gridCol w:w="803"/>
        <w:gridCol w:w="80"/>
        <w:gridCol w:w="60"/>
        <w:gridCol w:w="121"/>
        <w:gridCol w:w="739"/>
        <w:gridCol w:w="60"/>
        <w:gridCol w:w="60"/>
        <w:gridCol w:w="73"/>
        <w:gridCol w:w="817"/>
        <w:gridCol w:w="80"/>
        <w:gridCol w:w="60"/>
        <w:gridCol w:w="108"/>
        <w:gridCol w:w="662"/>
        <w:gridCol w:w="60"/>
        <w:gridCol w:w="60"/>
        <w:gridCol w:w="119"/>
        <w:gridCol w:w="846"/>
        <w:gridCol w:w="60"/>
        <w:gridCol w:w="60"/>
        <w:gridCol w:w="60"/>
        <w:gridCol w:w="665"/>
        <w:gridCol w:w="80"/>
        <w:gridCol w:w="60"/>
        <w:gridCol w:w="60"/>
        <w:gridCol w:w="695"/>
        <w:gridCol w:w="80"/>
        <w:gridCol w:w="60"/>
        <w:gridCol w:w="60"/>
        <w:gridCol w:w="620"/>
        <w:gridCol w:w="60"/>
        <w:gridCol w:w="60"/>
        <w:gridCol w:w="60"/>
        <w:gridCol w:w="890"/>
        <w:gridCol w:w="95"/>
      </w:tblGrid>
      <w:tr>
        <w:trPr/>
        <w:tc>
          <w:tcPr>
            <w:tcW w:w="110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6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ended June 30, 2025</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 xml:space="preserve">under </w:t>
            </w:r>
          </w:p>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 GAAP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70" w:type="dxa"/>
            <w:gridSpan w:val="3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IFRS 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under IFRS</w:t>
              <w:br/>
              <w:t>Accounting</w:t>
              <w:br/>
              <w:t>Standards</w:t>
            </w:r>
          </w:p>
        </w:tc>
        <w:tc>
          <w:tcPr>
            <w:tcW w:w="9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70" w:type="dxa"/>
            <w:gridSpan w:val="34"/>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 (in thousands)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Share-based</w:t>
              <w:br/>
              <w:t>compensation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br/>
              <w:t>notes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Derivative</w:t>
              <w:br/>
              <w:t>financial</w:t>
              <w:br/>
              <w:t>instrument-</w:t>
              <w:br/>
              <w:t>capped call options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br/>
              <w:t>non-</w:t>
              <w:br/>
              <w:t>controlling</w:t>
              <w:br/>
              <w:t>interests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Available-</w:t>
              <w:br/>
              <w:t>for-sale</w:t>
              <w:br/>
              <w:t>debt</w:t>
              <w:br/>
              <w:t>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securities</w:t>
              <w:br/>
              <w:t>without</w:t>
              <w:br/>
              <w:t>readily</w:t>
              <w:br/>
              <w:t>determinable</w:t>
              <w:b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Leases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Warranty</w:t>
              <w:br/>
              <w:t>Accrual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Software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803"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 w:type="dxa"/>
            <w:tcBorders/>
            <w:vAlign w:val="center"/>
          </w:tcPr>
          <w:p>
            <w:pPr>
              <w:pStyle w:val="TableContents"/>
              <w:bidi w:val="0"/>
              <w:spacing w:before="0" w:after="283"/>
              <w:jc w:val="center"/>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 w:type="dxa"/>
            <w:tcBorders/>
            <w:vAlign w:val="center"/>
          </w:tcPr>
          <w:p>
            <w:pPr>
              <w:pStyle w:val="TableContents"/>
              <w:bidi w:val="0"/>
              <w:spacing w:before="0" w:after="283"/>
              <w:jc w:val="center"/>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(ix)</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(28,226,317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(28,122,771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(6,188,435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378,719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(5,782,594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(8,365,684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(8,060,487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(11,326,986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279,541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(10,512,402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and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280,745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(56,296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227,960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(457,610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183,497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(292,864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(282,624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(921,960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changes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(154,151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(11,697,264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(12,290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(292,864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(3,083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(61,987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(11,539,306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(11,744,834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(12,290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(292,864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(3,083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(61,987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(11,586,876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1730" w:type="dxa"/>
        <w:jc w:val="left"/>
        <w:tblInd w:w="0" w:type="dxa"/>
        <w:tblLayout w:type="fixed"/>
        <w:tblCellMar>
          <w:top w:w="0" w:type="dxa"/>
          <w:left w:w="0" w:type="dxa"/>
          <w:bottom w:w="0" w:type="dxa"/>
          <w:right w:w="0" w:type="dxa"/>
        </w:tblCellMar>
      </w:tblPr>
      <w:tblGrid>
        <w:gridCol w:w="1145"/>
        <w:gridCol w:w="60"/>
        <w:gridCol w:w="60"/>
        <w:gridCol w:w="890"/>
        <w:gridCol w:w="80"/>
        <w:gridCol w:w="60"/>
        <w:gridCol w:w="91"/>
        <w:gridCol w:w="919"/>
        <w:gridCol w:w="60"/>
        <w:gridCol w:w="60"/>
        <w:gridCol w:w="91"/>
        <w:gridCol w:w="784"/>
        <w:gridCol w:w="60"/>
        <w:gridCol w:w="60"/>
        <w:gridCol w:w="112"/>
        <w:gridCol w:w="688"/>
        <w:gridCol w:w="60"/>
        <w:gridCol w:w="60"/>
        <w:gridCol w:w="73"/>
        <w:gridCol w:w="817"/>
        <w:gridCol w:w="80"/>
        <w:gridCol w:w="60"/>
        <w:gridCol w:w="100"/>
        <w:gridCol w:w="610"/>
        <w:gridCol w:w="60"/>
        <w:gridCol w:w="60"/>
        <w:gridCol w:w="106"/>
        <w:gridCol w:w="859"/>
        <w:gridCol w:w="80"/>
        <w:gridCol w:w="60"/>
        <w:gridCol w:w="60"/>
        <w:gridCol w:w="485"/>
        <w:gridCol w:w="80"/>
        <w:gridCol w:w="60"/>
        <w:gridCol w:w="60"/>
        <w:gridCol w:w="695"/>
        <w:gridCol w:w="80"/>
        <w:gridCol w:w="60"/>
        <w:gridCol w:w="60"/>
        <w:gridCol w:w="620"/>
        <w:gridCol w:w="60"/>
        <w:gridCol w:w="60"/>
        <w:gridCol w:w="60"/>
        <w:gridCol w:w="890"/>
        <w:gridCol w:w="95"/>
      </w:tblGrid>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6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ended June 30, 2025</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 xml:space="preserve">under </w:t>
            </w:r>
          </w:p>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 GAAP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70" w:type="dxa"/>
            <w:gridSpan w:val="3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IFRS 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under IFRS</w:t>
              <w:br/>
              <w:t>Accounting</w:t>
              <w:br/>
              <w:t>Standards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70" w:type="dxa"/>
            <w:gridSpan w:val="34"/>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 (in thousands)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Share-based</w:t>
              <w:br/>
              <w:t>compensation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b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Derivative</w:t>
              <w:br/>
              <w:t>financial</w:t>
              <w:br/>
              <w:t>instrument</w:t>
              <w:br/>
              <w:t>-capped</w:t>
              <w:br/>
              <w:t>call options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br/>
              <w:t>non-</w:t>
              <w:br/>
              <w:t>controlling</w:t>
              <w:br/>
              <w:t>interests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Available</w:t>
              <w:br/>
              <w:t>-for-sale</w:t>
              <w:br/>
              <w:t>debt</w:t>
              <w:br/>
              <w:t>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securities</w:t>
              <w:br/>
              <w:t>without</w:t>
              <w:br/>
              <w:t>readily</w:t>
              <w:br/>
              <w:t>determinable</w:t>
              <w:br/>
              <w:t>fair value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Leases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Warranty</w:t>
              <w:br/>
              <w:t>Accrual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Software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784"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 w:type="dxa"/>
            <w:tcBorders/>
            <w:vAlign w:val="center"/>
          </w:tcPr>
          <w:p>
            <w:pPr>
              <w:pStyle w:val="TableContents"/>
              <w:bidi w:val="0"/>
              <w:spacing w:before="0" w:after="283"/>
              <w:jc w:val="center"/>
              <w:rPr>
                <w:caps w:val="false"/>
                <w:smallCaps w:val="false"/>
              </w:rPr>
            </w:pPr>
            <w:r>
              <w:rPr>
                <w:caps w:val="false"/>
                <w:smallCaps w:val="false"/>
              </w:rPr>
              <w:t> </w:t>
            </w:r>
          </w:p>
        </w:tc>
        <w:tc>
          <w:tcPr>
            <w:tcW w:w="688"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61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6" w:type="dxa"/>
            <w:tcBorders/>
            <w:vAlign w:val="center"/>
          </w:tcPr>
          <w:p>
            <w:pPr>
              <w:pStyle w:val="TableContents"/>
              <w:bidi w:val="0"/>
              <w:spacing w:before="0" w:after="283"/>
              <w:jc w:val="center"/>
              <w:rPr>
                <w:caps w:val="false"/>
                <w:smallCaps w:val="false"/>
              </w:rPr>
            </w:pPr>
            <w:r>
              <w:rPr>
                <w:caps w:val="false"/>
                <w:smallCaps w:val="false"/>
              </w:rPr>
              <w:t> </w:t>
            </w:r>
          </w:p>
        </w:tc>
        <w:tc>
          <w:tcPr>
            <w:tcW w:w="85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(ix)</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40"/>
              <w:jc w:val="center"/>
              <w:rPr/>
            </w:pPr>
            <w:r>
              <w:rPr/>
              <w:t> </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 on convertible notes due to own credit risk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88,230</w:t>
            </w:r>
          </w:p>
        </w:tc>
        <w:tc>
          <w:tcPr>
            <w:tcW w:w="95" w:type="dxa"/>
            <w:tcBorders/>
            <w:shd w:fill="CCEEFF" w:val="clear"/>
            <w:vAlign w:val="center"/>
          </w:tcPr>
          <w:p>
            <w:pPr>
              <w:pStyle w:val="TableContents"/>
              <w:bidi w:val="0"/>
              <w:spacing w:before="0" w:after="283"/>
              <w:ind w:left="0" w:right="0" w:hanging="140"/>
              <w:jc w:val="left"/>
              <w:rPr>
                <w:caps w:val="false"/>
                <w:smallCaps w:val="false"/>
              </w:rPr>
            </w:pPr>
            <w:r>
              <w:rPr>
                <w:caps w:val="false"/>
                <w:smallCaps w:val="false"/>
              </w:rPr>
              <w:t> </w:t>
            </w:r>
          </w:p>
        </w:tc>
      </w:tr>
      <w:tr>
        <w:trPr/>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Changes in the fair value of equity instruments at fair value through other comprehensive income or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(3,511</w:t>
            </w:r>
          </w:p>
        </w:tc>
        <w:tc>
          <w:tcPr>
            <w:tcW w:w="95" w:type="dxa"/>
            <w:tcBorders/>
            <w:shd w:fill="FFFFFF" w:val="clear"/>
            <w:vAlign w:val="center"/>
          </w:tcPr>
          <w:p>
            <w:pPr>
              <w:pStyle w:val="TableContents"/>
              <w:bidi w:val="0"/>
              <w:spacing w:before="0" w:after="283"/>
              <w:ind w:left="0" w:right="0" w:hanging="14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260,479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345,198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(11,484,355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75,940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(292,864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(3,083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(61,987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(11,241,678</w:t>
            </w:r>
          </w:p>
        </w:tc>
        <w:tc>
          <w:tcPr>
            <w:tcW w:w="95" w:type="dxa"/>
            <w:tcBorders/>
            <w:shd w:fill="FFFFFF" w:val="clear"/>
            <w:vAlign w:val="center"/>
          </w:tcPr>
          <w:p>
            <w:pPr>
              <w:pStyle w:val="TableContents"/>
              <w:bidi w:val="0"/>
              <w:spacing w:before="0" w:after="283"/>
              <w:ind w:left="0" w:right="0" w:hanging="14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Accretion on redeemable non-controlling interests to redemption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(292,864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292,864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40"/>
              <w:jc w:val="left"/>
              <w:rPr>
                <w:caps w:val="false"/>
                <w:smallCaps w:val="false"/>
              </w:rPr>
            </w:pPr>
            <w:r>
              <w:rPr>
                <w:caps w:val="false"/>
                <w:smallCaps w:val="false"/>
              </w:rPr>
              <w:t> </w:t>
            </w:r>
          </w:p>
        </w:tc>
      </w:tr>
      <w:tr>
        <w:trPr/>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 loss attributable to ordinary shareholders of NIO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(11,771,889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524,671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75,940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(3,083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(61,987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(11,236,348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12335" w:type="dxa"/>
        <w:jc w:val="left"/>
        <w:tblInd w:w="0" w:type="dxa"/>
        <w:tblLayout w:type="fixed"/>
        <w:tblCellMar>
          <w:top w:w="0" w:type="dxa"/>
          <w:left w:w="0" w:type="dxa"/>
          <w:bottom w:w="0" w:type="dxa"/>
          <w:right w:w="0" w:type="dxa"/>
        </w:tblCellMar>
      </w:tblPr>
      <w:tblGrid>
        <w:gridCol w:w="1130"/>
        <w:gridCol w:w="60"/>
        <w:gridCol w:w="60"/>
        <w:gridCol w:w="980"/>
        <w:gridCol w:w="80"/>
        <w:gridCol w:w="60"/>
        <w:gridCol w:w="83"/>
        <w:gridCol w:w="927"/>
        <w:gridCol w:w="80"/>
        <w:gridCol w:w="60"/>
        <w:gridCol w:w="61"/>
        <w:gridCol w:w="814"/>
        <w:gridCol w:w="80"/>
        <w:gridCol w:w="60"/>
        <w:gridCol w:w="71"/>
        <w:gridCol w:w="789"/>
        <w:gridCol w:w="80"/>
        <w:gridCol w:w="60"/>
        <w:gridCol w:w="60"/>
        <w:gridCol w:w="890"/>
        <w:gridCol w:w="80"/>
        <w:gridCol w:w="60"/>
        <w:gridCol w:w="60"/>
        <w:gridCol w:w="665"/>
        <w:gridCol w:w="80"/>
        <w:gridCol w:w="60"/>
        <w:gridCol w:w="91"/>
        <w:gridCol w:w="874"/>
        <w:gridCol w:w="80"/>
        <w:gridCol w:w="60"/>
        <w:gridCol w:w="60"/>
        <w:gridCol w:w="665"/>
        <w:gridCol w:w="80"/>
        <w:gridCol w:w="60"/>
        <w:gridCol w:w="60"/>
        <w:gridCol w:w="695"/>
        <w:gridCol w:w="80"/>
        <w:gridCol w:w="60"/>
        <w:gridCol w:w="60"/>
        <w:gridCol w:w="665"/>
        <w:gridCol w:w="80"/>
        <w:gridCol w:w="60"/>
        <w:gridCol w:w="60"/>
        <w:gridCol w:w="980"/>
        <w:gridCol w:w="75"/>
      </w:tblGrid>
      <w:tr>
        <w:trPr/>
        <w:tc>
          <w:tcPr>
            <w:tcW w:w="11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9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of June 30, 2026</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 xml:space="preserve">under </w:t>
            </w:r>
          </w:p>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 GAAP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10" w:type="dxa"/>
            <w:gridSpan w:val="3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IFRS 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under IFRS</w:t>
              <w:br/>
              <w:t>Accounting</w:t>
              <w:br/>
              <w:t>Standards</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10" w:type="dxa"/>
            <w:gridSpan w:val="34"/>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 (in thousands)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Share-based</w:t>
              <w:br/>
              <w:t>compensation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br/>
              <w:t>notes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Derivative</w:t>
              <w:br/>
              <w:t>financial</w:t>
              <w:br/>
              <w:t>instrument-</w:t>
              <w:br/>
              <w:t>capped call options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br/>
              <w:t>non-</w:t>
              <w:br/>
              <w:t>controlling</w:t>
              <w:br/>
              <w:t>interests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Available</w:t>
              <w:br/>
              <w:t>-for-sale</w:t>
              <w:br/>
              <w:t>debt</w:t>
              <w:br/>
              <w:t>securities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securities</w:t>
              <w:br/>
              <w:t>without</w:t>
              <w:br/>
              <w:t>readily</w:t>
              <w:br/>
              <w:t>determinable</w:t>
              <w:br/>
              <w:t>fair value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Leases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Warranty</w:t>
              <w:br/>
              <w:t>Accrual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Software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92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814"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78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874"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(ix)</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assets at fair value through profit or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967,503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967,503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assets at fair value through other comprehensive income or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25,251,240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(149,262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25,101,978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149,262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322,474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2,340,908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(967,503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1,373,218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10,957,091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(561,352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10,395,739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136,211,340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(561,352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135,649,988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portion of 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897,712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896,264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Accruals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15,371,799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(68,836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15,302,963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liabilities measured at amortized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10,222,746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10,222,746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liabilities at fair value through profit or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6,644,115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6,644,115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8,550,926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(7,756,532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794,394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15,029,869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(720,558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14,309,311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121,943,115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(1,182,701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10,222,746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(720,558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130,262,602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10,222,746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(10,222,746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Mezzanine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10,222,746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(10,222,746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132,774,453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391,998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(614,849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8,985,339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141,536,941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(389,533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(17,050</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(128,889,318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(391,998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1,572,234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614,849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(8,985,339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720,558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(135,982,906</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4,045,479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1,182,701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(561,352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720,558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5,387,386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320" w:type="dxa"/>
        <w:jc w:val="left"/>
        <w:tblInd w:w="0" w:type="dxa"/>
        <w:tblLayout w:type="fixed"/>
        <w:tblCellMar>
          <w:top w:w="0" w:type="dxa"/>
          <w:left w:w="0" w:type="dxa"/>
          <w:bottom w:w="0" w:type="dxa"/>
          <w:right w:w="0" w:type="dxa"/>
        </w:tblCellMar>
      </w:tblPr>
      <w:tblGrid>
        <w:gridCol w:w="1130"/>
        <w:gridCol w:w="60"/>
        <w:gridCol w:w="60"/>
        <w:gridCol w:w="980"/>
        <w:gridCol w:w="80"/>
        <w:gridCol w:w="60"/>
        <w:gridCol w:w="83"/>
        <w:gridCol w:w="927"/>
        <w:gridCol w:w="80"/>
        <w:gridCol w:w="60"/>
        <w:gridCol w:w="61"/>
        <w:gridCol w:w="814"/>
        <w:gridCol w:w="80"/>
        <w:gridCol w:w="60"/>
        <w:gridCol w:w="71"/>
        <w:gridCol w:w="789"/>
        <w:gridCol w:w="80"/>
        <w:gridCol w:w="60"/>
        <w:gridCol w:w="62"/>
        <w:gridCol w:w="828"/>
        <w:gridCol w:w="80"/>
        <w:gridCol w:w="60"/>
        <w:gridCol w:w="63"/>
        <w:gridCol w:w="707"/>
        <w:gridCol w:w="80"/>
        <w:gridCol w:w="60"/>
        <w:gridCol w:w="79"/>
        <w:gridCol w:w="886"/>
        <w:gridCol w:w="80"/>
        <w:gridCol w:w="60"/>
        <w:gridCol w:w="60"/>
        <w:gridCol w:w="665"/>
        <w:gridCol w:w="80"/>
        <w:gridCol w:w="60"/>
        <w:gridCol w:w="60"/>
        <w:gridCol w:w="695"/>
        <w:gridCol w:w="80"/>
        <w:gridCol w:w="60"/>
        <w:gridCol w:w="60"/>
        <w:gridCol w:w="665"/>
        <w:gridCol w:w="80"/>
        <w:gridCol w:w="60"/>
        <w:gridCol w:w="60"/>
        <w:gridCol w:w="980"/>
        <w:gridCol w:w="75"/>
      </w:tblGrid>
      <w:tr>
        <w:trPr/>
        <w:tc>
          <w:tcPr>
            <w:tcW w:w="11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75"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of December 31, 2025</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 xml:space="preserve">under </w:t>
            </w:r>
          </w:p>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 GAAP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95" w:type="dxa"/>
            <w:gridSpan w:val="3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IFRS 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Amounts</w:t>
              <w:br/>
              <w:t>under IFRS</w:t>
              <w:br/>
              <w:t>Accounting</w:t>
              <w:br/>
              <w:t>Standards</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95" w:type="dxa"/>
            <w:gridSpan w:val="34"/>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 (in thousands)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Share-based</w:t>
              <w:br/>
              <w:t>compensation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br/>
              <w:t>notes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Derivative</w:t>
              <w:br/>
              <w:t>financial</w:t>
              <w:br/>
              <w:t>instrument-</w:t>
              <w:br/>
              <w:t xml:space="preserve">capped </w:t>
              <w:br/>
              <w:t>call options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br/>
              <w:t>non-</w:t>
              <w:br/>
              <w:t>controlling</w:t>
              <w:br/>
              <w:t>interests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Available-</w:t>
              <w:br/>
              <w:t>for-sale</w:t>
              <w:br/>
              <w:t>debt</w:t>
              <w:br/>
              <w:t>securities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br/>
              <w:t>securities</w:t>
              <w:br/>
              <w:t>without</w:t>
              <w:br/>
              <w:t>readily</w:t>
              <w:br/>
              <w:t>determinable</w:t>
              <w:br/>
              <w:t>fair value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Leases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Warranty</w:t>
              <w:br/>
              <w:t>Accrual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Software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92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814"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789"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828"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07"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 w:type="dxa"/>
            <w:tcBorders/>
            <w:vAlign w:val="center"/>
          </w:tcPr>
          <w:p>
            <w:pPr>
              <w:pStyle w:val="TableContents"/>
              <w:bidi w:val="0"/>
              <w:spacing w:before="0" w:after="283"/>
              <w:jc w:val="center"/>
              <w:rPr>
                <w:caps w:val="false"/>
                <w:smallCaps w:val="false"/>
              </w:rPr>
            </w:pPr>
            <w:r>
              <w:rPr>
                <w:caps w:val="false"/>
                <w:smallCaps w:val="false"/>
              </w:rPr>
              <w:t> </w:t>
            </w:r>
          </w:p>
        </w:tc>
        <w:tc>
          <w:tcPr>
            <w:tcW w:w="886"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(viii)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(ix)</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assets at fair value through profit or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979,071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979,071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assets at fair value through other comprehensive income or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362,687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362,687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25,827,968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(201,011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25,626,957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29,648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230,659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2,480,518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(979,071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(362,687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1,138,760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11,711,306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(543,107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11,168,199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124,401,078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(543,107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123,857,971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portion of 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655,971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649,562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Accruals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16,696,044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(71,042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16,625,002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liabilities at fair value through profit or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8,551,854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8,551,854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liabilities measured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6,814,288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6,814,288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8,626,272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(7,997,709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628,563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13,690,778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(668,097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13,022,681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111,708,521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(1,260,872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8,551,854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(668,097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118,331,406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8,551,854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(8,551,854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Mezzanine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8,551,854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(8,551,854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131,728,259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(614,849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8,628,027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140,088,549</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579,799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(507,630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134,709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(128,029,031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(347,112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1,768,502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614,849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(8,628,027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(543,107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668,097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(134,558,369</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4,140,703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1,260,872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(543,107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668,097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5,526,565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are responsible for preparation of the Reconciliation Statement in accordance with the relevant requirements of the HKEX Guidance Letter HKEX-GL111-22. The Reconciliation Statement was prepared based on the Group’s unaudited interim condensed consolidated financial information for the six months ended June 30, 2026 prepared under U.S. GAAP, with adjustments made thereto in arriving at the unaudited financial information of the Group prepared under IFRS Accounting Standards. The adjustments reflect the differences between the Group’s accounting policies under U.S. GAAP and IFRS Accounting Standards.</w:t>
      </w:r>
    </w:p>
    <w:p>
      <w:pPr>
        <w:pStyle w:val="TextBody"/>
        <w:bidi w:val="0"/>
        <w:spacing w:before="0" w:after="0"/>
        <w:ind w:left="0"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w:t>
            </w:r>
          </w:p>
        </w:tc>
        <w:tc>
          <w:tcPr>
            <w:tcW w:w="2750" w:type="dxa"/>
            <w:tcBorders/>
            <w:vAlign w:val="center"/>
          </w:tcPr>
          <w:p>
            <w:pPr>
              <w:pStyle w:val="TableContents"/>
              <w:bidi w:val="0"/>
              <w:spacing w:before="0" w:after="283"/>
              <w:jc w:val="both"/>
              <w:rPr>
                <w:b/>
              </w:rPr>
            </w:pPr>
            <w:r>
              <w:rPr>
                <w:b/>
              </w:rPr>
              <w:t>Share-based compensation</w:t>
            </w:r>
          </w:p>
        </w:tc>
      </w:tr>
    </w:tbl>
    <w:p>
      <w:pPr>
        <w:pStyle w:val="TextBody"/>
        <w:bidi w:val="0"/>
        <w:spacing w:before="0" w:after="0"/>
        <w:ind w:left="1080" w:right="0" w:hanging="72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15"/>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4715" w:type="dxa"/>
            <w:tcBorders/>
            <w:vAlign w:val="center"/>
          </w:tcPr>
          <w:p>
            <w:pPr>
              <w:pStyle w:val="TableContents"/>
              <w:bidi w:val="0"/>
              <w:spacing w:before="0" w:after="283"/>
              <w:jc w:val="both"/>
              <w:rPr/>
            </w:pPr>
            <w:r>
              <w:rPr/>
              <w:t>Attribution – awards with graded-vesting features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Group has elected to recognize compensation expense using the straight-line method for all employee equity awards granted with graded vesting over the requisite service period.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 graded vesting method is required to recognize compensation expense for all employee equity awards granted with graded vesting.</w:t>
      </w:r>
    </w:p>
    <w:p>
      <w:pPr>
        <w:pStyle w:val="TextBody"/>
        <w:bidi w:val="0"/>
        <w:spacing w:before="0" w:after="0"/>
        <w:ind w:left="1437" w:right="0" w:hanging="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215"/>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3185" w:type="dxa"/>
            <w:tcBorders/>
            <w:vAlign w:val="center"/>
          </w:tcPr>
          <w:p>
            <w:pPr>
              <w:pStyle w:val="TableContents"/>
              <w:bidi w:val="0"/>
              <w:spacing w:before="0" w:after="283"/>
              <w:jc w:val="both"/>
              <w:rPr/>
            </w:pPr>
            <w:r>
              <w:rPr/>
              <w:t>Awards with performance targets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fulfilment of a qualified initial public offering (the “QIPO”) is a performance vesting condition and such condition is generally not considered probable until it actually occurs. Accordingly, related share-based compensation expense for these awards with QIPO condition would not be recognized until an IPO occurs.</w:t>
      </w:r>
    </w:p>
    <w:p>
      <w:pPr>
        <w:pStyle w:val="TextBody"/>
        <w:bidi w:val="0"/>
        <w:spacing w:before="0" w:after="0"/>
        <w:ind w:left="1437" w:right="0" w:hanging="0"/>
        <w:jc w:val="both"/>
        <w:rPr>
          <w:caps w:val="false"/>
          <w:smallCaps w:val="false"/>
        </w:rPr>
      </w:pPr>
      <w:r>
        <w:rPr>
          <w:caps w:val="false"/>
          <w:smallCaps w:val="false"/>
        </w:rPr>
        <w:t> </w:t>
      </w:r>
    </w:p>
    <w:p>
      <w:pPr>
        <w:pStyle w:val="TextBody"/>
        <w:bidi w:val="0"/>
        <w:spacing w:before="0" w:after="0"/>
        <w:ind w:left="143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 estimation of the QIPO completion date is required to determine the actual vesting period, and Company recognized share-based compensation expenses over the longer of: (1) the period derived from the estimated IPO completion date, or (2) the original vesting period.</w:t>
      </w:r>
    </w:p>
    <w:p>
      <w:pPr>
        <w:pStyle w:val="TextBody"/>
        <w:bidi w:val="0"/>
        <w:spacing w:before="0" w:after="0"/>
        <w:ind w:left="1437"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9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(ii)</w:t>
            </w:r>
          </w:p>
        </w:tc>
        <w:tc>
          <w:tcPr>
            <w:tcW w:w="1820" w:type="dxa"/>
            <w:tcBorders/>
            <w:vAlign w:val="center"/>
          </w:tcPr>
          <w:p>
            <w:pPr>
              <w:pStyle w:val="TableContents"/>
              <w:bidi w:val="0"/>
              <w:spacing w:before="0" w:after="283"/>
              <w:jc w:val="both"/>
              <w:rPr>
                <w:b/>
              </w:rPr>
            </w:pPr>
            <w:r>
              <w:rPr>
                <w:b/>
              </w:rPr>
              <w:t>Convertible notes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convertible notes are measured at amortized cost, with any difference between the initial carrying value and the repayment amount recognized as interest expense using effective interest method over the period from issuance date to maturity date.</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 Group’s convertible notes are designated as at fair value through profit or loss such that the convertible notes are initially recognized at fair value. Subsequent to initial recognition, the amounts of changes in fair value of the convertible notes that are attributed to changes in own credit risk are presented in other comprehensive income and the remaining fair value changes are presented in the profit or loss.</w:t>
      </w:r>
    </w:p>
    <w:p>
      <w:pPr>
        <w:pStyle w:val="TextBody"/>
        <w:bidi w:val="0"/>
        <w:spacing w:before="0" w:after="0"/>
        <w:ind w:left="1080" w:right="0" w:hanging="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35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(iii)</w:t>
            </w:r>
          </w:p>
        </w:tc>
        <w:tc>
          <w:tcPr>
            <w:tcW w:w="5285" w:type="dxa"/>
            <w:tcBorders/>
            <w:vAlign w:val="center"/>
          </w:tcPr>
          <w:p>
            <w:pPr>
              <w:pStyle w:val="TableContents"/>
              <w:bidi w:val="0"/>
              <w:spacing w:before="0" w:after="283"/>
              <w:jc w:val="both"/>
              <w:rPr>
                <w:b/>
              </w:rPr>
            </w:pPr>
            <w:r>
              <w:rPr>
                <w:b/>
              </w:rPr>
              <w:t>Derivative financial instruments-capped call options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costs for the capped call options are recorded as deduction of additional paid-in capital within total shareholders’ deficit.</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 capped call options are recognized as financial assets at fair value through profit or loss such that they are initially recognized at fair value and subsequent to initial recognition, the amounts of changes in fair value are recognized in the profit or loss.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35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(iv)</w:t>
            </w:r>
          </w:p>
        </w:tc>
        <w:tc>
          <w:tcPr>
            <w:tcW w:w="3800" w:type="dxa"/>
            <w:tcBorders/>
            <w:vAlign w:val="center"/>
          </w:tcPr>
          <w:p>
            <w:pPr>
              <w:pStyle w:val="TableContents"/>
              <w:bidi w:val="0"/>
              <w:spacing w:before="0" w:after="283"/>
              <w:jc w:val="both"/>
              <w:rPr>
                <w:b/>
              </w:rPr>
            </w:pPr>
            <w:r>
              <w:rPr>
                <w:b/>
              </w:rPr>
              <w:t>Redeemable non-controlling interests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SEC guidance provides for mezzanine-equity (temporary equity) category in addition to the financial liability and permanent equity categories. The purpose of this “in-between” category is to indicate that a security may not be a permanent part of equity. The Group classifies the redeemable non-controlling interests as mezzanine equity in the consolidated balance sheets and are recorded initially at fair value, net of issuance costs. The Group recognizes accretion to the respective redemption value of the redeemable non-controlling interests over the period starting from issuance date to the earliest redemption date.</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 Group’s obligation to purchase its own equity instruments for cash is recognized as a financial liability initially at the present value of the redemption amount and reclassified from equity. Subsequently, the financial liability is measured at amortized cost using the effective interest rate method.</w:t>
      </w:r>
    </w:p>
    <w:p>
      <w:pPr>
        <w:pStyle w:val="TextBody"/>
        <w:bidi w:val="0"/>
        <w:spacing w:before="0" w:after="0"/>
        <w:ind w:left="1080" w:right="0" w:hanging="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9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w:t>
            </w:r>
          </w:p>
        </w:tc>
        <w:tc>
          <w:tcPr>
            <w:tcW w:w="3320" w:type="dxa"/>
            <w:tcBorders/>
            <w:vAlign w:val="center"/>
          </w:tcPr>
          <w:p>
            <w:pPr>
              <w:pStyle w:val="TableContents"/>
              <w:bidi w:val="0"/>
              <w:spacing w:before="0" w:after="283"/>
              <w:jc w:val="both"/>
              <w:rPr>
                <w:b/>
              </w:rPr>
            </w:pPr>
            <w:r>
              <w:rPr>
                <w:b/>
              </w:rPr>
              <w:t>Available-for-sale debt securities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Group reports available-for-sale debt securities measured at fair value at each balance sheet date with the aggregate unrealized gains and losses, net of tax, reflected in other comprehensive income.</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since those debt investments could not meet the definition of the equity instrument from the perspective of issuer, and the contractual cashflow of these financial assets does not represent solely payments of principal and interest, thus they should be reclassified from long-term investments to financial assets measured at fair value through profit or loss such that they are initially recognized at fair values and subsequent to initial recognition, the amounts of changes in fair value are recognized in the profit or loss.</w:t>
      </w:r>
    </w:p>
    <w:p>
      <w:pPr>
        <w:pStyle w:val="TextBody"/>
        <w:bidi w:val="0"/>
        <w:spacing w:before="0" w:after="0"/>
        <w:ind w:left="1080" w:right="0" w:hanging="0"/>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35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(vi)</w:t>
            </w:r>
          </w:p>
        </w:tc>
        <w:tc>
          <w:tcPr>
            <w:tcW w:w="5735" w:type="dxa"/>
            <w:tcBorders/>
            <w:vAlign w:val="center"/>
          </w:tcPr>
          <w:p>
            <w:pPr>
              <w:pStyle w:val="TableContents"/>
              <w:bidi w:val="0"/>
              <w:spacing w:before="0" w:after="283"/>
              <w:jc w:val="both"/>
              <w:rPr>
                <w:b/>
              </w:rPr>
            </w:pPr>
            <w:r>
              <w:rPr>
                <w:b/>
              </w:rPr>
              <w:t>Equity securities without readily determinable fair value</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Group elected to measure an equity security without a readily determinable fair value using a measurement alternative that measures the securities at cost minus impairment, if any, plus or minus changes resulting from qualifying observable price changes.</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 Group elected to measure the investments in equity instruments at fair value through other comprehensive income or loss (FVOCI). Fair value changes of these investments were recognized in the other comprehensive income or loss.</w:t>
      </w:r>
    </w:p>
    <w:p>
      <w:pPr>
        <w:pStyle w:val="TextBody"/>
        <w:bidi w:val="0"/>
        <w:spacing w:before="0" w:after="0"/>
        <w:ind w:left="1080" w:right="0" w:hanging="0"/>
        <w:jc w:val="both"/>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41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(vii)</w:t>
            </w:r>
          </w:p>
        </w:tc>
        <w:tc>
          <w:tcPr>
            <w:tcW w:w="710" w:type="dxa"/>
            <w:tcBorders/>
            <w:vAlign w:val="center"/>
          </w:tcPr>
          <w:p>
            <w:pPr>
              <w:pStyle w:val="TableContents"/>
              <w:bidi w:val="0"/>
              <w:spacing w:before="0" w:after="283"/>
              <w:jc w:val="both"/>
              <w:rPr>
                <w:b/>
              </w:rPr>
            </w:pPr>
            <w:r>
              <w:rPr>
                <w:b/>
              </w:rPr>
              <w:t>Leases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for operating leases, the amortization of right-of-use assets and the interest expense element of lease liabilities are recorded together as lease expenses, which results in a straight-line recognition effect in profit or loss.</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 right-of-use assets are generally depreciated on a straight-line basis while the interest expense related to the lease liabilities are measured under the effective interest method, which results in higher expenses in earlier periods and lower expenses in later periods. The amortization of the right-of-use assets is recorded as lease expense and the interest expense is required to be presented in separate line item.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4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(viii)</w:t>
            </w:r>
          </w:p>
        </w:tc>
        <w:tc>
          <w:tcPr>
            <w:tcW w:w="1865" w:type="dxa"/>
            <w:tcBorders/>
            <w:vAlign w:val="center"/>
          </w:tcPr>
          <w:p>
            <w:pPr>
              <w:pStyle w:val="TableContents"/>
              <w:bidi w:val="0"/>
              <w:spacing w:before="0" w:after="283"/>
              <w:jc w:val="both"/>
              <w:rPr>
                <w:b/>
              </w:rPr>
            </w:pPr>
            <w:r>
              <w:rPr>
                <w:b/>
              </w:rPr>
              <w:t>Warranty accrual</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warranty accrual is generally recorded at the amount that will be paid to settle the provisions and there is a policy choice to discount the warranty accrual. The Group elects to record the warranty accrual without considering the discount of the provisions.</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there is no accounting policy choice and the initial amount of the warranty accrual is the present value of the anticipated cash flows expected to be required to settle the obligation. The carrying amount of the warranty accrual increases in each period to reflect the passage of time with said increase recognized as an interest expense.</w:t>
      </w:r>
    </w:p>
    <w:p>
      <w:pPr>
        <w:pStyle w:val="TextBody"/>
        <w:bidi w:val="0"/>
        <w:spacing w:before="0" w:after="0"/>
        <w:ind w:left="1080"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35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(ix)</w:t>
            </w:r>
          </w:p>
        </w:tc>
        <w:tc>
          <w:tcPr>
            <w:tcW w:w="950" w:type="dxa"/>
            <w:tcBorders/>
            <w:vAlign w:val="center"/>
          </w:tcPr>
          <w:p>
            <w:pPr>
              <w:pStyle w:val="TableContents"/>
              <w:bidi w:val="0"/>
              <w:spacing w:before="0" w:after="283"/>
              <w:jc w:val="both"/>
              <w:rPr>
                <w:b/>
              </w:rPr>
            </w:pPr>
            <w:r>
              <w:rPr>
                <w:b/>
              </w:rPr>
              <w:t>Software</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7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software is not presented as intangible assets and so the Group records software in property, plant and equipment.</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software is reported under the intangible assets category. Accordingly, software is reclassified from property, plant and equipment to intangible assets.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3261</Words>
  <Characters>16958</Characters>
  <CharactersWithSpaces>21824</CharactersWithSpaces>
  <Paragraphs>3965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