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As filed with the Securities and Exchange Commission on August 31, 2018</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333-226822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45720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88265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1"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ind w:left="45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0" w:lineRule="exact"/>
        <w:rPr>
          <w:sz w:val="24"/>
          <w:szCs w:val="24"/>
          <w:color w:val="auto"/>
        </w:rPr>
      </w:pPr>
    </w:p>
    <w:p>
      <w:pPr>
        <w:ind w:left="4780"/>
        <w:spacing w:after="0"/>
        <w:rPr>
          <w:sz w:val="20"/>
          <w:szCs w:val="20"/>
          <w:color w:val="auto"/>
        </w:rPr>
      </w:pPr>
      <w:r>
        <w:rPr>
          <w:rFonts w:ascii="Arial" w:cs="Arial" w:eastAsia="Arial" w:hAnsi="Arial"/>
          <w:sz w:val="20"/>
          <w:szCs w:val="20"/>
          <w:b w:val="1"/>
          <w:bCs w:val="1"/>
          <w:color w:val="auto"/>
        </w:rPr>
        <w:t>AMENDMENT NO. 2</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TO</w:t>
      </w:r>
    </w:p>
    <w:p>
      <w:pPr>
        <w:jc w:val="center"/>
        <w:ind w:right="-199"/>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i w:val="1"/>
          <w:iCs w:val="1"/>
          <w:color w:val="auto"/>
        </w:rPr>
        <w:t>UNDER</w:t>
      </w:r>
    </w:p>
    <w:p>
      <w:pPr>
        <w:jc w:val="center"/>
        <w:ind w:right="-1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NIO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Not Applicable</w:t>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9"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994"/>
              <w:spacing w:after="0"/>
              <w:rPr>
                <w:sz w:val="20"/>
                <w:szCs w:val="20"/>
                <w:color w:val="auto"/>
              </w:rPr>
            </w:pPr>
            <w:r>
              <w:rPr>
                <w:rFonts w:ascii="Arial" w:cs="Arial" w:eastAsia="Arial" w:hAnsi="Arial"/>
                <w:sz w:val="14"/>
                <w:szCs w:val="14"/>
                <w:b w:val="1"/>
                <w:bCs w:val="1"/>
                <w:color w:val="auto"/>
                <w:w w:val="93"/>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3711</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Not Applicable</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Building 20, No. 56 AnTuo Road, Jiading District</w:t>
      </w:r>
    </w:p>
    <w:p>
      <w:pPr>
        <w:jc w:val="center"/>
        <w:ind w:right="-199"/>
        <w:spacing w:after="0" w:line="226" w:lineRule="auto"/>
        <w:rPr>
          <w:sz w:val="20"/>
          <w:szCs w:val="20"/>
          <w:color w:val="auto"/>
        </w:rPr>
      </w:pPr>
      <w:r>
        <w:rPr>
          <w:rFonts w:ascii="Arial" w:cs="Arial" w:eastAsia="Arial" w:hAnsi="Arial"/>
          <w:sz w:val="14"/>
          <w:szCs w:val="14"/>
          <w:b w:val="1"/>
          <w:bCs w:val="1"/>
          <w:color w:val="auto"/>
        </w:rPr>
        <w:t>Shanghai, 201804</w:t>
      </w:r>
    </w:p>
    <w:p>
      <w:pPr>
        <w:jc w:val="center"/>
        <w:ind w:right="-199"/>
        <w:spacing w:after="0" w:line="222" w:lineRule="auto"/>
        <w:rPr>
          <w:sz w:val="20"/>
          <w:szCs w:val="20"/>
          <w:color w:val="auto"/>
        </w:rPr>
      </w:pPr>
      <w:r>
        <w:rPr>
          <w:rFonts w:ascii="Arial" w:cs="Arial" w:eastAsia="Arial" w:hAnsi="Arial"/>
          <w:sz w:val="14"/>
          <w:szCs w:val="14"/>
          <w:b w:val="1"/>
          <w:bCs w:val="1"/>
          <w:color w:val="auto"/>
        </w:rPr>
        <w:t>People’s Republic of China</w:t>
      </w:r>
    </w:p>
    <w:p>
      <w:pPr>
        <w:jc w:val="center"/>
        <w:ind w:right="-199"/>
        <w:spacing w:after="0" w:line="233" w:lineRule="auto"/>
        <w:rPr>
          <w:sz w:val="20"/>
          <w:szCs w:val="20"/>
          <w:color w:val="auto"/>
        </w:rPr>
      </w:pPr>
      <w:r>
        <w:rPr>
          <w:rFonts w:ascii="Arial" w:cs="Arial" w:eastAsia="Arial" w:hAnsi="Arial"/>
          <w:sz w:val="14"/>
          <w:szCs w:val="14"/>
          <w:b w:val="1"/>
          <w:bCs w:val="1"/>
          <w:color w:val="auto"/>
        </w:rPr>
        <w:t>+86 21 6908 3306</w:t>
      </w: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Puglisi &amp; Associates</w:t>
      </w:r>
    </w:p>
    <w:p>
      <w:pPr>
        <w:jc w:val="center"/>
        <w:ind w:right="-199"/>
        <w:spacing w:after="0" w:line="223" w:lineRule="auto"/>
        <w:rPr>
          <w:sz w:val="20"/>
          <w:szCs w:val="20"/>
          <w:color w:val="auto"/>
        </w:rPr>
      </w:pPr>
      <w:r>
        <w:rPr>
          <w:rFonts w:ascii="Arial" w:cs="Arial" w:eastAsia="Arial" w:hAnsi="Arial"/>
          <w:sz w:val="14"/>
          <w:szCs w:val="14"/>
          <w:b w:val="1"/>
          <w:bCs w:val="1"/>
          <w:color w:val="auto"/>
        </w:rPr>
        <w:t>850 Library Avenue, Suite 204</w:t>
      </w:r>
    </w:p>
    <w:p>
      <w:pPr>
        <w:jc w:val="center"/>
        <w:ind w:right="-199"/>
        <w:spacing w:after="0" w:line="222" w:lineRule="auto"/>
        <w:rPr>
          <w:sz w:val="20"/>
          <w:szCs w:val="20"/>
          <w:color w:val="auto"/>
        </w:rPr>
      </w:pPr>
      <w:r>
        <w:rPr>
          <w:rFonts w:ascii="Arial" w:cs="Arial" w:eastAsia="Arial" w:hAnsi="Arial"/>
          <w:sz w:val="14"/>
          <w:szCs w:val="14"/>
          <w:b w:val="1"/>
          <w:bCs w:val="1"/>
          <w:color w:val="auto"/>
        </w:rPr>
        <w:t>Newark, Delaware 19711</w:t>
      </w:r>
    </w:p>
    <w:p>
      <w:pPr>
        <w:jc w:val="center"/>
        <w:ind w:right="-199"/>
        <w:spacing w:after="0" w:line="221" w:lineRule="auto"/>
        <w:rPr>
          <w:sz w:val="20"/>
          <w:szCs w:val="20"/>
          <w:color w:val="auto"/>
        </w:rPr>
      </w:pPr>
      <w:r>
        <w:rPr>
          <w:rFonts w:ascii="Arial" w:cs="Arial" w:eastAsia="Arial" w:hAnsi="Arial"/>
          <w:sz w:val="14"/>
          <w:szCs w:val="14"/>
          <w:b w:val="1"/>
          <w:bCs w:val="1"/>
          <w:color w:val="auto"/>
        </w:rPr>
        <w:t>+1 302-738-6680</w:t>
      </w: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1"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3260" w:type="dxa"/>
            <w:vAlign w:val="bottom"/>
          </w:tcPr>
          <w:p>
            <w:pPr>
              <w:jc w:val="center"/>
              <w:ind w:right="468"/>
              <w:spacing w:after="0"/>
              <w:rPr>
                <w:sz w:val="20"/>
                <w:szCs w:val="20"/>
                <w:color w:val="auto"/>
              </w:rPr>
            </w:pPr>
            <w:r>
              <w:rPr>
                <w:rFonts w:ascii="Arial" w:cs="Arial" w:eastAsia="Arial" w:hAnsi="Arial"/>
                <w:sz w:val="14"/>
                <w:szCs w:val="14"/>
                <w:b w:val="1"/>
                <w:bCs w:val="1"/>
                <w:color w:val="auto"/>
                <w:w w:val="92"/>
              </w:rPr>
              <w:t>Z. Julie Gao, Esq.</w:t>
            </w:r>
          </w:p>
        </w:tc>
        <w:tc>
          <w:tcPr>
            <w:tcW w:w="4760" w:type="dxa"/>
            <w:vAlign w:val="bottom"/>
          </w:tcPr>
          <w:p>
            <w:pPr>
              <w:jc w:val="center"/>
              <w:ind w:left="2588"/>
              <w:spacing w:after="0"/>
              <w:rPr>
                <w:sz w:val="20"/>
                <w:szCs w:val="20"/>
                <w:color w:val="auto"/>
              </w:rPr>
            </w:pPr>
            <w:r>
              <w:rPr>
                <w:rFonts w:ascii="Arial" w:cs="Arial" w:eastAsia="Arial" w:hAnsi="Arial"/>
                <w:sz w:val="14"/>
                <w:szCs w:val="14"/>
                <w:b w:val="1"/>
                <w:bCs w:val="1"/>
                <w:color w:val="auto"/>
                <w:w w:val="93"/>
              </w:rPr>
              <w:t>Allen Wang, Esq.</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8"/>
              </w:rPr>
              <w:t>Will H. Cai, Esq.</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8"/>
              </w:rPr>
              <w:t>Latham &amp; Watkins</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Skadden, Arps, Slate, Meagher &amp; Flom LLP</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2"/>
              </w:rPr>
              <w:t>18th Floor, One Exchange Square</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c/o 42/F, Edinburgh Tower, The Landmark</w:t>
            </w:r>
          </w:p>
        </w:tc>
        <w:tc>
          <w:tcPr>
            <w:tcW w:w="4760" w:type="dxa"/>
            <w:vAlign w:val="bottom"/>
          </w:tcPr>
          <w:p>
            <w:pPr>
              <w:jc w:val="center"/>
              <w:ind w:left="2588"/>
              <w:spacing w:after="0" w:line="149" w:lineRule="exact"/>
              <w:rPr>
                <w:sz w:val="20"/>
                <w:szCs w:val="20"/>
                <w:color w:val="auto"/>
              </w:rPr>
            </w:pPr>
            <w:r>
              <w:rPr>
                <w:rFonts w:ascii="Arial" w:cs="Arial" w:eastAsia="Arial" w:hAnsi="Arial"/>
                <w:sz w:val="14"/>
                <w:szCs w:val="14"/>
                <w:b w:val="1"/>
                <w:bCs w:val="1"/>
                <w:color w:val="auto"/>
                <w:w w:val="93"/>
              </w:rPr>
              <w:t>8 Connaught Place, Central</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15 Queen’s Road Central</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5"/>
              </w:rPr>
              <w:t>Hong Kong</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5"/>
              </w:rPr>
              <w:t>Hong Kong</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3"/>
              </w:rPr>
              <w:t>+852-2912-2500</w:t>
            </w:r>
          </w:p>
        </w:tc>
      </w:tr>
      <w:tr>
        <w:trPr>
          <w:trHeight w:val="186"/>
        </w:trPr>
        <w:tc>
          <w:tcPr>
            <w:tcW w:w="3260" w:type="dxa"/>
            <w:vAlign w:val="bottom"/>
          </w:tcPr>
          <w:p>
            <w:pPr>
              <w:jc w:val="center"/>
              <w:ind w:right="468"/>
              <w:spacing w:after="0"/>
              <w:rPr>
                <w:sz w:val="20"/>
                <w:szCs w:val="20"/>
                <w:color w:val="auto"/>
              </w:rPr>
            </w:pPr>
            <w:r>
              <w:rPr>
                <w:rFonts w:ascii="Arial" w:cs="Arial" w:eastAsia="Arial" w:hAnsi="Arial"/>
                <w:sz w:val="14"/>
                <w:szCs w:val="14"/>
                <w:b w:val="1"/>
                <w:bCs w:val="1"/>
                <w:color w:val="auto"/>
                <w:w w:val="93"/>
              </w:rPr>
              <w:t>+852 3740-4700</w:t>
            </w:r>
          </w:p>
        </w:tc>
        <w:tc>
          <w:tcPr>
            <w:tcW w:w="4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93345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ind w:left="54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46"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60" w:firstLine="33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2" w:lineRule="exact"/>
        <w:rPr>
          <w:sz w:val="24"/>
          <w:szCs w:val="24"/>
          <w:color w:val="auto"/>
        </w:rPr>
      </w:pPr>
    </w:p>
    <w:p>
      <w:pPr>
        <w:ind w:left="200" w:right="520" w:firstLine="33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200" w:right="500" w:firstLine="33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55"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180" w:firstLine="331"/>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8" w:lineRule="exact"/>
        <w:rPr>
          <w:sz w:val="24"/>
          <w:szCs w:val="24"/>
          <w:color w:val="auto"/>
        </w:rPr>
      </w:pPr>
    </w:p>
    <w:p>
      <w:pPr>
        <w:ind w:left="540"/>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8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2"/>
        </w:trPr>
        <w:tc>
          <w:tcPr>
            <w:tcW w:w="20" w:type="dxa"/>
            <w:vAlign w:val="bottom"/>
          </w:tcPr>
          <w:p>
            <w:pPr>
              <w:spacing w:after="0"/>
              <w:rPr>
                <w:sz w:val="8"/>
                <w:szCs w:val="8"/>
                <w:color w:val="auto"/>
              </w:rPr>
            </w:pPr>
          </w:p>
        </w:tc>
        <w:tc>
          <w:tcPr>
            <w:tcW w:w="38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Title of each class of</w:t>
            </w:r>
          </w:p>
        </w:tc>
        <w:tc>
          <w:tcPr>
            <w:tcW w:w="1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Amount to be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aggregate offering price</w:t>
            </w: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aggregate offering</w:t>
            </w: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62"/>
        </w:trPr>
        <w:tc>
          <w:tcPr>
            <w:tcW w:w="20" w:type="dxa"/>
            <w:vAlign w:val="bottom"/>
          </w:tcPr>
          <w:p>
            <w:pPr>
              <w:spacing w:after="0"/>
              <w:rPr>
                <w:sz w:val="14"/>
                <w:szCs w:val="14"/>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10"/>
                <w:szCs w:val="10"/>
                <w:b w:val="1"/>
                <w:bCs w:val="1"/>
                <w:color w:val="auto"/>
                <w:w w:val="91"/>
              </w:rPr>
              <w:t>(2)(3)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per share</w:t>
            </w:r>
            <w:r>
              <w:rPr>
                <w:rFonts w:ascii="Arial" w:cs="Arial" w:eastAsia="Arial" w:hAnsi="Arial"/>
                <w:sz w:val="10"/>
                <w:szCs w:val="10"/>
                <w:b w:val="1"/>
                <w:bCs w:val="1"/>
                <w:color w:val="auto"/>
                <w:w w:val="87"/>
              </w:rPr>
              <w:t>(3)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w:t>
            </w:r>
            <w:r>
              <w:rPr>
                <w:rFonts w:ascii="Arial" w:cs="Arial" w:eastAsia="Arial" w:hAnsi="Arial"/>
                <w:sz w:val="10"/>
                <w:szCs w:val="10"/>
                <w:b w:val="1"/>
                <w:bCs w:val="1"/>
                <w:color w:val="auto"/>
                <w:w w:val="93"/>
              </w:rPr>
              <w:t>(2)(3)</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w:t>
            </w:r>
            <w:r>
              <w:rPr>
                <w:rFonts w:ascii="Arial" w:cs="Arial" w:eastAsia="Arial" w:hAnsi="Arial"/>
                <w:sz w:val="10"/>
                <w:szCs w:val="10"/>
                <w:b w:val="1"/>
                <w:bCs w:val="1"/>
                <w:color w:val="auto"/>
                <w:w w:val="86"/>
              </w:rPr>
              <w:t>(4)</w:t>
            </w:r>
          </w:p>
        </w:tc>
      </w:tr>
      <w:tr>
        <w:trPr>
          <w:trHeight w:val="142"/>
        </w:trPr>
        <w:tc>
          <w:tcPr>
            <w:tcW w:w="20" w:type="dxa"/>
            <w:vAlign w:val="bottom"/>
            <w:tcBorders>
              <w:bottom w:val="single" w:sz="8" w:color="auto"/>
            </w:tcBorders>
          </w:tcPr>
          <w:p>
            <w:pPr>
              <w:spacing w:after="0"/>
              <w:rPr>
                <w:sz w:val="12"/>
                <w:szCs w:val="12"/>
                <w:color w:val="auto"/>
              </w:rPr>
            </w:pPr>
          </w:p>
        </w:tc>
        <w:tc>
          <w:tcPr>
            <w:tcW w:w="3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par value US$0.00025 per share</w:t>
            </w:r>
            <w:r>
              <w:rPr>
                <w:rFonts w:ascii="Arial" w:cs="Arial" w:eastAsia="Arial" w:hAnsi="Arial"/>
                <w:sz w:val="11"/>
                <w:szCs w:val="11"/>
                <w:color w:val="auto"/>
              </w:rPr>
              <w:t>(1)</w:t>
            </w: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184,000,000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US$8.25</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US$1,518,000,000</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US$188,991</w:t>
            </w: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320" w:right="480" w:hanging="316"/>
        <w:spacing w:after="0" w:line="224"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333-226822). Each American depositary share represents one Class A ordinary share.</w:t>
      </w:r>
    </w:p>
    <w:p>
      <w:pPr>
        <w:ind w:left="320" w:right="20" w:hanging="316"/>
        <w:spacing w:after="0" w:line="216"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20" w:hanging="316"/>
        <w:spacing w:after="0" w:line="216"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ind w:left="320" w:hanging="316"/>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39" w:lineRule="exact"/>
        <w:rPr>
          <w:sz w:val="20"/>
          <w:szCs w:val="20"/>
          <w:color w:val="auto"/>
        </w:rPr>
      </w:pPr>
    </w:p>
    <w:p>
      <w:pPr>
        <w:ind w:right="20" w:firstLine="331"/>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7"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3" w:lineRule="auto"/>
        <w:rPr>
          <w:sz w:val="20"/>
          <w:szCs w:val="20"/>
          <w:color w:val="auto"/>
        </w:rPr>
      </w:pPr>
      <w:r>
        <w:rPr>
          <w:rFonts w:ascii="Arial" w:cs="Arial" w:eastAsia="Arial" w:hAnsi="Arial"/>
          <w:sz w:val="15"/>
          <w:szCs w:val="15"/>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FF0000"/>
        </w:rPr>
        <w:t>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FF0000"/>
        </w:rPr>
        <w:t>Issued August 31, 2018.</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160,000,000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233045</wp:posOffset>
            </wp:positionV>
            <wp:extent cx="94361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43"/>
          <w:szCs w:val="43"/>
          <w:i w:val="1"/>
          <w:iCs w:val="1"/>
          <w:color w:val="auto"/>
        </w:rPr>
        <w:t>NIO Inc.</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Representing 160,000,000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179070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0"/>
          <w:szCs w:val="20"/>
          <w:color w:val="auto"/>
        </w:rPr>
      </w:pPr>
    </w:p>
    <w:p>
      <w:pPr>
        <w:ind w:left="200" w:right="380"/>
        <w:spacing w:after="0" w:line="278" w:lineRule="auto"/>
        <w:rPr>
          <w:sz w:val="20"/>
          <w:szCs w:val="20"/>
          <w:color w:val="auto"/>
        </w:rPr>
      </w:pPr>
      <w:r>
        <w:rPr>
          <w:rFonts w:ascii="Arial" w:cs="Arial" w:eastAsia="Arial" w:hAnsi="Arial"/>
          <w:sz w:val="16"/>
          <w:szCs w:val="16"/>
          <w:b w:val="1"/>
          <w:bCs w:val="1"/>
          <w:i w:val="1"/>
          <w:iCs w:val="1"/>
          <w:color w:val="auto"/>
        </w:rPr>
        <w:t>NIO Inc. is offering 160,000,000 American depositary shares, or ADSs. This is our initial public offering and no public market exists for our ADSs or ordinary shares. Each ADS represents one Class A ordinary share, par value US$0.00025 per share. We anticipate that the initial public offering price per ADS will be between US$6.25 and US$8.25.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applied for the listing of our ADSs on the New York Stock Exchange under the symbol “NIO.”</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are an “emerging growth company” under applicable U.S. federal securities laws and are eligible for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188595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660" w:type="dxa"/>
            <w:vAlign w:val="bottom"/>
            <w:gridSpan w:val="5"/>
          </w:tcPr>
          <w:p>
            <w:pPr>
              <w:spacing w:after="0"/>
              <w:rPr>
                <w:rFonts w:ascii="Arial" w:cs="Arial" w:eastAsia="Arial" w:hAnsi="Arial"/>
                <w:sz w:val="16"/>
                <w:szCs w:val="16"/>
                <w:b w:val="1"/>
                <w:bCs w:val="1"/>
                <w:i w:val="1"/>
                <w:iCs w:val="1"/>
                <w:color w:val="auto"/>
                <w:w w:val="93"/>
              </w:rPr>
            </w:pPr>
            <w:r>
              <w:rPr>
                <w:rFonts w:ascii="Arial" w:cs="Arial" w:eastAsia="Arial" w:hAnsi="Arial"/>
                <w:sz w:val="16"/>
                <w:szCs w:val="16"/>
                <w:b w:val="1"/>
                <w:bCs w:val="1"/>
                <w:i w:val="1"/>
                <w:iCs w:val="1"/>
                <w:color w:val="auto"/>
                <w:w w:val="93"/>
              </w:rPr>
              <w:t>Investing in our ADSs involves risks. See “</w:t>
            </w:r>
            <w:hyperlink w:anchor="page23">
              <w:r>
                <w:rPr>
                  <w:rFonts w:ascii="Arial" w:cs="Arial" w:eastAsia="Arial" w:hAnsi="Arial"/>
                  <w:sz w:val="16"/>
                  <w:szCs w:val="16"/>
                  <w:b w:val="1"/>
                  <w:bCs w:val="1"/>
                  <w:i w:val="1"/>
                  <w:iCs w:val="1"/>
                  <w:color w:val="0000EE"/>
                  <w:w w:val="93"/>
                </w:rPr>
                <w:t>Risk Factors</w:t>
              </w:r>
            </w:hyperlink>
            <w:r>
              <w:rPr>
                <w:rFonts w:ascii="Arial" w:cs="Arial" w:eastAsia="Arial" w:hAnsi="Arial"/>
                <w:sz w:val="16"/>
                <w:szCs w:val="16"/>
                <w:b w:val="1"/>
                <w:bCs w:val="1"/>
                <w:i w:val="1"/>
                <w:iCs w:val="1"/>
                <w:color w:val="auto"/>
                <w:w w:val="93"/>
              </w:rPr>
              <w:t>” beginning on page 14.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8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i w:val="1"/>
                <w:iCs w:val="1"/>
                <w:color w:val="auto"/>
              </w:rPr>
              <w:t>PRICE US$</w:t>
            </w:r>
          </w:p>
        </w:tc>
        <w:tc>
          <w:tcPr>
            <w:tcW w:w="1860" w:type="dxa"/>
            <w:vAlign w:val="bottom"/>
            <w:gridSpan w:val="4"/>
          </w:tcPr>
          <w:p>
            <w:pPr>
              <w:ind w:left="320"/>
              <w:spacing w:after="0"/>
              <w:rPr>
                <w:sz w:val="20"/>
                <w:szCs w:val="20"/>
                <w:color w:val="auto"/>
              </w:rPr>
            </w:pPr>
            <w:r>
              <w:rPr>
                <w:rFonts w:ascii="Arial" w:cs="Arial" w:eastAsia="Arial" w:hAnsi="Arial"/>
                <w:sz w:val="18"/>
                <w:szCs w:val="18"/>
                <w:i w:val="1"/>
                <w:iCs w:val="1"/>
                <w:color w:val="auto"/>
              </w:rPr>
              <w:t>PER ADS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gridSpan w:val="4"/>
          </w:tcPr>
          <w:p>
            <w:pPr>
              <w:jc w:val="center"/>
              <w:ind w:left="159"/>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6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6"/>
              </w:rPr>
              <w:t>and</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6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Per ADS</w:t>
            </w:r>
          </w:p>
        </w:tc>
        <w:tc>
          <w:tcPr>
            <w:tcW w:w="860" w:type="dxa"/>
            <w:vAlign w:val="bottom"/>
          </w:tcPr>
          <w:p>
            <w:pPr>
              <w:spacing w:after="0"/>
              <w:rPr>
                <w:sz w:val="14"/>
                <w:szCs w:val="14"/>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0"/>
              </w:rPr>
              <w:t>Public</w:t>
            </w:r>
          </w:p>
        </w:tc>
        <w:tc>
          <w:tcPr>
            <w:tcW w:w="600" w:type="dxa"/>
            <w:vAlign w:val="bottom"/>
          </w:tcPr>
          <w:p>
            <w:pPr>
              <w:spacing w:after="0"/>
              <w:rPr>
                <w:sz w:val="14"/>
                <w:szCs w:val="14"/>
                <w:color w:val="auto"/>
              </w:rPr>
            </w:pPr>
          </w:p>
        </w:tc>
        <w:tc>
          <w:tcPr>
            <w:tcW w:w="1540" w:type="dxa"/>
            <w:vAlign w:val="bottom"/>
            <w:gridSpan w:val="2"/>
          </w:tcPr>
          <w:p>
            <w:pPr>
              <w:jc w:val="center"/>
              <w:ind w:left="508"/>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10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i w:val="1"/>
                <w:iCs w:val="1"/>
                <w:color w:val="auto"/>
                <w:w w:val="83"/>
              </w:rPr>
              <w:t>Proceeds to us</w:t>
            </w:r>
          </w:p>
        </w:tc>
        <w:tc>
          <w:tcPr>
            <w:tcW w:w="0" w:type="dxa"/>
            <w:vAlign w:val="bottom"/>
          </w:tcPr>
          <w:p>
            <w:pPr>
              <w:spacing w:after="0"/>
              <w:rPr>
                <w:sz w:val="1"/>
                <w:szCs w:val="1"/>
                <w:color w:val="auto"/>
              </w:rPr>
            </w:pPr>
          </w:p>
        </w:tc>
      </w:tr>
      <w:tr>
        <w:trPr>
          <w:trHeight w:val="20"/>
        </w:trPr>
        <w:tc>
          <w:tcPr>
            <w:tcW w:w="5660" w:type="dxa"/>
            <w:vAlign w:val="bottom"/>
            <w:gridSpan w:val="5"/>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gridSpan w:val="5"/>
            <w:vMerge w:val="continue"/>
          </w:tcPr>
          <w:p>
            <w:pPr>
              <w:spacing w:after="0"/>
              <w:rPr>
                <w:sz w:val="16"/>
                <w:szCs w:val="16"/>
                <w:color w:val="auto"/>
              </w:rPr>
            </w:pPr>
          </w:p>
        </w:tc>
        <w:tc>
          <w:tcPr>
            <w:tcW w:w="1260" w:type="dxa"/>
            <w:vAlign w:val="bottom"/>
            <w:gridSpan w:val="3"/>
          </w:tcPr>
          <w:p>
            <w:pPr>
              <w:ind w:left="720"/>
              <w:spacing w:after="0"/>
              <w:rPr>
                <w:sz w:val="20"/>
                <w:szCs w:val="20"/>
                <w:color w:val="auto"/>
              </w:rPr>
            </w:pPr>
            <w:r>
              <w:rPr>
                <w:rFonts w:ascii="Arial" w:cs="Arial" w:eastAsia="Arial" w:hAnsi="Arial"/>
                <w:sz w:val="16"/>
                <w:szCs w:val="16"/>
                <w:i w:val="1"/>
                <w:iCs w:val="1"/>
                <w:color w:val="auto"/>
              </w:rPr>
              <w:t>US$</w:t>
            </w:r>
          </w:p>
        </w:tc>
        <w:tc>
          <w:tcPr>
            <w:tcW w:w="6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6"/>
                <w:szCs w:val="16"/>
                <w:i w:val="1"/>
                <w:iCs w:val="1"/>
                <w:color w:val="auto"/>
              </w:rPr>
              <w:t>US$</w:t>
            </w:r>
          </w:p>
        </w:tc>
        <w:tc>
          <w:tcPr>
            <w:tcW w:w="1000" w:type="dxa"/>
            <w:vAlign w:val="bottom"/>
            <w:vMerge w:val="continue"/>
          </w:tcPr>
          <w:p>
            <w:pPr>
              <w:spacing w:after="0"/>
              <w:rPr>
                <w:sz w:val="16"/>
                <w:szCs w:val="16"/>
                <w:color w:val="auto"/>
              </w:rPr>
            </w:pPr>
          </w:p>
        </w:tc>
        <w:tc>
          <w:tcPr>
            <w:tcW w:w="860" w:type="dxa"/>
            <w:vAlign w:val="bottom"/>
          </w:tcPr>
          <w:p>
            <w:pPr>
              <w:ind w:left="1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r>
        <w:trPr>
          <w:trHeight w:val="206"/>
        </w:trPr>
        <w:tc>
          <w:tcPr>
            <w:tcW w:w="5660" w:type="dxa"/>
            <w:vAlign w:val="bottom"/>
            <w:gridSpan w:val="5"/>
          </w:tcPr>
          <w:p>
            <w:pPr>
              <w:spacing w:after="0"/>
              <w:rPr>
                <w:sz w:val="20"/>
                <w:szCs w:val="20"/>
                <w:color w:val="auto"/>
              </w:rPr>
            </w:pPr>
            <w:r>
              <w:rPr>
                <w:rFonts w:ascii="Arial" w:cs="Arial" w:eastAsia="Arial" w:hAnsi="Arial"/>
                <w:sz w:val="16"/>
                <w:szCs w:val="16"/>
                <w:i w:val="1"/>
                <w:iCs w:val="1"/>
                <w:color w:val="auto"/>
              </w:rPr>
              <w:t>Total</w:t>
            </w:r>
          </w:p>
        </w:tc>
        <w:tc>
          <w:tcPr>
            <w:tcW w:w="1860" w:type="dxa"/>
            <w:vAlign w:val="bottom"/>
            <w:gridSpan w:val="4"/>
          </w:tcPr>
          <w:p>
            <w:pPr>
              <w:ind w:left="720"/>
              <w:spacing w:after="0"/>
              <w:rPr>
                <w:sz w:val="20"/>
                <w:szCs w:val="20"/>
                <w:color w:val="auto"/>
              </w:rPr>
            </w:pPr>
            <w:r>
              <w:rPr>
                <w:rFonts w:ascii="Arial" w:cs="Arial" w:eastAsia="Arial" w:hAnsi="Arial"/>
                <w:sz w:val="16"/>
                <w:szCs w:val="16"/>
                <w:i w:val="1"/>
                <w:iCs w:val="1"/>
                <w:color w:val="auto"/>
              </w:rPr>
              <w:t>US$</w:t>
            </w:r>
          </w:p>
        </w:tc>
        <w:tc>
          <w:tcPr>
            <w:tcW w:w="600" w:type="dxa"/>
            <w:vAlign w:val="bottom"/>
          </w:tcPr>
          <w:p>
            <w:pPr>
              <w:spacing w:after="0"/>
              <w:rPr>
                <w:sz w:val="17"/>
                <w:szCs w:val="17"/>
                <w:color w:val="auto"/>
              </w:rPr>
            </w:pPr>
          </w:p>
        </w:tc>
        <w:tc>
          <w:tcPr>
            <w:tcW w:w="940" w:type="dxa"/>
            <w:vAlign w:val="bottom"/>
          </w:tcPr>
          <w:p>
            <w:pPr>
              <w:ind w:left="200"/>
              <w:spacing w:after="0"/>
              <w:rPr>
                <w:sz w:val="20"/>
                <w:szCs w:val="20"/>
                <w:color w:val="auto"/>
              </w:rPr>
            </w:pPr>
            <w:r>
              <w:rPr>
                <w:rFonts w:ascii="Arial" w:cs="Arial" w:eastAsia="Arial" w:hAnsi="Arial"/>
                <w:sz w:val="16"/>
                <w:szCs w:val="16"/>
                <w:i w:val="1"/>
                <w:iCs w:val="1"/>
                <w:color w:val="auto"/>
              </w:rPr>
              <w:t>US$</w:t>
            </w:r>
          </w:p>
        </w:tc>
        <w:tc>
          <w:tcPr>
            <w:tcW w:w="100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4"/>
          <w:szCs w:val="14"/>
          <w:i w:val="1"/>
          <w:iCs w:val="1"/>
          <w:color w:val="auto"/>
        </w:rPr>
        <w:t>See “Underwriting” beginning on page 207 of this prospectus for a description of the compensation payable to the underwriters.</w:t>
      </w:r>
    </w:p>
    <w:p>
      <w:pPr>
        <w:spacing w:after="0" w:line="235" w:lineRule="exact"/>
        <w:rPr>
          <w:sz w:val="20"/>
          <w:szCs w:val="20"/>
          <w:color w:val="auto"/>
        </w:rPr>
      </w:pPr>
    </w:p>
    <w:p>
      <w:pPr>
        <w:ind w:left="200" w:right="580"/>
        <w:spacing w:after="0" w:line="293" w:lineRule="auto"/>
        <w:rPr>
          <w:sz w:val="20"/>
          <w:szCs w:val="20"/>
          <w:color w:val="auto"/>
        </w:rPr>
      </w:pPr>
      <w:r>
        <w:rPr>
          <w:rFonts w:ascii="Arial" w:cs="Arial" w:eastAsia="Arial" w:hAnsi="Arial"/>
          <w:sz w:val="16"/>
          <w:szCs w:val="16"/>
          <w:i w:val="1"/>
          <w:iCs w:val="1"/>
          <w:color w:val="auto"/>
        </w:rPr>
        <w:t>We have granted the underwriters the right to purchase up to an additional 24,000,000 ADSs to cover over-allotments at the initial public offering price less the underwriting discounts and commissions.</w:t>
      </w:r>
    </w:p>
    <w:p>
      <w:pPr>
        <w:spacing w:after="0" w:line="104"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b w:val="1"/>
          <w:bCs w:val="1"/>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91" w:lineRule="exact"/>
        <w:rPr>
          <w:sz w:val="20"/>
          <w:szCs w:val="20"/>
          <w:color w:val="auto"/>
        </w:rPr>
      </w:pPr>
    </w:p>
    <w:p>
      <w:pPr>
        <w:ind w:left="200" w:right="60"/>
        <w:spacing w:after="0" w:line="286" w:lineRule="auto"/>
        <w:rPr>
          <w:sz w:val="20"/>
          <w:szCs w:val="20"/>
          <w:color w:val="auto"/>
        </w:rPr>
      </w:pPr>
      <w:r>
        <w:rPr>
          <w:rFonts w:ascii="Arial" w:cs="Arial" w:eastAsia="Arial" w:hAnsi="Arial"/>
          <w:sz w:val="15"/>
          <w:szCs w:val="15"/>
          <w:i w:val="1"/>
          <w:iCs w:val="1"/>
          <w:color w:val="auto"/>
        </w:rPr>
        <w:t>Following the completion of this offering, our outstanding share capital will consist of Class A ordinary shares, Class B ordinary shares and Class C ordinary shares. Mr. Bin Li, our chairman and chief executive officer, together with his affiliates, will beneficially own all of our issued Class C ordinary shares and will be able to exercise approximately 48.3% of the total voting power of our issued and outstanding share capital immediately following the completion of this offering, assuming that the underwriters do not exercise their over-allotment option. The Tencent entities (as defined herein) will beneficially own all of our issued Class B ordinary shares and will be able to exercise approximately 21.5% of the total voting power of our issued and outstanding share capital immediately following the completion of this offering, assuming that the underwriters do not exercise their over-allotment option. Holders of Class A ordinary shares, Class B ordinary shares and Class C ordinary shares have the same rights other than voting and conversion rights. Each holder of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and Class C ordinary share is convertible into one Class A ordinary share, whereas Class A ordinary shares are not convertible into Class B ordinary shares or Class C ordinary shares under any circumstances.</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360" w:type="dxa"/>
            <w:vAlign w:val="bottom"/>
            <w:gridSpan w:val="2"/>
          </w:tcPr>
          <w:p>
            <w:pPr>
              <w:spacing w:after="0"/>
              <w:rPr>
                <w:sz w:val="20"/>
                <w:szCs w:val="20"/>
                <w:color w:val="auto"/>
              </w:rPr>
            </w:pPr>
            <w:r>
              <w:rPr>
                <w:rFonts w:ascii="Arial" w:cs="Arial" w:eastAsia="Arial" w:hAnsi="Arial"/>
                <w:sz w:val="16"/>
                <w:szCs w:val="16"/>
                <w:i w:val="1"/>
                <w:iCs w:val="1"/>
                <w:color w:val="auto"/>
                <w:w w:val="99"/>
              </w:rPr>
              <w:t>The underwriters expect to deliver the ADSs to purchasers on</w:t>
            </w:r>
          </w:p>
        </w:tc>
        <w:tc>
          <w:tcPr>
            <w:tcW w:w="2300" w:type="dxa"/>
            <w:vAlign w:val="bottom"/>
          </w:tcPr>
          <w:p>
            <w:pPr>
              <w:jc w:val="right"/>
              <w:ind w:right="1593"/>
              <w:spacing w:after="0"/>
              <w:rPr>
                <w:sz w:val="20"/>
                <w:szCs w:val="20"/>
                <w:color w:val="auto"/>
              </w:rPr>
            </w:pPr>
            <w:r>
              <w:rPr>
                <w:rFonts w:ascii="Arial" w:cs="Arial" w:eastAsia="Arial" w:hAnsi="Arial"/>
                <w:sz w:val="16"/>
                <w:szCs w:val="16"/>
                <w:i w:val="1"/>
                <w:iCs w:val="1"/>
                <w:color w:val="auto"/>
              </w:rPr>
              <w:t>, 2018.</w:t>
            </w: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71"/>
        </w:trPr>
        <w:tc>
          <w:tcPr>
            <w:tcW w:w="2740" w:type="dxa"/>
            <w:vAlign w:val="bottom"/>
          </w:tcPr>
          <w:p>
            <w:pPr>
              <w:ind w:left="1300"/>
              <w:spacing w:after="0"/>
              <w:rPr>
                <w:sz w:val="20"/>
                <w:szCs w:val="20"/>
                <w:color w:val="auto"/>
              </w:rPr>
            </w:pPr>
            <w:r>
              <w:rPr>
                <w:rFonts w:ascii="Arial" w:cs="Arial" w:eastAsia="Arial" w:hAnsi="Arial"/>
                <w:sz w:val="18"/>
                <w:szCs w:val="18"/>
                <w:i w:val="1"/>
                <w:iCs w:val="1"/>
                <w:color w:val="auto"/>
              </w:rPr>
              <w:t>Morgan Stanley</w:t>
            </w:r>
          </w:p>
        </w:tc>
        <w:tc>
          <w:tcPr>
            <w:tcW w:w="1620" w:type="dxa"/>
            <w:vAlign w:val="bottom"/>
          </w:tcPr>
          <w:p>
            <w:pPr>
              <w:spacing w:after="0"/>
              <w:rPr>
                <w:sz w:val="24"/>
                <w:szCs w:val="24"/>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i w:val="1"/>
                <w:iCs w:val="1"/>
                <w:color w:val="auto"/>
              </w:rPr>
              <w:t>Goldman Sachs (Asia) L.L.C.</w:t>
            </w:r>
          </w:p>
        </w:tc>
        <w:tc>
          <w:tcPr>
            <w:tcW w:w="1540" w:type="dxa"/>
            <w:vAlign w:val="bottom"/>
          </w:tcPr>
          <w:p>
            <w:pPr>
              <w:spacing w:after="0"/>
              <w:rPr>
                <w:sz w:val="24"/>
                <w:szCs w:val="24"/>
                <w:color w:val="auto"/>
              </w:rPr>
            </w:pPr>
          </w:p>
        </w:tc>
        <w:tc>
          <w:tcPr>
            <w:tcW w:w="2020" w:type="dxa"/>
            <w:vAlign w:val="bottom"/>
          </w:tcPr>
          <w:p>
            <w:pPr>
              <w:ind w:left="220"/>
              <w:spacing w:after="0"/>
              <w:rPr>
                <w:sz w:val="20"/>
                <w:szCs w:val="20"/>
                <w:color w:val="auto"/>
              </w:rPr>
            </w:pPr>
            <w:r>
              <w:rPr>
                <w:rFonts w:ascii="Arial" w:cs="Arial" w:eastAsia="Arial" w:hAnsi="Arial"/>
                <w:sz w:val="18"/>
                <w:szCs w:val="18"/>
                <w:i w:val="1"/>
                <w:iCs w:val="1"/>
                <w:color w:val="auto"/>
              </w:rPr>
              <w:t>J.P. Morgan</w:t>
            </w:r>
          </w:p>
        </w:tc>
      </w:tr>
      <w:tr>
        <w:trPr>
          <w:trHeight w:val="351"/>
        </w:trPr>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84"/>
        </w:trPr>
        <w:tc>
          <w:tcPr>
            <w:tcW w:w="2740" w:type="dxa"/>
            <w:vAlign w:val="bottom"/>
          </w:tcPr>
          <w:p>
            <w:pPr>
              <w:jc w:val="center"/>
              <w:ind w:right="212"/>
              <w:spacing w:after="0"/>
              <w:rPr>
                <w:sz w:val="20"/>
                <w:szCs w:val="20"/>
                <w:color w:val="auto"/>
              </w:rPr>
            </w:pPr>
            <w:r>
              <w:rPr>
                <w:rFonts w:ascii="Arial" w:cs="Arial" w:eastAsia="Arial" w:hAnsi="Arial"/>
                <w:sz w:val="18"/>
                <w:szCs w:val="18"/>
                <w:i w:val="1"/>
                <w:iCs w:val="1"/>
                <w:color w:val="auto"/>
                <w:w w:val="98"/>
              </w:rPr>
              <w:t>BofA Merrill</w:t>
            </w:r>
          </w:p>
        </w:tc>
        <w:tc>
          <w:tcPr>
            <w:tcW w:w="1620" w:type="dxa"/>
            <w:vAlign w:val="bottom"/>
          </w:tcPr>
          <w:p>
            <w:pPr>
              <w:jc w:val="center"/>
              <w:spacing w:after="0"/>
              <w:rPr>
                <w:sz w:val="20"/>
                <w:szCs w:val="20"/>
                <w:color w:val="auto"/>
              </w:rPr>
            </w:pPr>
            <w:r>
              <w:rPr>
                <w:rFonts w:ascii="Arial" w:cs="Arial" w:eastAsia="Arial" w:hAnsi="Arial"/>
                <w:sz w:val="18"/>
                <w:szCs w:val="18"/>
                <w:i w:val="1"/>
                <w:iCs w:val="1"/>
                <w:color w:val="auto"/>
                <w:w w:val="88"/>
              </w:rPr>
              <w:t>Deutsche Bank</w:t>
            </w:r>
          </w:p>
        </w:tc>
        <w:tc>
          <w:tcPr>
            <w:tcW w:w="2700" w:type="dxa"/>
            <w:vAlign w:val="bottom"/>
            <w:gridSpan w:val="2"/>
          </w:tcPr>
          <w:p>
            <w:pPr>
              <w:ind w:left="980"/>
              <w:spacing w:after="0"/>
              <w:rPr>
                <w:sz w:val="20"/>
                <w:szCs w:val="20"/>
                <w:color w:val="auto"/>
              </w:rPr>
            </w:pPr>
            <w:r>
              <w:rPr>
                <w:rFonts w:ascii="Arial" w:cs="Arial" w:eastAsia="Arial" w:hAnsi="Arial"/>
                <w:sz w:val="18"/>
                <w:szCs w:val="18"/>
                <w:i w:val="1"/>
                <w:iCs w:val="1"/>
                <w:color w:val="auto"/>
              </w:rPr>
              <w:t>Citigroup</w:t>
            </w:r>
          </w:p>
        </w:tc>
        <w:tc>
          <w:tcPr>
            <w:tcW w:w="1540" w:type="dxa"/>
            <w:vAlign w:val="bottom"/>
          </w:tcPr>
          <w:p>
            <w:pPr>
              <w:ind w:left="360"/>
              <w:spacing w:after="0"/>
              <w:rPr>
                <w:sz w:val="20"/>
                <w:szCs w:val="20"/>
                <w:color w:val="auto"/>
              </w:rPr>
            </w:pPr>
            <w:r>
              <w:rPr>
                <w:rFonts w:ascii="Arial" w:cs="Arial" w:eastAsia="Arial" w:hAnsi="Arial"/>
                <w:sz w:val="18"/>
                <w:szCs w:val="18"/>
                <w:i w:val="1"/>
                <w:iCs w:val="1"/>
                <w:color w:val="auto"/>
              </w:rPr>
              <w:t>Credit Suisse</w:t>
            </w:r>
          </w:p>
        </w:tc>
        <w:tc>
          <w:tcPr>
            <w:tcW w:w="2020" w:type="dxa"/>
            <w:vAlign w:val="bottom"/>
          </w:tcPr>
          <w:p>
            <w:pPr>
              <w:jc w:val="center"/>
              <w:ind w:left="770"/>
              <w:spacing w:after="0"/>
              <w:rPr>
                <w:sz w:val="20"/>
                <w:szCs w:val="20"/>
                <w:color w:val="auto"/>
              </w:rPr>
            </w:pPr>
            <w:r>
              <w:rPr>
                <w:rFonts w:ascii="Arial" w:cs="Arial" w:eastAsia="Arial" w:hAnsi="Arial"/>
                <w:sz w:val="18"/>
                <w:szCs w:val="18"/>
                <w:i w:val="1"/>
                <w:iCs w:val="1"/>
                <w:color w:val="auto"/>
                <w:w w:val="89"/>
              </w:rPr>
              <w:t>UBS Investment</w:t>
            </w:r>
          </w:p>
        </w:tc>
      </w:tr>
      <w:tr>
        <w:trPr>
          <w:trHeight w:val="230"/>
        </w:trPr>
        <w:tc>
          <w:tcPr>
            <w:tcW w:w="2740" w:type="dxa"/>
            <w:vAlign w:val="bottom"/>
          </w:tcPr>
          <w:p>
            <w:pPr>
              <w:jc w:val="center"/>
              <w:ind w:right="232"/>
              <w:spacing w:after="0"/>
              <w:rPr>
                <w:sz w:val="20"/>
                <w:szCs w:val="20"/>
                <w:color w:val="auto"/>
              </w:rPr>
            </w:pPr>
            <w:r>
              <w:rPr>
                <w:rFonts w:ascii="Arial" w:cs="Arial" w:eastAsia="Arial" w:hAnsi="Arial"/>
                <w:sz w:val="18"/>
                <w:szCs w:val="18"/>
                <w:i w:val="1"/>
                <w:iCs w:val="1"/>
                <w:color w:val="auto"/>
                <w:w w:val="87"/>
              </w:rPr>
              <w:t>Lynch</w:t>
            </w:r>
          </w:p>
        </w:tc>
        <w:tc>
          <w:tcPr>
            <w:tcW w:w="1620" w:type="dxa"/>
            <w:vAlign w:val="bottom"/>
          </w:tcPr>
          <w:p>
            <w:pPr>
              <w:jc w:val="center"/>
              <w:spacing w:after="0"/>
              <w:rPr>
                <w:sz w:val="20"/>
                <w:szCs w:val="20"/>
                <w:color w:val="auto"/>
              </w:rPr>
            </w:pPr>
            <w:r>
              <w:rPr>
                <w:rFonts w:ascii="Arial" w:cs="Arial" w:eastAsia="Arial" w:hAnsi="Arial"/>
                <w:sz w:val="18"/>
                <w:szCs w:val="18"/>
                <w:i w:val="1"/>
                <w:iCs w:val="1"/>
                <w:color w:val="auto"/>
                <w:w w:val="91"/>
              </w:rPr>
              <w:t>Securities</w:t>
            </w:r>
          </w:p>
        </w:tc>
        <w:tc>
          <w:tcPr>
            <w:tcW w:w="2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tcPr>
          <w:p>
            <w:pPr>
              <w:jc w:val="center"/>
              <w:ind w:left="770"/>
              <w:spacing w:after="0"/>
              <w:rPr>
                <w:sz w:val="20"/>
                <w:szCs w:val="20"/>
                <w:color w:val="auto"/>
              </w:rPr>
            </w:pPr>
            <w:r>
              <w:rPr>
                <w:rFonts w:ascii="Arial" w:cs="Arial" w:eastAsia="Arial" w:hAnsi="Arial"/>
                <w:sz w:val="18"/>
                <w:szCs w:val="18"/>
                <w:i w:val="1"/>
                <w:iCs w:val="1"/>
                <w:color w:val="auto"/>
                <w:w w:val="87"/>
              </w:rPr>
              <w:t>Bank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171450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6"/>
          <w:szCs w:val="16"/>
          <w:i w:val="1"/>
          <w:iCs w:val="1"/>
          <w:color w:val="auto"/>
        </w:rPr>
        <w:t>Wolfe Capital Markets and Advisory</w:t>
      </w:r>
    </w:p>
    <w:p>
      <w:pPr>
        <w:sectPr>
          <w:pgSz w:w="11900" w:h="16838" w:orient="portrait"/>
          <w:cols w:equalWidth="0" w:num="1">
            <w:col w:w="11180"/>
          </w:cols>
          <w:pgMar w:left="240" w:top="459" w:right="479" w:bottom="514" w:gutter="0" w:footer="0" w:header="0"/>
        </w:sectPr>
      </w:pPr>
    </w:p>
    <w:p>
      <w:pPr>
        <w:spacing w:after="0" w:line="149" w:lineRule="exact"/>
        <w:rPr>
          <w:sz w:val="20"/>
          <w:szCs w:val="20"/>
          <w:color w:val="auto"/>
        </w:rPr>
      </w:pPr>
    </w:p>
    <w:p>
      <w:pPr>
        <w:ind w:left="5920"/>
        <w:spacing w:after="0"/>
        <w:rPr>
          <w:sz w:val="20"/>
          <w:szCs w:val="20"/>
          <w:color w:val="auto"/>
        </w:rPr>
      </w:pPr>
      <w:r>
        <w:rPr>
          <w:rFonts w:ascii="Arial" w:cs="Arial" w:eastAsia="Arial" w:hAnsi="Arial"/>
          <w:sz w:val="16"/>
          <w:szCs w:val="16"/>
          <w:i w:val="1"/>
          <w:iCs w:val="1"/>
          <w:color w:val="auto"/>
        </w:rPr>
        <w:t>, 2018.</w:t>
      </w:r>
    </w:p>
    <w:p>
      <w:pPr>
        <w:sectPr>
          <w:pgSz w:w="11900" w:h="16838" w:orient="portrait"/>
          <w:cols w:equalWidth="0" w:num="1">
            <w:col w:w="11180"/>
          </w:cols>
          <w:pgMar w:left="240" w:top="459" w:right="479" w:bottom="514"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706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67062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160"/>
          </w:cols>
          <w:pgMar w:left="240" w:top="459" w:right="499" w:bottom="1440" w:gutter="0" w:footer="0" w:header="0"/>
        </w:sectPr>
      </w:pP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7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Letter from Bin Li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Prospectus Summary</w:t>
              </w:r>
            </w:hyperlink>
          </w:p>
        </w:tc>
        <w:tc>
          <w:tcPr>
            <w:tcW w:w="326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Summary Consolidated Financial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860" w:type="dxa"/>
            <w:vAlign w:val="bottom"/>
            <w:tcBorders>
              <w:top w:val="single" w:sz="8" w:color="0000EE"/>
            </w:tcBorders>
            <w:gridSpan w:val="10"/>
          </w:tcPr>
          <w:p>
            <w:pPr>
              <w:spacing w:after="0"/>
              <w:rPr>
                <w:sz w:val="17"/>
                <w:szCs w:val="17"/>
                <w:color w:val="auto"/>
              </w:rPr>
            </w:pPr>
          </w:p>
        </w:tc>
        <w:tc>
          <w:tcPr>
            <w:tcW w:w="20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Special Note Regarding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Use of Proceeds</w:t>
              </w:r>
            </w:hyperlink>
          </w:p>
        </w:tc>
        <w:tc>
          <w:tcPr>
            <w:tcW w:w="2700" w:type="dxa"/>
            <w:vAlign w:val="bottom"/>
            <w:tcBorders>
              <w:top w:val="single" w:sz="8" w:color="0000EE"/>
            </w:tcBorders>
            <w:gridSpan w:val="9"/>
          </w:tcPr>
          <w:p>
            <w:pPr>
              <w:spacing w:after="0"/>
              <w:rPr>
                <w:sz w:val="17"/>
                <w:szCs w:val="17"/>
                <w:color w:val="auto"/>
              </w:rPr>
            </w:pPr>
          </w:p>
        </w:tc>
        <w:tc>
          <w:tcPr>
            <w:tcW w:w="9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62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Exchange Rate Information</w:t>
              </w:r>
            </w:hyperlink>
          </w:p>
        </w:tc>
        <w:tc>
          <w:tcPr>
            <w:tcW w:w="280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Enforceability of Civil Liabilities</w:t>
              </w:r>
            </w:hyperlink>
          </w:p>
        </w:tc>
        <w:tc>
          <w:tcPr>
            <w:tcW w:w="23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Corporate History and Structure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60" w:type="dxa"/>
            <w:vAlign w:val="bottom"/>
            <w:shd w:val="clear" w:color="auto" w:fill="0000EE"/>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Selected Consolidated Financial Data</w:t>
              </w:r>
            </w:hyperlink>
          </w:p>
        </w:tc>
        <w:tc>
          <w:tcPr>
            <w:tcW w:w="208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45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Management’s Discussion and Analysis of Financial Condition</w:t>
              </w:r>
            </w:hyperlink>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and Results of Operations</w:t>
              </w:r>
            </w:hyperlink>
          </w:p>
        </w:tc>
        <w:tc>
          <w:tcPr>
            <w:tcW w:w="274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160" w:type="dxa"/>
            <w:vAlign w:val="bottom"/>
            <w:gridSpan w:val="1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Industry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Business</w:t>
              </w:r>
            </w:hyperlink>
          </w:p>
        </w:tc>
        <w:tc>
          <w:tcPr>
            <w:tcW w:w="3500" w:type="dxa"/>
            <w:vAlign w:val="bottom"/>
            <w:gridSpan w:val="1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196"/>
        </w:trPr>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Regulation</w:t>
              </w:r>
            </w:hyperlink>
          </w:p>
        </w:tc>
        <w:tc>
          <w:tcPr>
            <w:tcW w:w="336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Management</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Principal Shareholders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Related Party Transactions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Description of Share Capital</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Description of American Depositary Shares</w:t>
              </w:r>
            </w:hyperlink>
          </w:p>
        </w:tc>
        <w:tc>
          <w:tcPr>
            <w:tcW w:w="10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Shares Eligible for Future Sale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Taxation</w:t>
              </w:r>
            </w:hyperlink>
          </w:p>
        </w:tc>
        <w:tc>
          <w:tcPr>
            <w:tcW w:w="1580" w:type="dxa"/>
            <w:vAlign w:val="bottom"/>
            <w:tcBorders>
              <w:top w:val="single" w:sz="8" w:color="0000EE"/>
            </w:tcBorders>
            <w:gridSpan w:val="9"/>
          </w:tcPr>
          <w:p>
            <w:pPr>
              <w:spacing w:after="0"/>
              <w:rPr>
                <w:sz w:val="17"/>
                <w:szCs w:val="17"/>
                <w:color w:val="auto"/>
              </w:rPr>
            </w:pPr>
          </w:p>
        </w:tc>
        <w:tc>
          <w:tcPr>
            <w:tcW w:w="194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200</w:t>
            </w:r>
          </w:p>
        </w:tc>
      </w:tr>
      <w:tr>
        <w:trPr>
          <w:trHeight w:val="196"/>
        </w:trPr>
        <w:tc>
          <w:tcPr>
            <w:tcW w:w="9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216">
              <w:r>
                <w:rPr>
                  <w:rFonts w:ascii="Arial" w:cs="Arial" w:eastAsia="Arial" w:hAnsi="Arial"/>
                  <w:sz w:val="18"/>
                  <w:szCs w:val="18"/>
                  <w:color w:val="0000EE"/>
                  <w:w w:val="94"/>
                </w:rPr>
                <w:t>Underwriting</w:t>
              </w:r>
            </w:hyperlink>
          </w:p>
        </w:tc>
        <w:tc>
          <w:tcPr>
            <w:tcW w:w="318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Expenses Related to this Offering</w:t>
              </w:r>
            </w:hyperlink>
          </w:p>
        </w:tc>
        <w:tc>
          <w:tcPr>
            <w:tcW w:w="172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r>
      <w:tr>
        <w:trPr>
          <w:trHeight w:val="196"/>
        </w:trPr>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28">
              <w:r>
                <w:rPr>
                  <w:rFonts w:ascii="Arial" w:cs="Arial" w:eastAsia="Arial" w:hAnsi="Arial"/>
                  <w:sz w:val="18"/>
                  <w:szCs w:val="18"/>
                  <w:color w:val="0000EE"/>
                  <w:w w:val="91"/>
                </w:rPr>
                <w:t>Legal Matters</w:t>
              </w:r>
            </w:hyperlink>
          </w:p>
        </w:tc>
        <w:tc>
          <w:tcPr>
            <w:tcW w:w="314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219</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29">
              <w:r>
                <w:rPr>
                  <w:rFonts w:ascii="Arial" w:cs="Arial" w:eastAsia="Arial" w:hAnsi="Arial"/>
                  <w:sz w:val="18"/>
                  <w:szCs w:val="18"/>
                  <w:color w:val="0000EE"/>
                  <w:w w:val="91"/>
                </w:rPr>
                <w:t>Experts</w:t>
              </w:r>
            </w:hyperlink>
          </w:p>
        </w:tc>
        <w:tc>
          <w:tcPr>
            <w:tcW w:w="356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32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30">
              <w:r>
                <w:rPr>
                  <w:rFonts w:ascii="Arial" w:cs="Arial" w:eastAsia="Arial" w:hAnsi="Arial"/>
                  <w:sz w:val="18"/>
                  <w:szCs w:val="18"/>
                  <w:color w:val="0000EE"/>
                  <w:w w:val="93"/>
                </w:rPr>
                <w:t>Where You Can Find Additional Information</w:t>
              </w:r>
            </w:hyperlink>
          </w:p>
        </w:tc>
        <w:tc>
          <w:tcPr>
            <w:tcW w:w="9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Index to Consolidated Financial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334645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340"/>
          </w:cols>
          <w:pgMar w:left="240" w:top="459" w:right="4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17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43"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Until , 2018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LETTER FROM BIN LI</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Investors,</w:t>
      </w:r>
    </w:p>
    <w:p>
      <w:pPr>
        <w:spacing w:after="0" w:line="225"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NIO, which translates to “Blue Sky Coming” in its Chinese name, originated from our vision of a future filled with blue skies. We believe that improved smart electric car technologies, coupled with better experience of car ownership, will drive increased appreciation and adoption of smart electric cars, leading to the fulfillment of our vision of blue skies and a more sustainable future for our planet.</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NIO was founded at a time when the world has been experiencing what may be the most significant technological change in the more than 100 years’ of development of the automotive industry. Increasingly sophisticated technologies such as autonomous driving, electric car technology, artificial intelligence, and cloud services are reshaping the automotive industry. We believe that these innovative technologies will not only relieve drivers from the monotony of their daily commutes, but also make cars safer and more environmentally friendly and transform the car into a mobile living space, ultimately becoming a broader part of a user’s lifestyle. We believe that technological advances will reignite enthusiasm and passion toward automobiles.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Witnessing this time of technological change in the automotive industry, NIO’s founding investors and management team decided to participate as a driving and leading force. As a global start-up, thousands of our colleagues in China, the U.S. and Europe have made great achievements over the past three years that we are very proud of. We were the title sponsor for the Drivers’ Championship winning team in the inaugural FIA Formula E season in 2015; our EP9 supercar broke the record as the fastest all-electric car at the Nürburgring Nordschleife “Green Hell” track in Germany in May 2017; we launched our first volume manufactured vehicle, a high-performance and intelligent electric SUV, the ES8, and are currently scaling up deliveries to users; and we have developed our NIO Pilot ADAS system and NOMI assistant, showcasing our application of the latest automated assisted driving and artificial intelligence technologies in mass-production cars. Our team is not only visionary in its technological development, but also has the ability to execute on our vision and turn it into reality through strong execution.</w:t>
      </w:r>
    </w:p>
    <w:p>
      <w:pPr>
        <w:spacing w:after="0" w:line="17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Product excellence is just the beginning for NIO. What users want is a holistic experience exceeding expectations. We expect that the ownership of cars will be redefined by a new experience with respect to cars, services, digital connections and the experience beyond the car. Technological advances will not only reshape automotive products, but also connect cars, smart devices, infrastructure, service providers and users, making a more efficient and innovative user experience possible. Making use of this architectural framework, NIO offers one-stop care-free services to users. NIO Power aspires to provide convenient electric charging services so that eventually users may enjoy a level of convenience similar to or better than fuel charging, and NIO Service is designed to free users from hassles related to insurance, repair, and general car usage. We provide outstanding in-car software and connectivity systems, and also connect cars, services and users with our NIO mobile application efficiently and cohesively. Our NIO Life offers distinct accessories and merchandise. We collaborate with Tencent to deliver a high quality in-car music streaming experience, and partner with JD.com for delivery services directly to and from our cars. Our objective is not just to provide care-free services, but more importantly to shape a joyful lifestyle with users.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Technological advances enable us to offer excellent products and services and also to streamline connections between us and users as well as among users. We aim to develop NIO into a community starting with cars and growing with our users. Through our NIO mobile application, hundreds of thousands of people are connecting with each other or sharing moments, while our NIO Houses offline have become an increasingly popular destination to gather and share for our users. Our innovative NIO Day, among other NIO events, was well received by our users. Through these interactive experiences, we are building trust and providing unique experiences to our users, and NIO, as a community, is gaining increasing vibrancy.</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users’ passion and support has inspired me to think further about creating a deeper connection between NIO and our users. After long and careful consideration, I plan to transfer 50 million NIO shares beneficially owned by me, which account for approximately one third of all my beneficially owned NIO shares, to a trust at an appropriate time in the future. While I will retain the voting rights of the shares to be transferred to the trust, I will let NIO users discuss and propose how to use the economic benefits from these shares, through certain mechanisms to be implemented in the future. I believe this trust arrangement further advances NIO’s pursuit of our original aspiration of becoming a user enterprise and will also deepen our relationship with users. I also believe NIO users, shareholders, employees, and partners will all benefit from this arrangement in the long run.</w:t>
      </w:r>
    </w:p>
    <w:p>
      <w:pPr>
        <w:spacing w:after="0" w:line="16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To deliver superb products, an experience beyond expectations, and create a harmonious and vibrant community, we need good values to motivate and unite our teams around the world. In the early days of NIO, my colleagues from all over the world went through a series of discussions and came up with the following corporate values for our company:</w:t>
      </w:r>
    </w:p>
    <w:p>
      <w:pPr>
        <w:spacing w:after="0" w:line="177" w:lineRule="exact"/>
        <w:rPr>
          <w:sz w:val="20"/>
          <w:szCs w:val="20"/>
          <w:color w:val="auto"/>
        </w:rPr>
      </w:pPr>
    </w:p>
    <w:p>
      <w:pPr>
        <w:ind w:left="200" w:right="340" w:firstLine="441"/>
        <w:spacing w:after="0" w:line="282" w:lineRule="auto"/>
        <w:rPr>
          <w:sz w:val="20"/>
          <w:szCs w:val="20"/>
          <w:color w:val="auto"/>
        </w:rPr>
      </w:pPr>
      <w:r>
        <w:rPr>
          <w:rFonts w:ascii="Arial" w:cs="Arial" w:eastAsia="Arial" w:hAnsi="Arial"/>
          <w:sz w:val="18"/>
          <w:szCs w:val="18"/>
          <w:b w:val="1"/>
          <w:bCs w:val="1"/>
          <w:color w:val="auto"/>
        </w:rPr>
        <w:t xml:space="preserve">Honesty: </w:t>
      </w:r>
      <w:r>
        <w:rPr>
          <w:rFonts w:ascii="Arial" w:cs="Arial" w:eastAsia="Arial" w:hAnsi="Arial"/>
          <w:sz w:val="18"/>
          <w:szCs w:val="18"/>
          <w:color w:val="auto"/>
        </w:rPr>
        <w:t>We value truthfulness, integrity and clarity in everything we do. This allows us to be open, be sincere and share our thoughts openly</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stakeholders.</w:t>
      </w:r>
    </w:p>
    <w:p>
      <w:pPr>
        <w:spacing w:after="0" w:line="162" w:lineRule="exact"/>
        <w:rPr>
          <w:sz w:val="20"/>
          <w:szCs w:val="20"/>
          <w:color w:val="auto"/>
        </w:rPr>
      </w:pPr>
    </w:p>
    <w:p>
      <w:pPr>
        <w:ind w:left="200" w:right="160" w:firstLine="441"/>
        <w:spacing w:after="0" w:line="266" w:lineRule="auto"/>
        <w:rPr>
          <w:sz w:val="20"/>
          <w:szCs w:val="20"/>
          <w:color w:val="auto"/>
        </w:rPr>
      </w:pPr>
      <w:r>
        <w:rPr>
          <w:rFonts w:ascii="Arial" w:cs="Arial" w:eastAsia="Arial" w:hAnsi="Arial"/>
          <w:sz w:val="18"/>
          <w:szCs w:val="18"/>
          <w:b w:val="1"/>
          <w:bCs w:val="1"/>
          <w:color w:val="auto"/>
        </w:rPr>
        <w:t xml:space="preserve">Care: </w:t>
      </w:r>
      <w:r>
        <w:rPr>
          <w:rFonts w:ascii="Arial" w:cs="Arial" w:eastAsia="Arial" w:hAnsi="Arial"/>
          <w:sz w:val="18"/>
          <w:szCs w:val="18"/>
          <w:color w:val="auto"/>
        </w:rPr>
        <w:t>We are deeply passionate about what we do. We strive to build strong, natural relationships that last, and we want this spark to energize</w:t>
      </w:r>
      <w:r>
        <w:rPr>
          <w:rFonts w:ascii="Arial" w:cs="Arial" w:eastAsia="Arial" w:hAnsi="Arial"/>
          <w:sz w:val="18"/>
          <w:szCs w:val="18"/>
          <w:b w:val="1"/>
          <w:bCs w:val="1"/>
          <w:color w:val="auto"/>
        </w:rPr>
        <w:t xml:space="preserve"> </w:t>
      </w:r>
      <w:r>
        <w:rPr>
          <w:rFonts w:ascii="Arial" w:cs="Arial" w:eastAsia="Arial" w:hAnsi="Arial"/>
          <w:sz w:val="18"/>
          <w:szCs w:val="18"/>
          <w:color w:val="auto"/>
        </w:rPr>
        <w:t>everyone around us, which enables us to enjoy our journey together. We care, listen, and share our thoughts because we treat each of our users as if the user were ourselves.</w:t>
      </w:r>
    </w:p>
    <w:p>
      <w:pPr>
        <w:spacing w:after="0" w:line="176" w:lineRule="exact"/>
        <w:rPr>
          <w:sz w:val="20"/>
          <w:szCs w:val="20"/>
          <w:color w:val="auto"/>
        </w:rPr>
      </w:pPr>
    </w:p>
    <w:p>
      <w:pPr>
        <w:ind w:left="200" w:right="580" w:firstLine="441"/>
        <w:spacing w:after="0" w:line="282" w:lineRule="auto"/>
        <w:rPr>
          <w:sz w:val="20"/>
          <w:szCs w:val="20"/>
          <w:color w:val="auto"/>
        </w:rPr>
      </w:pPr>
      <w:r>
        <w:rPr>
          <w:rFonts w:ascii="Arial" w:cs="Arial" w:eastAsia="Arial" w:hAnsi="Arial"/>
          <w:sz w:val="18"/>
          <w:szCs w:val="18"/>
          <w:b w:val="1"/>
          <w:bCs w:val="1"/>
          <w:color w:val="auto"/>
        </w:rPr>
        <w:t xml:space="preserve">Vision: </w:t>
      </w:r>
      <w:r>
        <w:rPr>
          <w:rFonts w:ascii="Arial" w:cs="Arial" w:eastAsia="Arial" w:hAnsi="Arial"/>
          <w:sz w:val="18"/>
          <w:szCs w:val="18"/>
          <w:color w:val="auto"/>
        </w:rPr>
        <w:t>We go where others will not – fundamentally disrupting the industry with the aim of creating value for our users. We think big and</w:t>
      </w:r>
      <w:r>
        <w:rPr>
          <w:rFonts w:ascii="Arial" w:cs="Arial" w:eastAsia="Arial" w:hAnsi="Arial"/>
          <w:sz w:val="18"/>
          <w:szCs w:val="18"/>
          <w:b w:val="1"/>
          <w:bCs w:val="1"/>
          <w:color w:val="auto"/>
        </w:rPr>
        <w:t xml:space="preserve"> </w:t>
      </w:r>
      <w:r>
        <w:rPr>
          <w:rFonts w:ascii="Arial" w:cs="Arial" w:eastAsia="Arial" w:hAnsi="Arial"/>
          <w:sz w:val="18"/>
          <w:szCs w:val="18"/>
          <w:color w:val="auto"/>
        </w:rPr>
        <w:t>visualize opportunities by embracing new ways of thinking, working and communicating.</w:t>
      </w:r>
    </w:p>
    <w:p>
      <w:pPr>
        <w:spacing w:after="0" w:line="162" w:lineRule="exact"/>
        <w:rPr>
          <w:sz w:val="20"/>
          <w:szCs w:val="20"/>
          <w:color w:val="auto"/>
        </w:rPr>
      </w:pPr>
    </w:p>
    <w:p>
      <w:pPr>
        <w:ind w:left="200" w:right="480" w:firstLine="441"/>
        <w:spacing w:after="0" w:line="282" w:lineRule="auto"/>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We are empowered to act – doing only what we believe in and building trust by executing on our vision. We move quickly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 actively anticipating the needs of our users and creating opportunities for our business.</w:t>
      </w:r>
    </w:p>
    <w:p>
      <w:pPr>
        <w:spacing w:after="0" w:line="166"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Since our inception, these values have helped us overcome challenges in team integration, make more users trust us as a visionary and reliable friend, and earn the trust of our shareholders and full support from our partners. I believe these values will guide us throughout our growth path in the future.</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automobile has been one of the most important products in people’s lives for more than a century. As we look to the future, innovative technologies will bring to us better experiences, higher satisfaction and expanded possibilities. Despite potential challenges that we may face, I believe future cars will make the world a better place. It is an honor for NIO to participate in the automobile industry transformation. We look forward to driving onto this new journey with you.</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Bin Li</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Founder, Chairman and 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40" w:firstLine="426"/>
        <w:spacing w:after="0" w:line="297"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This prospectus contains information from an industry report commissioned by us and prepared by Frost &amp; Sullivan, an independent research firm, to provide information regarding our industry and our market position in China and globally. We refer to this report as the “Frost &amp; Sullivan Report.”</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shape a joyful lifestyle by offering premium smart electric vehicles and being the best user enterprise.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w:t>
      </w:r>
    </w:p>
    <w:p>
      <w:pPr>
        <w:ind w:left="380"/>
        <w:spacing w:after="0"/>
        <w:rPr>
          <w:sz w:val="20"/>
          <w:szCs w:val="20"/>
          <w:color w:val="auto"/>
        </w:rPr>
      </w:pPr>
      <w:r>
        <w:rPr>
          <w:rFonts w:ascii="Arial" w:cs="Arial" w:eastAsia="Arial" w:hAnsi="Arial"/>
          <w:sz w:val="17"/>
          <w:szCs w:val="17"/>
          <w:color w:val="auto"/>
        </w:rPr>
        <w:t xml:space="preserve">Our Chinese name, Weilai ( </w:t>
      </w:r>
      <w:r>
        <w:rPr>
          <w:sz w:val="1"/>
          <w:szCs w:val="1"/>
          <w:color w:val="auto"/>
        </w:rPr>
        <w:drawing>
          <wp:inline distT="0" distB="0" distL="0" distR="0">
            <wp:extent cx="197485" cy="946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94615"/>
                    </a:xfrm>
                    <a:prstGeom prst="rect">
                      <a:avLst/>
                    </a:prstGeom>
                    <a:noFill/>
                    <a:ln>
                      <a:noFill/>
                    </a:ln>
                  </pic:spPr>
                </pic:pic>
              </a:graphicData>
            </a:graphic>
          </wp:inline>
        </w:drawing>
      </w:r>
      <w:r>
        <w:rPr>
          <w:rFonts w:ascii="Arial" w:cs="Arial" w:eastAsia="Arial" w:hAnsi="Arial"/>
          <w:sz w:val="17"/>
          <w:szCs w:val="17"/>
          <w:color w:val="auto"/>
        </w:rPr>
        <w:t xml:space="preserve"> ), which means Blue Sky Coming, reflects our commitment to a more environmentally friendly future.</w:t>
      </w:r>
    </w:p>
    <w:p>
      <w:pPr>
        <w:spacing w:after="0" w:line="222"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87" w:lineRule="exact"/>
        <w:rPr>
          <w:sz w:val="20"/>
          <w:szCs w:val="20"/>
          <w:color w:val="auto"/>
        </w:rPr>
      </w:pPr>
    </w:p>
    <w:p>
      <w:pPr>
        <w:ind w:left="380" w:right="160" w:firstLine="426"/>
        <w:spacing w:after="0" w:line="270" w:lineRule="auto"/>
        <w:rPr>
          <w:sz w:val="20"/>
          <w:szCs w:val="20"/>
          <w:color w:val="auto"/>
        </w:rPr>
      </w:pPr>
      <w:r>
        <w:rPr>
          <w:rFonts w:ascii="Arial" w:cs="Arial" w:eastAsia="Arial" w:hAnsi="Arial"/>
          <w:sz w:val="17"/>
          <w:szCs w:val="17"/>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It is equipped with our proprietary electric powertrain system, which is capable of accelerating from zero to 100 km per hour in 4.4 seconds and delivering a New European Driving Cycle, or NEDC, driving range of up to 355 km and a maximum range of up to 500 km in a single charge. As of August 31, 2018, we had delivered 1,602 ES8s and had unfulfilled reservations for 15,778 ES8s with deposits. Of these reservations, 6,201 consisted of reservations for which non-refundable RMB45,000 deposits had been made and 9,577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82" w:lineRule="exact"/>
        <w:rPr>
          <w:sz w:val="20"/>
          <w:szCs w:val="20"/>
          <w:color w:val="auto"/>
        </w:rPr>
      </w:pPr>
    </w:p>
    <w:p>
      <w:pPr>
        <w:ind w:left="380" w:right="40" w:firstLine="426"/>
        <w:spacing w:after="0" w:line="342" w:lineRule="auto"/>
        <w:rPr>
          <w:sz w:val="20"/>
          <w:szCs w:val="20"/>
          <w:color w:val="auto"/>
        </w:rPr>
      </w:pPr>
      <w:r>
        <w:rPr>
          <w:rFonts w:ascii="Arial" w:cs="Arial" w:eastAsia="Arial" w:hAnsi="Arial"/>
          <w:sz w:val="16"/>
          <w:szCs w:val="16"/>
          <w:color w:val="auto"/>
        </w:rPr>
        <w:t>We plan to launch our second volume manufactured electric vehicle, the ES6, by the end of 2018 and start initial deliveries in the first half of 2019. The ES6 is a 5-seater, high-performance premium electric SUV, set at a lower price point than the ES8 to target a broader customer base.</w:t>
      </w:r>
    </w:p>
    <w:p>
      <w:pPr>
        <w:spacing w:after="0" w:line="124"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include Power Home, our home charging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2" w:lineRule="auto"/>
        <w:rPr>
          <w:sz w:val="20"/>
          <w:szCs w:val="20"/>
          <w:color w:val="auto"/>
        </w:rPr>
      </w:pPr>
      <w:r>
        <w:rPr>
          <w:rFonts w:ascii="Arial" w:cs="Arial" w:eastAsia="Arial" w:hAnsi="Arial"/>
          <w:sz w:val="17"/>
          <w:szCs w:val="17"/>
          <w:color w:val="auto"/>
        </w:rPr>
        <w:t>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over 214,000 public charging piles, 59.6% of which are superchargers. Beyond charging solutions, we offer comprehensive value-added services to our users, such as statutory and third-party liability insurance and car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electric powertrain technologies we developed for the EP9 set the technological foundation for the development of our vehicles, from the ES8, to the planned ES6 and to other future models. Our electric powertrain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18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ADAS system, is enabled by 23 sensors and equipped with the Mobileye EyeQ</w:t>
      </w:r>
      <w:r>
        <w:rPr>
          <w:rFonts w:ascii="Arial" w:cs="Arial" w:eastAsia="Arial" w:hAnsi="Arial"/>
          <w:sz w:val="15"/>
          <w:szCs w:val="15"/>
          <w:color w:val="auto"/>
        </w:rPr>
        <w:t>®</w:t>
      </w:r>
      <w:r>
        <w:rPr>
          <w:rFonts w:ascii="Arial" w:cs="Arial" w:eastAsia="Arial" w:hAnsi="Arial"/>
          <w:sz w:val="18"/>
          <w:szCs w:val="18"/>
          <w:color w:val="auto"/>
        </w:rPr>
        <w:t>4 ADAS processor, which is eight times more powerful than its predecessor.</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88"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21"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We began making deliveries of our first volume manufactured vehicle, the ES8, to users on June 28, 2018. The table below sets forth certain operating data up to August 31, 2018.</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July</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August</w:t>
            </w:r>
          </w:p>
        </w:tc>
      </w:tr>
      <w:tr>
        <w:trPr>
          <w:trHeight w:val="171"/>
        </w:trPr>
        <w:tc>
          <w:tcPr>
            <w:tcW w:w="88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2018</w:t>
            </w:r>
            <w:r>
              <w:rPr>
                <w:rFonts w:ascii="Arial" w:cs="Arial" w:eastAsia="Arial" w:hAnsi="Arial"/>
                <w:sz w:val="12"/>
                <w:szCs w:val="12"/>
                <w:b w:val="1"/>
                <w:bCs w:val="1"/>
                <w:color w:val="auto"/>
                <w:w w:val="87"/>
              </w:rPr>
              <w:t>(1)</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7"/>
              </w:rPr>
              <w:t>2018</w:t>
            </w:r>
            <w:r>
              <w:rPr>
                <w:rFonts w:ascii="Arial" w:cs="Arial" w:eastAsia="Arial" w:hAnsi="Arial"/>
                <w:sz w:val="12"/>
                <w:szCs w:val="12"/>
                <w:b w:val="1"/>
                <w:bCs w:val="1"/>
                <w:color w:val="auto"/>
                <w:w w:val="87"/>
              </w:rPr>
              <w:t>(1)</w:t>
            </w:r>
          </w:p>
        </w:tc>
        <w:tc>
          <w:tcPr>
            <w:tcW w:w="40" w:type="dxa"/>
            <w:vAlign w:val="bottom"/>
          </w:tcPr>
          <w:p>
            <w:pPr>
              <w:spacing w:after="0"/>
              <w:rPr>
                <w:sz w:val="14"/>
                <w:szCs w:val="14"/>
                <w:color w:val="auto"/>
              </w:rPr>
            </w:pPr>
          </w:p>
        </w:tc>
      </w:tr>
      <w:tr>
        <w:trPr>
          <w:trHeight w:val="196"/>
        </w:trPr>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Unfulfilled reservations with non-refundable deposits (total as of the end of the period)</w:t>
            </w: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4"/>
              </w:rPr>
              <w:t>3,186</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4"/>
              </w:rPr>
              <w:t>6,201</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8820" w:type="dxa"/>
            <w:vAlign w:val="bottom"/>
          </w:tcPr>
          <w:p>
            <w:pPr>
              <w:ind w:left="20"/>
              <w:spacing w:after="0"/>
              <w:rPr>
                <w:sz w:val="20"/>
                <w:szCs w:val="20"/>
                <w:color w:val="auto"/>
              </w:rPr>
            </w:pPr>
            <w:r>
              <w:rPr>
                <w:rFonts w:ascii="Arial" w:cs="Arial" w:eastAsia="Arial" w:hAnsi="Arial"/>
                <w:sz w:val="16"/>
                <w:szCs w:val="16"/>
                <w:color w:val="auto"/>
              </w:rPr>
              <w:t>ES8s produced for the period</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831</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w w:val="94"/>
              </w:rPr>
              <w:t>1,296</w:t>
            </w:r>
          </w:p>
        </w:tc>
      </w:tr>
      <w:tr>
        <w:trPr>
          <w:trHeight w:val="203"/>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ES8s delivered for the period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381</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94"/>
              </w:rPr>
              <w:t>1,121</w:t>
            </w:r>
          </w:p>
        </w:tc>
      </w:tr>
    </w:tbl>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w:t>
      </w:r>
    </w:p>
    <w:p>
      <w:pPr>
        <w:ind w:left="700" w:right="280" w:hanging="314"/>
        <w:spacing w:after="0" w:line="237" w:lineRule="auto"/>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Reservation data is provided as of the month end for June, July and August 2018. Deliveries for June represent deliveries for the period from June 28, 2018 (being the date we began making deliveries of the ES8 to the public) through June 30, 2018.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35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4335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China is the world’s largest passenger vehicle market. The premium segment in this largest market continues to take market share from the entry and mid-range segments, and is expected to continue to grow at a compound annual growth rate, or CAGR, of 12.4% from 2017 to 2022, according to Frost &amp; Sullivan. The SUV segment in China is also expected to outpace industry growth for the next five years, reaching 16.9 million units in 2022, representing a CAGR of 9.4% during the same period.</w:t>
      </w:r>
    </w:p>
    <w:p>
      <w:pPr>
        <w:spacing w:after="0" w:line="187"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China is also the largest new energy vehicle, or NEV, market in the world and continues to account for more than half of global battery electric vehicle, or BEV, sales. China’s BEV sales are expected to experience more than 40% annualized growth until 2022, according to Frost &amp; Sullivan. We are targeting the premium BEV segment in order to take advantage of the growth opportunities in that segment and our first two vehicles, ES8 and ES6, specifically target the premium SUV segment.</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China is a clear leader in the global NEV market and notably skewed to BEVs</w:t>
      </w:r>
    </w:p>
    <w:p>
      <w:pPr>
        <w:spacing w:after="0" w:line="11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The Chinese NEV market benefits from favorable policies and strong government support. China’s NEV market has outperformed the global NEV market significantly, growing at a CAGR of 141.5% from approximately 21.8 thousand units in 2013 to 741.9 thousand units in 2017, according to Frost &amp; Sullivan. During the same period, global NEV sales recorded a CAGR of 16.2%. China is expected to continue to lead the growth of the global NEV market, reaching 3.6 million units in 2022, growing at a CAGR of 37.1% from 2017 to 2022.</w:t>
      </w:r>
    </w:p>
    <w:p>
      <w:pPr>
        <w:spacing w:after="0" w:line="171" w:lineRule="exact"/>
        <w:rPr>
          <w:sz w:val="20"/>
          <w:szCs w:val="20"/>
          <w:color w:val="auto"/>
        </w:rPr>
      </w:pPr>
    </w:p>
    <w:p>
      <w:pPr>
        <w:jc w:val="both"/>
        <w:ind w:left="380" w:right="20" w:firstLine="426"/>
        <w:spacing w:after="0" w:line="279" w:lineRule="auto"/>
        <w:rPr>
          <w:sz w:val="20"/>
          <w:szCs w:val="20"/>
          <w:color w:val="auto"/>
        </w:rPr>
      </w:pPr>
      <w:r>
        <w:rPr>
          <w:rFonts w:ascii="Arial" w:cs="Arial" w:eastAsia="Arial" w:hAnsi="Arial"/>
          <w:sz w:val="17"/>
          <w:szCs w:val="17"/>
          <w:color w:val="auto"/>
        </w:rPr>
        <w:t>NEVs generally include three types: BEVs, hybrid electric vehicles, or HEVs, and plug-in hybrid electric vehicles, or PHEVs. Among these, the BEV is considered the most eco-friendly as a zero emission solution. Recognizing these benefits, the Chinese government favors BEVs to other NEVs and provides BEVs greater incentives. With battery technology improving and charging network expanding, consumer concern over driving range has also lessened, which is another factor contributing to the BEV market growth.</w:t>
      </w:r>
    </w:p>
    <w:p>
      <w:pPr>
        <w:spacing w:after="0" w:line="17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As a result, BEVs have witnessed the fastest growth among all NEV types in the past five years, growing from 13 thousand units in 2013 to 476 thousand units in 2017 at a CAGR of 147.9% in China, as compared to 68.2% in the global market. China had the highest share of BEVs as percentage of NEVs at 64.1% as compared to 27.3 % for the global market in 2017. China has become the largest BEV market globally, accounting for approximately 54.3% of the overall global BEV market in 2017. Frost &amp; Sullivan predicts that over 2.6 million BEVs are expected to be sold in China in 2022, accounting for 64.6% of the global BEV market. During the period from 2017 to 2022, the sales volume of BEVs is expected to grow at a CAGR of 40.8% in China.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830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Largely unserved premium EV market in China</w:t>
      </w:r>
    </w:p>
    <w:p>
      <w:pPr>
        <w:spacing w:after="0" w:line="11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Among the top 10 BEV brands with the highest sales volumes in 2017, only Tesla was in the premium segment, while the other nine brands were in the entry segment and the average prices post subsidies of those other nine brands were all below RMB170,000, representing a largely unserved premium EV market in China. The following chart shows the China BEV SUV market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Note:(1) Manufacturer suggested retail price pre subsidies</w:t>
      </w:r>
    </w:p>
    <w:p>
      <w:pPr>
        <w:ind w:left="380"/>
        <w:spacing w:after="0"/>
        <w:rPr>
          <w:sz w:val="20"/>
          <w:szCs w:val="20"/>
          <w:color w:val="auto"/>
        </w:rPr>
      </w:pPr>
      <w:r>
        <w:rPr>
          <w:rFonts w:ascii="Arial" w:cs="Arial" w:eastAsia="Arial" w:hAnsi="Arial"/>
          <w:sz w:val="14"/>
          <w:szCs w:val="14"/>
          <w:i w:val="1"/>
          <w:iCs w:val="1"/>
          <w:color w:val="auto"/>
        </w:rPr>
        <w:t>Source: Frost &amp; Sullivan Report</w:t>
      </w:r>
    </w:p>
    <w:p>
      <w:pPr>
        <w:spacing w:after="0" w:line="196"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the above chart indicates, the ES8 boasts price advantages over the imported premium models, such as Tesla Model X due to cost advantages from localized manufacturing, purchase subsidies and the absence of customs duties and purchasing taxes. Currently we believe no premium BEV is available to Chinese consumers at competitive pricing and the ES8 is expected to face limited competition initially from premium BEVs.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31"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Pioneer in China’s premium EV market;</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Redefining EV experience with cutting-edge proprietary technology, visionary engineering and smart connectivity;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Revolutionary and comprehensive charging solutions;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User enterprise advocating a unique and holistic mobility lifestyle;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with global best-in-class technology and industrial leaders;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World-class management, global talent pool and tech savvy investor base.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plan to pursue the following growth strategies to expand our business:</w:t>
      </w:r>
    </w:p>
    <w:p>
      <w:pPr>
        <w:spacing w:after="0" w:line="131" w:lineRule="exact"/>
        <w:rPr>
          <w:sz w:val="20"/>
          <w:szCs w:val="20"/>
          <w:color w:val="auto"/>
        </w:rPr>
      </w:pPr>
    </w:p>
    <w:p>
      <w:pPr>
        <w:ind w:left="1220" w:hanging="415"/>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Successfully launch future models such as the ES6 and ET7 timely to target a broader customer base and expand our product lineup;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1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681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our own manufacturing capacity and continue to optimize manufacturing costs by leveraging a common platform and production flexibility;</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infrastructure and service coverage nationwide to improve user experience;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focus on technological innovation;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more monetization opportunities during the lifetime ownership.</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face risks and uncertainties in realizing our business objectives and executing our strategies, including those relating to:</w:t>
      </w:r>
    </w:p>
    <w:p>
      <w:pPr>
        <w:spacing w:after="0" w:line="131" w:lineRule="exact"/>
        <w:rPr>
          <w:sz w:val="20"/>
          <w:szCs w:val="20"/>
          <w:color w:val="auto"/>
        </w:rPr>
      </w:pPr>
    </w:p>
    <w:p>
      <w:pPr>
        <w:ind w:left="1220" w:right="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manufacture a car of sufficient quality and appeal to customers on schedule and on a large scale is unproven and still evolving;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manufacturing in collaboration with partners;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launch and sell electric vehicles meeting customer expectations;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provide convenient charging solutions to our customers;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mandated safety standards relating to motor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supply of raw materials or other components used in our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sufficient reservations and sales of the ES8;</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costs associated with our operations;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build our NIO brand;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train and retained dedicated executive officers, key employees and qualified personnel.</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were founded in November 2014, as NextCar Inc., and changed our name to NIO Inc. in July 2017. We conduct our operations through our subsidiaries in China, the United States, Germany and the United Kingdom.</w:t>
      </w:r>
    </w:p>
    <w:p>
      <w:pPr>
        <w:spacing w:after="0" w:line="170"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In April 2018, we entered into a series of contractual arrangements with Shanghai Anbin Technology Co., Ltd. and Beijing NIO Network Technology Co., Ltd., our VIEs, and their shareholders, to conduct certain future operations in China. In the future, we expect that our in-house vehicle manufacturing will be carried out primarily by Shanghai NIO New Energy Automobile Co., Ltd., or NIO New Energy, which is controlled by us through Shanghai Anbin Technology Co., Ltd. and/or its subsidiaries and we expect Beijing NIO Network Technology Co., Ltd. or Beijing NIO, will focus on value-added telecommunications services, including without limitation, performing internet services, operating our website and mobile application as well as holding certain related licenses. See “Corporate History and Structure.”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96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796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The chart below summarizes our corporate structure and identifies our significant subsidiaries, our VIEs and their significant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89"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73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873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80"/>
        <w:spacing w:after="0" w:line="264" w:lineRule="auto"/>
        <w:rPr>
          <w:sz w:val="20"/>
          <w:szCs w:val="20"/>
          <w:color w:val="auto"/>
        </w:rPr>
      </w:pPr>
      <w:r>
        <w:rPr>
          <w:rFonts w:ascii="Arial" w:cs="Arial" w:eastAsia="Arial" w:hAnsi="Arial"/>
          <w:sz w:val="18"/>
          <w:szCs w:val="18"/>
          <w:color w:val="auto"/>
        </w:rPr>
        <w:t>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Our principal executive offices are located at Building 20, No. 56 AnTuo Road, Jiading District, Shanghai, 201804, People’s Republic of China. Our telephone number at this address is +86 21 6908 3306. Our registered office in the Cayman Islands is located at PO Box 309, Ugland House, Grand Cayman, KY1-1104, Cayman Islands.</w:t>
      </w:r>
    </w:p>
    <w:p>
      <w:pPr>
        <w:spacing w:after="0" w:line="181" w:lineRule="exact"/>
        <w:rPr>
          <w:sz w:val="20"/>
          <w:szCs w:val="20"/>
          <w:color w:val="auto"/>
        </w:rPr>
      </w:pPr>
    </w:p>
    <w:p>
      <w:pPr>
        <w:ind w:left="380" w:right="280" w:firstLine="426"/>
        <w:spacing w:after="0" w:line="264"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main website is </w:t>
      </w:r>
      <w:r>
        <w:rPr>
          <w:rFonts w:ascii="Arial" w:cs="Arial" w:eastAsia="Arial" w:hAnsi="Arial"/>
          <w:sz w:val="18"/>
          <w:szCs w:val="18"/>
          <w:i w:val="1"/>
          <w:iCs w:val="1"/>
          <w:color w:val="auto"/>
        </w:rPr>
        <w:t>www.nio.com</w:t>
      </w:r>
      <w:r>
        <w:rPr>
          <w:rFonts w:ascii="Arial" w:cs="Arial" w:eastAsia="Arial" w:hAnsi="Arial"/>
          <w:sz w:val="18"/>
          <w:szCs w:val="18"/>
          <w:color w:val="auto"/>
        </w:rPr>
        <w:t>. The information contained on our website is not a part of this prospectus. Our agent for service of process in the United States is</w:t>
      </w:r>
      <w:r>
        <w:rPr>
          <w:rFonts w:ascii="Arial" w:cs="Arial" w:eastAsia="Arial" w:hAnsi="Arial"/>
          <w:sz w:val="18"/>
          <w:szCs w:val="18"/>
          <w:i w:val="1"/>
          <w:iCs w:val="1"/>
          <w:color w:val="auto"/>
        </w:rPr>
        <w:t xml:space="preserve"> </w:t>
      </w:r>
      <w:r>
        <w:rPr>
          <w:rFonts w:ascii="Arial" w:cs="Arial" w:eastAsia="Arial" w:hAnsi="Arial"/>
          <w:sz w:val="18"/>
          <w:szCs w:val="18"/>
          <w:color w:val="auto"/>
        </w:rPr>
        <w:t>Puglisi &amp; Associates, located at 850 Library Avenue, Suite 204, Newark, Delaware 19711.</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31" w:lineRule="exact"/>
        <w:rPr>
          <w:sz w:val="20"/>
          <w:szCs w:val="20"/>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“ADAS” are to advanced driver assistance system;</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one Class A ordinary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 are to artificial intelligence;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“BEV” are to battery electric passenger vehicles;</w:t>
      </w:r>
    </w:p>
    <w:p>
      <w:pPr>
        <w:spacing w:after="0" w:line="130" w:lineRule="exact"/>
        <w:rPr>
          <w:rFonts w:ascii="Arial" w:cs="Arial" w:eastAsia="Arial" w:hAnsi="Arial"/>
          <w:sz w:val="18"/>
          <w:szCs w:val="18"/>
          <w:color w:val="auto"/>
        </w:rPr>
      </w:pPr>
    </w:p>
    <w:p>
      <w:pPr>
        <w:ind w:left="1220" w:right="20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the “PRC” are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A ordinary shares” are to our Class A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B ordinary shares” are to our Class B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C ordinary shares” are to our Class C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 are to electric passenger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“FOTA” are to firmware over-the-air;</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“ICE” are to internal combustion engine;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“NEV” are to new energy passenger vehicles;</w:t>
      </w:r>
    </w:p>
    <w:p>
      <w:pPr>
        <w:spacing w:after="0" w:line="130" w:lineRule="exact"/>
        <w:rPr>
          <w:rFonts w:ascii="Arial" w:cs="Arial" w:eastAsia="Arial" w:hAnsi="Arial"/>
          <w:sz w:val="18"/>
          <w:szCs w:val="18"/>
          <w:color w:val="auto"/>
        </w:rPr>
      </w:pPr>
    </w:p>
    <w:p>
      <w:pPr>
        <w:ind w:left="1220" w:right="880" w:hanging="415"/>
        <w:spacing w:after="0" w:line="308"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“NIO” “we,” “us,” “our company” and “our” are to NIO Inc., our Cayman Islands holding company and its subsidiaries, its consolidated variable interest entities and the subsidiaries of the consolidated variable interest entities;</w:t>
      </w:r>
    </w:p>
    <w:p>
      <w:pPr>
        <w:spacing w:after="0" w:line="51" w:lineRule="exact"/>
        <w:rPr>
          <w:rFonts w:ascii="Arial" w:cs="Arial" w:eastAsia="Arial" w:hAnsi="Arial"/>
          <w:sz w:val="17"/>
          <w:szCs w:val="17"/>
          <w:color w:val="auto"/>
        </w:rPr>
      </w:pPr>
    </w:p>
    <w:p>
      <w:pPr>
        <w:ind w:left="1220" w:hanging="415"/>
        <w:spacing w:after="0" w:line="308"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“Ordinary shares” are to our ordinary shares, par value US$0.00025 per share, and upon and after the completion of this offering, are to our Class A ordinary shares, Class B ordinary shares and Class C ordinary shares, par value US$0.00025 per share;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“U.S. dollars,” “USD,” “$,” and “dollars” are to the legal currency of the United States.</w:t>
      </w:r>
    </w:p>
    <w:p>
      <w:pPr>
        <w:spacing w:after="0" w:line="225"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Unless the context indicates otherwise, all information in this prospectus assumes 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200" w:type="dxa"/>
            <w:vAlign w:val="bottom"/>
            <w:tcBorders>
              <w:top w:val="single" w:sz="8" w:color="auto"/>
              <w:left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THE OFFERING</w:t>
            </w:r>
          </w:p>
        </w:tc>
      </w:tr>
      <w:tr>
        <w:trPr>
          <w:trHeight w:val="512"/>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Offering price</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We currently estimate that the initial public offering price will be between US$6.25</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US$8.25 per ADS.</w:t>
            </w:r>
          </w:p>
        </w:tc>
      </w:tr>
      <w:tr>
        <w:trPr>
          <w:trHeight w:val="41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offered by us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160,000,000 ADSs (or 184,000,000 ADSs if the underwriters exercise their over-</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allotment option in full).</w:t>
            </w:r>
          </w:p>
        </w:tc>
      </w:tr>
      <w:tr>
        <w:trPr>
          <w:trHeight w:val="41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outstanding immediately after this offering</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160,000,000 ADSs (or 184,000,000 ADSs if the underwriters exercise their over-</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allotment option in full).</w:t>
            </w:r>
          </w:p>
        </w:tc>
      </w:tr>
      <w:tr>
        <w:trPr>
          <w:trHeight w:val="43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9"/>
              </w:rPr>
              <w:t>Ordinary shares outstanding immediately after this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have adopted a triple-class ordinary share structure. A total of 1,026,010,046</w:t>
            </w:r>
          </w:p>
        </w:tc>
      </w:tr>
      <w:tr>
        <w:trPr>
          <w:trHeight w:val="216"/>
        </w:trPr>
        <w:tc>
          <w:tcPr>
            <w:tcW w:w="420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offering</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ordinary shares, comprised of 745,479,824 Class A ordinary shares, 132,030,222</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Class B ordinary shares and 148,500,000 Class C ordinary shares (or 1,050,010,046</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ordinary shares if the underwriters exercise their over-allotment option in full,</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comprised of 769,479,824 Class A ordinary shares, 132,030,222 Class B ordinary</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shares and 148,500,000 Class C ordinary shares). Class B ordinary shares issued and</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outstanding immediately after the completion of this offering will represent 12.9% of</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our total issued and outstanding shares and 21.5% of the then total voting power (or</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12.6% of our total issued and outstanding shares and 21.3% of the then total voting</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power if the underwriters exercise their over-allotment option in full). Class C</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ordinary shares issued and outstanding immediately after the completion of this</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offering will represent 14.5% of our total issued and outstanding shares and 48.3% of</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the then total voting power (or 14.1% of our total issued and outstanding shares and</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47.8% of the then total voting power if the underwriters exercise their over-allotment</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option in full).</w:t>
            </w:r>
          </w:p>
        </w:tc>
      </w:tr>
      <w:tr>
        <w:trPr>
          <w:trHeight w:val="446"/>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The ADSs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Each ADS represents one Class A ordinary share, par value US$0.00025 per share.</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depositary will hold Class A ordinary shares underlying your ADSs. You will</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have rights as provided in the deposit agreement among us, the depositary and holders</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beneficial owners of ADSs from time to time.</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We do not expect to pay dividends in the foreseeable future. If, however, we declare</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dividends on our Class A ordinary shares, the depositary will pay you the cash</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dividends and other distributions it receives on our Class A ordinary shares after</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deducting its fees and expenses in accordance with the terms set forth in the deposit</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agreement.</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You may surrender your ADSs to the depositary in exchange for Class A ordinary</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shares. The depositary will charge you fees for any exchange.</w:t>
            </w:r>
          </w:p>
        </w:tc>
      </w:tr>
      <w:tr>
        <w:trPr>
          <w:trHeight w:val="240"/>
        </w:trPr>
        <w:tc>
          <w:tcPr>
            <w:tcW w:w="4200" w:type="dxa"/>
            <w:vAlign w:val="bottom"/>
            <w:tcBorders>
              <w:left w:val="single" w:sz="8" w:color="auto"/>
              <w:bottom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r>
      <w:tr>
        <w:trPr>
          <w:trHeight w:val="604"/>
        </w:trPr>
        <w:tc>
          <w:tcPr>
            <w:tcW w:w="4200" w:type="dxa"/>
            <w:vAlign w:val="bottom"/>
          </w:tcPr>
          <w:p>
            <w:pPr>
              <w:spacing w:after="0"/>
              <w:rPr>
                <w:sz w:val="24"/>
                <w:szCs w:val="24"/>
                <w:color w:val="auto"/>
              </w:rPr>
            </w:pPr>
          </w:p>
        </w:tc>
        <w:tc>
          <w:tcPr>
            <w:tcW w:w="6840" w:type="dxa"/>
            <w:vAlign w:val="bottom"/>
          </w:tcPr>
          <w:p>
            <w:pPr>
              <w:ind w:left="12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610"/>
        </w:trPr>
        <w:tc>
          <w:tcPr>
            <w:tcW w:w="32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gridSpan w:val="2"/>
          </w:tcPr>
          <w:p>
            <w:pPr>
              <w:ind w:left="1300"/>
              <w:spacing w:after="0"/>
              <w:rPr>
                <w:sz w:val="20"/>
                <w:szCs w:val="20"/>
                <w:color w:val="auto"/>
              </w:rPr>
            </w:pPr>
            <w:r>
              <w:rPr>
                <w:rFonts w:ascii="Arial" w:cs="Arial" w:eastAsia="Arial" w:hAnsi="Arial"/>
                <w:sz w:val="18"/>
                <w:szCs w:val="18"/>
                <w:color w:val="auto"/>
              </w:rPr>
              <w:t>We may amend or terminate the deposit agreement without your consent. If you</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continue to hold your ADSs after an amendment to the deposit agreement, you agree</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w w:val="90"/>
              </w:rPr>
              <w:t>to be bound by the deposit agreement as amended.</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To better understand the terms of the ADSs, you should carefully read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“Description of American Depositary Shares” section of this prospectus. You should</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also read the deposit agreement, which is filed as an exhibit to the registration</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statement that includes this prospectus.</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Over-allotment option</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We have granted to the underwriters an option, exercisable within 30 days from the</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2"/>
              </w:rPr>
              <w:t>date of this prospectus, to purchase up to an aggregate of 24,000,000 additional ADSs.</w:t>
            </w: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We expect that we will receive net proceeds of approximately US$1,106.9 million</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from this offering, or approximately US$1,274.0 million if the underwriters exercise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their over-allotment option in full, assuming an initial public offering price of US$7.25</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per ADS, which is the midpoint of the estimated range of the initial public offering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price, after deducting underwriting discounts and commissions and estimated offering</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expenses payable by us.</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We intend to use the net proceeds from this offering for (i) research and development</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of products, services and technology, (ii) selling and marketing and development of</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sales channels, including NIO Houses, (iii) development of our manufacturing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facilities and the roll-out of our supply chain, and (iv) general corporate purposes and</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working capital. See “Use of Proceeds” for more information.</w:t>
            </w: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Lock-up</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We, all our directors, executive officers and our existing shareholders have agreed</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with the underwriters not to sell, transfer or dispose of our Class A ordinary shares or</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ADSs or any securities that are convertible into or exercisable or exchangeable for our</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Class A ordinary shares or ADSs or are otherwise subject to similar lockup restrictions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9"/>
              </w:rPr>
              <w:t>for a period of 180 days after the date of this prospectus. See “Shares Eligible for</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Future Sale” and “Underwriting.”</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At our request, the underwriters have reserved for sale, at the initial public offering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price, up to 5% of the ADSs offered in this offering to some of our directors, officers,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9"/>
              </w:rPr>
              <w:t>employees and other individuals associated with us and members of their families</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through a directed share program.</w:t>
            </w:r>
          </w:p>
        </w:tc>
        <w:tc>
          <w:tcPr>
            <w:tcW w:w="2740" w:type="dxa"/>
            <w:vAlign w:val="bottom"/>
            <w:tcBorders>
              <w:right w:val="single" w:sz="8" w:color="auto"/>
            </w:tcBorders>
          </w:tcPr>
          <w:p>
            <w:pPr>
              <w:spacing w:after="0"/>
              <w:rPr>
                <w:sz w:val="20"/>
                <w:szCs w:val="20"/>
                <w:color w:val="auto"/>
              </w:rPr>
            </w:pPr>
          </w:p>
        </w:tc>
      </w:tr>
      <w:tr>
        <w:trPr>
          <w:trHeight w:val="431"/>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We have applied to have the ADSs listed on the New York Stock Exchange under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symbol “NIO.” Our ADSs and shares will not be listed on any other stock exchange or</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traded on any automated quotation system.</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Payment and settlement</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The underwriters expect to deliver the ADSs against payment therefor through the</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facilities of the Depositary Trust Company on</w:t>
            </w:r>
          </w:p>
        </w:tc>
        <w:tc>
          <w:tcPr>
            <w:tcW w:w="2740" w:type="dxa"/>
            <w:vAlign w:val="bottom"/>
            <w:tcBorders>
              <w:right w:val="single" w:sz="8" w:color="auto"/>
            </w:tcBorders>
          </w:tcPr>
          <w:p>
            <w:pPr>
              <w:jc w:val="right"/>
              <w:ind w:right="2050"/>
              <w:spacing w:after="0"/>
              <w:rPr>
                <w:sz w:val="20"/>
                <w:szCs w:val="20"/>
                <w:color w:val="auto"/>
              </w:rPr>
            </w:pPr>
            <w:r>
              <w:rPr>
                <w:rFonts w:ascii="Arial" w:cs="Arial" w:eastAsia="Arial" w:hAnsi="Arial"/>
                <w:sz w:val="18"/>
                <w:szCs w:val="18"/>
                <w:color w:val="auto"/>
              </w:rPr>
              <w:t>, 2018.</w:t>
            </w:r>
          </w:p>
        </w:tc>
      </w:tr>
      <w:tr>
        <w:trPr>
          <w:trHeight w:val="432"/>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Depositary</w:t>
            </w:r>
          </w:p>
        </w:tc>
        <w:tc>
          <w:tcPr>
            <w:tcW w:w="5040" w:type="dxa"/>
            <w:vAlign w:val="bottom"/>
          </w:tcPr>
          <w:p>
            <w:pPr>
              <w:ind w:left="1300"/>
              <w:spacing w:after="0"/>
              <w:rPr>
                <w:sz w:val="20"/>
                <w:szCs w:val="20"/>
                <w:color w:val="auto"/>
              </w:rPr>
            </w:pPr>
            <w:r>
              <w:rPr>
                <w:rFonts w:ascii="Arial" w:cs="Arial" w:eastAsia="Arial" w:hAnsi="Arial"/>
                <w:sz w:val="18"/>
                <w:szCs w:val="18"/>
                <w:color w:val="auto"/>
              </w:rPr>
              <w:t>Deutsche Bank Trust Company Americas.</w:t>
            </w:r>
          </w:p>
        </w:tc>
        <w:tc>
          <w:tcPr>
            <w:tcW w:w="2740" w:type="dxa"/>
            <w:vAlign w:val="bottom"/>
            <w:tcBorders>
              <w:right w:val="single" w:sz="8" w:color="auto"/>
            </w:tcBorders>
          </w:tcPr>
          <w:p>
            <w:pPr>
              <w:spacing w:after="0"/>
              <w:rPr>
                <w:sz w:val="24"/>
                <w:szCs w:val="24"/>
                <w:color w:val="auto"/>
              </w:rPr>
            </w:pPr>
          </w:p>
        </w:tc>
      </w:tr>
      <w:tr>
        <w:trPr>
          <w:trHeight w:val="240"/>
        </w:trPr>
        <w:tc>
          <w:tcPr>
            <w:tcW w:w="3260" w:type="dxa"/>
            <w:vAlign w:val="bottom"/>
            <w:tcBorders>
              <w:left w:val="single" w:sz="8" w:color="auto"/>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r>
        <w:trPr>
          <w:trHeight w:val="604"/>
        </w:trPr>
        <w:tc>
          <w:tcPr>
            <w:tcW w:w="3260" w:type="dxa"/>
            <w:vAlign w:val="bottom"/>
          </w:tcPr>
          <w:p>
            <w:pPr>
              <w:spacing w:after="0"/>
              <w:rPr>
                <w:sz w:val="24"/>
                <w:szCs w:val="24"/>
                <w:color w:val="auto"/>
              </w:rPr>
            </w:pPr>
          </w:p>
        </w:tc>
        <w:tc>
          <w:tcPr>
            <w:tcW w:w="5040" w:type="dxa"/>
            <w:vAlign w:val="bottom"/>
          </w:tcPr>
          <w:p>
            <w:pPr>
              <w:ind w:left="2200"/>
              <w:spacing w:after="0"/>
              <w:rPr>
                <w:sz w:val="20"/>
                <w:szCs w:val="20"/>
                <w:color w:val="auto"/>
              </w:rPr>
            </w:pPr>
            <w:r>
              <w:rPr>
                <w:rFonts w:ascii="Arial" w:cs="Arial" w:eastAsia="Arial" w:hAnsi="Arial"/>
                <w:sz w:val="18"/>
                <w:szCs w:val="18"/>
                <w:color w:val="auto"/>
              </w:rPr>
              <w:t>9</w:t>
            </w:r>
          </w:p>
        </w:tc>
        <w:tc>
          <w:tcPr>
            <w:tcW w:w="27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380" w:right="200" w:firstLine="426"/>
        <w:spacing w:after="0" w:line="270" w:lineRule="auto"/>
        <w:rPr>
          <w:sz w:val="20"/>
          <w:szCs w:val="20"/>
          <w:color w:val="auto"/>
        </w:rPr>
      </w:pPr>
      <w:r>
        <w:rPr>
          <w:rFonts w:ascii="Arial" w:cs="Arial" w:eastAsia="Arial" w:hAnsi="Arial"/>
          <w:sz w:val="17"/>
          <w:szCs w:val="17"/>
          <w:color w:val="auto"/>
        </w:rPr>
        <w:t>The following summary consolidated statements of comprehensive loss and cash flow data for the years ended December 31, 2016 and 2017, and summary consolidated balance sheet data as of December 31, 2016 and 2017 have been derived from our audited consolidated financial statements included elsewhere in this prospectus. The following summary consolidated statements of comprehensive loss and cash flow data for the six months ended June 30, 2017 and 2018, and summary consolidated balance sheet data as of June 30, 2018 have been derived from our unaudited interim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80" w:type="dxa"/>
            <w:vAlign w:val="bottom"/>
            <w:gridSpan w:val="6"/>
          </w:tcPr>
          <w:p>
            <w:pPr>
              <w:ind w:left="680"/>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8"/>
          </w:tcPr>
          <w:p>
            <w:pPr>
              <w:ind w:lef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gridSpan w:val="10"/>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 except for shares and per share data)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Summary Consolidated Statements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Comprehensive Loss:</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7"/>
              </w:rPr>
              <w:t>—</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(1,465,353)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(2,602,889)</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(393,358)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(1,031,253)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(1,459,344)</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(220,541)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(1,137,187)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(2,350,707)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(355,247)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(964,363)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(1,726,297)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(748,605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(1,995,616)</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(3,185,641)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(2,602,540)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(4,953,596)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(1,995,616)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(3,338,829)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27,556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18,970</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49,565</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(18,084)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Share of losses of equity investee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(5,375)</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(2,986)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3,498</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Other income/(loss),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3,429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(58,681)</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(8,869)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(11,635)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(2,568,940)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(5,013,268)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(757,623)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(2,016,197)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(3,321,161)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(501,905)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(2,573,254)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(5,021,174)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(758,818)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(2,020,522)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(3,325,529)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(502,565)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w w:val="93"/>
              </w:rPr>
              <w:t>Accretion on convertible redeemable preferred shares to</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redemption value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(981,233)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(2,576,935)</w:t>
            </w: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(389,436)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(1,139,341)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(6,744,283)</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(1,019,220)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29,271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733"/>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420" w:type="dxa"/>
            <w:vAlign w:val="bottom"/>
            <w:tcBorders>
              <w:top w:val="single" w:sz="8" w:color="auto"/>
              <w:bottom w:val="single" w:sz="8" w:color="auto"/>
            </w:tcBorders>
            <w:gridSpan w:val="5"/>
          </w:tcPr>
          <w:p>
            <w:pPr>
              <w:jc w:val="center"/>
              <w:ind w:left="734"/>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gridSpan w:val="11"/>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gridSpan w:val="3"/>
          </w:tcPr>
          <w:p>
            <w:pPr>
              <w:jc w:val="right"/>
              <w:ind w:right="24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25"/>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9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gridSpan w:val="16"/>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 except for shares and per share data)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3"/>
              </w:rPr>
              <w:t>Net loss attributable to ordinary shareholders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of NIO Inc.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(3,517,549)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(7,561,669)</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(1,142,747)</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(3,130,592)</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(10,054,534)</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(1,519,476)</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(2,573,254)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(5,021,174)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(758,818)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(2,020,522)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(3,325,529)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(502,565)</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Foreign currency translation adjustment, net 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nil tax</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55,493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(124,374)</w:t>
            </w:r>
          </w:p>
        </w:tc>
        <w:tc>
          <w:tcPr>
            <w:tcW w:w="14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(18,796)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(29,678)</w:t>
            </w:r>
          </w:p>
        </w:tc>
        <w:tc>
          <w:tcPr>
            <w:tcW w:w="2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(153,155)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(23,145)</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income/(loss)</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55,493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(124,374)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(29,678)</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(23,145)</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0" w:type="dxa"/>
            <w:vAlign w:val="bottom"/>
            <w:tcBorders>
              <w:left w:val="single" w:sz="8" w:color="auto"/>
            </w:tcBorders>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(2,517,761)</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(5,145,548)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(777,614)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(2,050,200)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(3,478,684)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(525,710)</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Accretion on convertible redeemable preferred</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to redemption value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(981,233)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(2,576,935)</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(389,436)</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(1,139,341)</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(6,744,283)</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(1,019,220)</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7"/>
              </w:rPr>
              <w:t>Net loss attributable to non-controlling interests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29,271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15,278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6"/>
              </w:rPr>
              <w:t>Comprehensive loss attributable to ordinary</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 of NIO Inc.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(3,462,056)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(7,686,043)</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(1,161,543)</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(3,160,270)</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(10,207,689)</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(1,542,621)</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4"/>
              </w:rPr>
              <w:t>Weighted average number of ordinary shares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Borders>
              <w:left w:val="single" w:sz="8" w:color="auto"/>
            </w:tcBorders>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used in computing net loss per share</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16,697,527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21,801,525</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8"/>
              </w:rPr>
              <w:t>21,801,525</w:t>
            </w:r>
          </w:p>
        </w:tc>
        <w:tc>
          <w:tcPr>
            <w:tcW w:w="12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20,141,298</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28,661,459</w:t>
            </w: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28,661,459</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Net loss per share attributable to ordinary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(155.43)</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(53.01)</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 w:type="dxa"/>
            <w:vAlign w:val="bottom"/>
            <w:tcBorders>
              <w:left w:val="single" w:sz="8" w:color="auto"/>
            </w:tcBorders>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Note: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4840" w:type="dxa"/>
            <w:vAlign w:val="bottom"/>
            <w:gridSpan w:val="4"/>
          </w:tcPr>
          <w:p>
            <w:pPr>
              <w:spacing w:after="0"/>
              <w:rPr>
                <w:sz w:val="20"/>
                <w:szCs w:val="20"/>
                <w:color w:val="auto"/>
              </w:rPr>
            </w:pPr>
            <w:r>
              <w:rPr>
                <w:rFonts w:ascii="Arial" w:cs="Arial" w:eastAsia="Arial" w:hAnsi="Arial"/>
                <w:sz w:val="14"/>
                <w:szCs w:val="14"/>
                <w:color w:val="auto"/>
                <w:w w:val="97"/>
              </w:rPr>
              <w:t>(1)  Share-based compensation was allocated in operating expenses as follows: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Borders>
              <w:lef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9"/>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2360" w:type="dxa"/>
            <w:vAlign w:val="bottom"/>
            <w:tcBorders>
              <w:right w:val="single" w:sz="8" w:color="auto"/>
            </w:tcBorders>
            <w:gridSpan w:val="11"/>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4"/>
          </w:tcPr>
          <w:p>
            <w:pPr>
              <w:jc w:val="right"/>
              <w:ind w:right="22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Borders>
              <w:lef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gridSpan w:val="2"/>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jc w:val="right"/>
              <w:ind w:right="140"/>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5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14,484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23,210</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3,508</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5"/>
              </w:rPr>
              <w:t>12,418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Arial" w:cs="Arial" w:eastAsia="Arial" w:hAnsi="Arial"/>
                <w:sz w:val="16"/>
                <w:szCs w:val="16"/>
                <w:color w:val="auto"/>
                <w:w w:val="85"/>
              </w:rPr>
              <w:t>62,200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67,086</w:t>
            </w:r>
          </w:p>
        </w:tc>
        <w:tc>
          <w:tcPr>
            <w:tcW w:w="24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10,138</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24,938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auto"/>
                <w:w w:val="85"/>
              </w:rPr>
              <w:t>93,146</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14,076</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6"/>
                <w:szCs w:val="16"/>
                <w:color w:val="auto"/>
                <w:w w:val="85"/>
              </w:rPr>
              <w:t>76,684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90,296</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13,646</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35,838</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105,564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528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3528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our summary consolidated balance sheet data as of December 31, 2016 and 2017 and June 30, 2018.</w:t>
      </w:r>
    </w:p>
    <w:p>
      <w:pPr>
        <w:spacing w:after="0" w:line="255"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4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Actual</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2100" w:type="dxa"/>
            <w:vAlign w:val="bottom"/>
            <w:gridSpan w:val="3"/>
          </w:tcPr>
          <w:p>
            <w:pPr>
              <w:jc w:val="right"/>
              <w:ind w:right="628"/>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92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US$</w:t>
            </w:r>
          </w:p>
        </w:tc>
        <w:tc>
          <w:tcPr>
            <w:tcW w:w="11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100" w:type="dxa"/>
            <w:vAlign w:val="bottom"/>
            <w:tcBorders>
              <w:top w:val="single" w:sz="8" w:color="auto"/>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for shares data)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Selected Consolidated</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Balance Sheet Data:</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w w:val="98"/>
              </w:rPr>
              <w:t>Cash and cash equivalents</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581,296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7,505,954</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1,134,327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4,423,234</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668,455</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4,423,234</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668,455</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11,747,809</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1,775,371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cash—current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10,606</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20,092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20,092</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3,036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20,092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Long-term restricted cash</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15,335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14,293</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36,398</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5,501</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36,398</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5,501</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36,398</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5,501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Property, plant and</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equipment, net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833,004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1,911,013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288,799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3,189,004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481,934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3,189,004</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481,934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3,189,004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481,934</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1,770,478</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10,468,034</w:t>
            </w:r>
          </w:p>
        </w:tc>
        <w:tc>
          <w:tcPr>
            <w:tcW w:w="8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1,581,967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10,276,097</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1,552,960</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10,276,097</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1,552,960</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17,600,672</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2,659,876</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9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825,264</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2,402,028</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363,004</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4,433,062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669,939</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4,234,268</w:t>
            </w: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639,898</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4,234,268</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639,898</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Total mezzanine equity</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4,861,574</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19,657,786</w:t>
            </w: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2,970,755</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27,605,620</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4,171,861</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1,124,900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169,999</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1,124,900</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169,999</w:t>
            </w:r>
          </w:p>
        </w:tc>
        <w:tc>
          <w:tcPr>
            <w:tcW w:w="0" w:type="dxa"/>
            <w:vAlign w:val="bottom"/>
          </w:tcPr>
          <w:p>
            <w:pPr>
              <w:spacing w:after="0"/>
              <w:rPr>
                <w:sz w:val="1"/>
                <w:szCs w:val="1"/>
                <w:color w:val="auto"/>
              </w:rPr>
            </w:pPr>
          </w:p>
        </w:tc>
      </w:tr>
      <w:tr>
        <w:trPr>
          <w:trHeight w:val="46"/>
        </w:trPr>
        <w:tc>
          <w:tcPr>
            <w:tcW w:w="17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Total shareholders’</w:t>
            </w: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(deficit)/equity</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(3,916,360)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(11,591,780)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(1,751,792)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(21,762,585)</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(3,288,840)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4,916,929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743,063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12,241,504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1,849,979</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Total shares outstanding</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17,773,459</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23,850,343</w:t>
            </w: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23,850,343</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31,540,943</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1"/>
              </w:rPr>
              <w:t>31,540,943</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851,041,978</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851,041,978</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1,011,041,978</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1,011,041,978</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Notes:</w:t>
      </w:r>
    </w:p>
    <w:p>
      <w:pPr>
        <w:ind w:left="700" w:right="160" w:hanging="314"/>
        <w:spacing w:after="0" w:line="221"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basis to give effect to the automatic conversion of all of our outstanding ordinary shares and preferred shares into 851,041,978 ordinary shares immediately prior to the completion of this offering.</w:t>
      </w:r>
    </w:p>
    <w:p>
      <w:pPr>
        <w:ind w:left="700" w:right="20" w:hanging="314"/>
        <w:spacing w:after="0" w:line="227"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as adjusted basis to give effect to (i) the automatic conversion of all of our outstanding ordinary shares and preferred shares into 851,041,978 ordinary shares immediately prior to the completion of this offering; and (ii) the sale of 160,000,000 Class A ordinary shares in the form of ADSs by us in this offering at an initial public offering price of US$7.25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6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2662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2016 and 2017 and the six months ended June 30, 2017 and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34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Summary Consolidated Cash Flow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(2,201,564)</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(4,574,719)</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(691,349)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(2,132,644)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(3,634,780)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(549,301)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in) investing activities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117,843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(1,190,273)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(179,879)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(1,721,738)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(1,153,962)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(174,391)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2,292,704</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12,867,334</w:t>
            </w:r>
          </w:p>
        </w:tc>
        <w:tc>
          <w:tcPr>
            <w:tcW w:w="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1,944,558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4,694,897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1,897,832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286,808</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(168,120)</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(25,407)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(160,219)</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(24,214)</w:t>
            </w: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8"/>
              </w:rPr>
              <w:t>Net increase/(decrease) in cash and cash equivalents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249,522</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6,934,222</w:t>
            </w:r>
          </w:p>
        </w:tc>
        <w:tc>
          <w:tcPr>
            <w:tcW w:w="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1,047,923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821,948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(3,051,129)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(461,098)</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Cash, cash equivalents and restricted cash at beginning</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the year/period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347,109</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596,631</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90,167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596,631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7,530,853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1,138,090</w:t>
            </w:r>
          </w:p>
        </w:tc>
        <w:tc>
          <w:tcPr>
            <w:tcW w:w="220" w:type="dxa"/>
            <w:vAlign w:val="bottom"/>
          </w:tcPr>
          <w:p>
            <w:pPr>
              <w:spacing w:after="0"/>
              <w:rPr>
                <w:sz w:val="20"/>
                <w:szCs w:val="20"/>
                <w:color w:val="auto"/>
              </w:rPr>
            </w:pPr>
          </w:p>
        </w:tc>
      </w:tr>
      <w:tr>
        <w:trPr>
          <w:trHeight w:val="202"/>
        </w:trPr>
        <w:tc>
          <w:tcPr>
            <w:tcW w:w="180" w:type="dxa"/>
            <w:vAlign w:val="bottom"/>
          </w:tcPr>
          <w:p>
            <w:pPr>
              <w:spacing w:after="0"/>
              <w:rPr>
                <w:sz w:val="17"/>
                <w:szCs w:val="17"/>
                <w:color w:val="auto"/>
              </w:rPr>
            </w:pPr>
          </w:p>
        </w:tc>
        <w:tc>
          <w:tcPr>
            <w:tcW w:w="4240" w:type="dxa"/>
            <w:vAlign w:val="bottom"/>
          </w:tcPr>
          <w:p>
            <w:pPr>
              <w:ind w:left="20"/>
              <w:spacing w:after="0" w:line="201" w:lineRule="exact"/>
              <w:rPr>
                <w:sz w:val="20"/>
                <w:szCs w:val="20"/>
                <w:color w:val="auto"/>
              </w:rPr>
            </w:pPr>
            <w:r>
              <w:rPr>
                <w:rFonts w:ascii="Arial" w:cs="Arial" w:eastAsia="Arial" w:hAnsi="Arial"/>
                <w:sz w:val="18"/>
                <w:szCs w:val="18"/>
                <w:color w:val="auto"/>
                <w:w w:val="93"/>
              </w:rPr>
              <w:t>Cash, cash equivalents and restricted cash at end of the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year/period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596,631</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7,530,853</w:t>
            </w:r>
          </w:p>
        </w:tc>
        <w:tc>
          <w:tcPr>
            <w:tcW w:w="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1,138,090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1,418,579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4,479,724</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676,992</w:t>
            </w:r>
          </w:p>
        </w:tc>
        <w:tc>
          <w:tcPr>
            <w:tcW w:w="22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748"/>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ability to develop and manufacture a car of sufficient quality and appeal to customers on schedule and on a large scale is unproven and still evolving.</w:t>
      </w:r>
    </w:p>
    <w:p>
      <w:pPr>
        <w:spacing w:after="0" w:line="62"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future business depends in large part on our ability to execute on our plans to develop, manufacture, market and sell our electric vehicles. We plan to manufacture our vehicles in higher volumes than our present production capabilities in strategic collaboration with a Chinese manufacturer and in the future at our planned manufacturing plants in China.</w:t>
      </w:r>
    </w:p>
    <w:p>
      <w:pPr>
        <w:spacing w:after="0" w:line="181"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Our continued development and manufacturing of our first volume manufactured vehicle, the ES8, and our future vehicles are and will be subject to risks, including with respect to:</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equipment we use being able to accurately manufacture the vehicle within specified design tolerances;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environmental, workplace safety and similar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securing necessary components on acceptable terms and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delivery of final component designs to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recruit, hire and train skilled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controls, particularly as we plan to eventually commence our own manufacturing in-house;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our supply chain;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delays and cost overruns.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began making deliveries of the ES8 in June 2018. We do not expect to deliver our second planned vehicle, the ES6, until the first half of 2019, and we may not successfully develop the ES6. Our vehicles may not meet customer expectations and our future models, including the ES6, may not be commercially viable.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Historically, automobile customers have expected car manufacturers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 foregoing could have a material adverse effect on our results of operations and growth prospects.</w:t>
      </w:r>
    </w:p>
    <w:p>
      <w:pPr>
        <w:spacing w:after="0" w:line="333"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We have negative cash flows from operation, have only recently started to generate revenues and have not been profitable, all of which may continue in the future.</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only recently started to generate revenues and have not been profitable since our inception. We incurred net losses of RMB2,573.3 million, RMB5,021.2 million (US$758.8 million) and RMB3,325.5 million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(US$502.6 million) in 2016, 2017 and the six months ended June 30, 2018, respectively. In addition, we had negative cash flows from operating activities of RMB2,201.6 million, RMB4,574.7 million (US$691.3 million) and RMB3,634.8 million (US$549.3 million) in 2016, 2017 and the six months ended June 30, 2018, respectively. We have made significant up-front investments in research and development and selling, general and administrative expenses to rapidly develop and expand our business. We expect to continue to invest significantly in research and development and sales and marketing, general and administrative expenses, to establish and expand our business, and these investments may not result in an increase in revenue or positive cash flow on a timely basis, or at all.</w:t>
      </w:r>
    </w:p>
    <w:p>
      <w:pPr>
        <w:spacing w:after="0" w:line="193"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We may not generate sufficient revenues or we may incur substantial losses for a number of reasons, including lack of demand for our vehicles and services, increasing competition,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a limited operating history and face significant challenges as a new entrant into our industry.</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were formed in 2014 and began making deliveries to the public of our first volume manufactured vehicle, the ES8, in June 2018. We are currently developing our second vehicle, the ES6, for delivery in 2019.</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You should consider our business and prospects in light of the risks and challenges we face as a new entrant into our industry, including, among other things, with respect to our ability to:</w:t>
      </w:r>
    </w:p>
    <w:p>
      <w:pPr>
        <w:spacing w:after="0" w:line="76"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and produce safe, reliable and quality vehicles on an ongoing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expand our customer base;</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market not just our vehicles but also our other services, including our service package, energy package and other services we provide;</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price our services, including our charging solutions and service package and successfully anticipate the take-rate and usage of such services by users;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and maintain our operational efficiency;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reliable, secure, high-performance and scalable technology infrastructure;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technological developments and changes in competitive landscape;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fail to address any or all of these risks and challenges, our business may be materially and adversely affected.</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limited experience to date in high volume manufacturing of our electric vehicles. We cannot assure you that we will be able to develop efficient, automated, cost-efficient manufacturing capability and processes, and reliable sources of component supply that will enable us to meet the quality, price, engineering, design and production standards, as well as the production volumes required to successfully mass market the ES8 and future vehicles.</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Furthermore, our vehicles are highly technical products that will require maintenance and support. If we were to cease or cut back operations, even years from now, buyers of our vehicles from years earlier might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6" w:lineRule="auto"/>
        <w:rPr>
          <w:sz w:val="20"/>
          <w:szCs w:val="20"/>
          <w:color w:val="auto"/>
        </w:rPr>
      </w:pPr>
      <w:r>
        <w:rPr>
          <w:rFonts w:ascii="Arial" w:cs="Arial" w:eastAsia="Arial" w:hAnsi="Arial"/>
          <w:sz w:val="17"/>
          <w:szCs w:val="17"/>
          <w:color w:val="auto"/>
        </w:rPr>
        <w:t>encounter difficulties in maintaining their vehicles and obtaining satisfactory support. We also believe that our service offerings, including user confidence in our ability to provide our charging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 in collaboration with partners is subject to risks.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entered into an arrangement with Jianghuai Automobile Group Co., Ltd., or JAC, for the manufacture of the ES8 for five years. The ES8 is manufactured in partnership with JAC at its Hefei manufacturing plant. JAC is a major state-owned automobile manufacturer in China and it constructed such Hefei manufacturing plant for the production of the ES8 and potentially other future vehicles with us. Pursuant to our arrangement with JAC, we pay JAC for each vehicle produced on a per-vehicle basis monthly for the first three years. We may enter into similar arrangements in the future for other vehicles. We also plan to initially manufacture the ES6 in partnership with JAC at its Hefei manufacturing plant. Collaboration with third parties for the manufacturing of vehicles is subject to risks with respect to operations that are outside our control. We could experience delays to the extent our partners do not meet agreed upon timelines or experience capacity constraints. 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partners’ vehicles. In addition, although we are involved in each step of the supply chain and manufacturing process, given that we also rely on our partners to meet our quality standards, there can be no assurance that we will successfully maintain quality standards.</w:t>
      </w:r>
    </w:p>
    <w:p>
      <w:pPr>
        <w:spacing w:after="0" w:line="18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addition, for the first 36 months after the start of production, which commenced on April 10, 2018, to the extent the Hefei manufacturing plant incurs any operating losses, we have agreed to compensate JAC for such operating losses. As of June 30, 2018, we have paid JAC a total of RMB100 million, including RMB65.1 million as compensation for losses incurred in the second quarter of 2018 and RMB34.9 million as a prepayment for manufacturing and processing fees and potential future losses in the third quarter of 2018, pursuant to a supplemental agreement entered into in June 2018. If we are obligated to compensate JAC for any losses, our results of operations and financial condition may be materially and adversely affected, particularly if such losses are incurred as a result of lower than anticipated sales volume.</w:t>
      </w:r>
    </w:p>
    <w:p>
      <w:pPr>
        <w:spacing w:after="0" w:line="178"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We may be unable to enter into new agreements or extend existing agreements with third-party manufacturing partners on terms and conditions acceptable to us and therefore may need to contract with other third parties or significantly add to our own production capacity. There can be no assurance that in such event we would be able to partner with other third parties or establish or expand our own production capacity to meet our needs on acceptable terms or at all. The expense and time required to complete any transition, and to assure that vehicles manufactured at facilities of new third party partners comply with our quality standards and regulatory requirements, may be greater than anticipated. Any of the foregoing could adversely affect our business, results of operations, financial condition and prospects.</w:t>
      </w:r>
    </w:p>
    <w:p>
      <w:pPr>
        <w:spacing w:after="0" w:line="287"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73"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Our growth depends significantly on the availability and amounts of government subsidies, economic incentives and government policies that support the growth of new energy vehicles generally and electric vehicles specifically. For example, each qualified purchaser of the ES8 enjoys subsidies from China’s central government and several local governments. In addition, in certain cities, quotas that limit the number of internal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combustion engine, or ICE, vehicles do not apply to electric vehicles, making it easier for customers to purchase electric vehicles.</w:t>
      </w:r>
    </w:p>
    <w:p>
      <w:pPr>
        <w:spacing w:after="0" w:line="225"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On April 10, 2018, President Xi Jinping vowed to open China’s economy further and lower import tariffs on products including cars, in a speech during the Boao Forum. According to a newly released announcement by the Chinese government, the tariff on imported passenger vehicles (other than those originating in the United States of America) will be reduced to 15% starting from July 1, 2018. As a result, our pricing advantage could be diminished. On June 28, 2018, the National Development and Reform Commission, or NDRC, and the Ministry of Commerce, or the MOFCOM, promulgated the Special Administrative Measures for Market Access of Foreign Investment, or the Negative List, effective on July 28, 2018, under which the limits on foreign ownership of auto manufacturers will be lifted by 2022 for ICE vehicles and in 2018 for NEVs. As a result, foreign EV competitors could build wholly-owned facilities in China without the need for a domestic joint venture partner. For example, Tesla has announced its intention to construct a factory in Shanghai without a joint venture partner. These changes could increase our competition and reduce our pricing advantage.</w:t>
      </w:r>
    </w:p>
    <w:p>
      <w:pPr>
        <w:spacing w:after="0" w:line="19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Our vehicles also benefit from government policies including tariffs on imported cars. However, China’s central government has announced a phase-out schedule for the subsidies provided for purchasers of certain NEVs, which provides that the amount of subsidies provided for purchasers of certain new energy vehicles in 2019 and 2020 will be reduced by 20% as compared to 2017 levels. Any reduction in national subsidies will also lower the maximum local subsidies that can be provided. Furthermore, China’s central government provides certain local governments with funds and subsidies to support the roll out of a charging infrastructure. See “Regulation—Favorable Government Policies Relating to New Energy Vehicles in the PRC.” These policies are subject to change and beyond our control. We cannot assure you that any changes would be favorable to our business. Furthermore, any reduction, elimination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Any of the foregoing could materially and adversely affect our business, results of operations, financial condition and prospects.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vehicles may not perform in line with customer expectations.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vehicles, including the ES8, may not perform in line with customers’ expectations. For example, our vehicles may not have the durability or longevity of other vehicles in the market, and may not be as easy and convenient to repair as other vehicles on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88"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Furthermore, our vehicles may contain defects in design and manufacture that may cause them not to perform as expected or that may require repair. We plan to deliver our vehicles with certain features of our NIO Pilot ADAS system initially disabled and plan to turn on additional features before the end of 2018. We cannot assure you that our NIO Pilot system will ultimately perform in line with expectations. Our vehicles use a substantial amount of software code to operate and software products are inherently complex and often contain defects and errors when first introduced. 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279"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Any delays in the manufacturing and launch of the commercial production vehicles in our pipeline could have a material adverse effect on our business.</w:t>
      </w:r>
    </w:p>
    <w:p>
      <w:pPr>
        <w:spacing w:after="0" w:line="62"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started making deliveries of the ES8 in June 2018, and we are developing our second passenger vehicle, the 5-seater ES6 SUV, which is expected to be delivered in 2019 and we are generally targeting to launch a new model every year in the near future as we ramp up our business. Automobile manufacturers often experience delays in the design, manufacture and commercial release of new vehicle models. We are planning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the ES8, the ES6 or future models, including in the build 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69"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addition, to the extent the Hefei manufacturing plant incurs any operating losses, we have agreed to compensate JAC for such operating losses. As of June 30, 2018, we have paid JAC a total of RMB100 million, including RMB65.1 million as compensation for losses incurred in the second quarter of 2018 and RMB34.9 million as a prepayment for manufacturing and processing fees and potential future losses in the third quarter of 2018, pursuant to a supplemental agreement entered into in June 2018. If we are obligated to compensate JAC for any losses, our results of operations and financial condition may be materially and adversely affected, particularly if such losses are incurred as a result of lower than anticipated sales volume. We expect that our sales volume and the ability of the Hefei manufacturing plant to achieve profitability will be significantly affected by our ability to timely bring new vehicles to market, and in particular, the ES6.</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face challenges providing our charging solutions.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marketed our ability to provide our users with comprehensive charging solutions conveniently accessible using our mobile application. We install home chargers for users where practicable, and provide other solutions including battery swapping, charging through publicly accessible charging infrastructure and charging using our fast charging trucks. Our users are able to use our NIO Power one-click valet charging service where their vehicles are picked up, charged and then returned. We have very limited experience in the actual provision of our charging solutions to users and providing these services is subject to challenges, which include the logistics of rolling out our network and teams in appropriate areas, inadequate capacity or over capacity in certain areas, security risks or risk of damage to vehicles during Power Express valet services and the potential for lack of user acceptance of our services. In addition, although the Chinese government has supported the roll-out of a public charging network, the current number of charging infrastructures is generally considered to be insufficient. We face significant challenges as we roll out our charging solution, including access to sufficient charging infrastructure, obtaining any required permits, land use rights and filings, and, to a certain extent, such roll out is subject to the risk that government support may discontinue.</w:t>
      </w:r>
    </w:p>
    <w:p>
      <w:pPr>
        <w:spacing w:after="0" w:line="17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addition,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reputation and business may be materially and adversely affected.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services may not be generally accepted by our users. If we are unable to provide good customer service, our business and reputation may be materially and adversely affected.</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aim to provide users with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cannot assure you that our services, including our energy package and service package, or our efforts to engage with our users using both our online and offline channels, will be successful, which could impact our revenues as well as our customer satisfaction and marketing.</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servicing will primarily be carried out through third parties certified by us.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173"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ES8, all of which may be cancelled.</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of August 31, 2018, we had unfulfilled reservations for 15,778 ES8s with deposits. Of these reservations, 9,577 consisted of reservations for which only an initial fully refundable deposit of RMB5,000 had been made. Upon signing of the purchase agreement, which is required prior to a vehicle entering into production, the initial RMB5,000 deposit becomes non-refundable and the user must pay an additional RMB40,000 non-refundable deposit. As of August 31, 2018, we had unfulfilled reservations for 6,201 ES8s, for which non-refundable deposits had been made. We have experienced cancellations in the past. Our users may cancel their reservations for many reasons outside of our control.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introduction of the ES8 or future vehicles,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China automotive market is highly competitive. We have strategically entered into this market in the premium EV segment and we expect this segment will become more competitive in the future as additional players enter into this segment. We compete with international competitors, including Tesla. Our vehicles also compete with ICE vehicles in the premium segment.</w:t>
      </w:r>
    </w:p>
    <w:p>
      <w:pPr>
        <w:spacing w:after="0" w:line="181"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expect competition in our industry to intensify in the future in light of increased demand and regulatory push for alternative fuel vehicles, continuing globalization and consolidation in the worldwide automotive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industry. Factors affecting competition include, among others, product quality and features, innovation and development time, pricing, reliability, safety, fuel economy, customer service and financing terms. Increased competition may lead to lower vehicle unit sales and increased inventory, which may result in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cars or services that successfully compete with or surpass the quality or performance of our cars or services at more competitive prices, we may be unable to satisfy existing customers or attract new customers at the prices and levels that would allow us to generate attractive rates of return on our investment.</w:t>
      </w:r>
    </w:p>
    <w:p>
      <w:pPr>
        <w:spacing w:after="0" w:line="17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However, if such competitors begin making deliveries earlier than expected, our competitive advantage could be adversely affected.</w:t>
      </w:r>
    </w:p>
    <w:p>
      <w:pPr>
        <w:spacing w:after="0" w:line="274" w:lineRule="exact"/>
        <w:rPr>
          <w:sz w:val="20"/>
          <w:szCs w:val="20"/>
          <w:color w:val="auto"/>
        </w:rPr>
      </w:pPr>
    </w:p>
    <w:p>
      <w:pPr>
        <w:ind w:left="640" w:right="200"/>
        <w:spacing w:after="0" w:line="375" w:lineRule="auto"/>
        <w:rPr>
          <w:sz w:val="20"/>
          <w:szCs w:val="20"/>
          <w:color w:val="auto"/>
        </w:rPr>
      </w:pPr>
      <w:r>
        <w:rPr>
          <w:rFonts w:ascii="Arial" w:cs="Arial" w:eastAsia="Arial" w:hAnsi="Arial"/>
          <w:sz w:val="15"/>
          <w:szCs w:val="15"/>
          <w:b w:val="1"/>
          <w:bCs w:val="1"/>
          <w:i w:val="1"/>
          <w:iCs w:val="1"/>
          <w:color w:val="auto"/>
        </w:rPr>
        <w:t>Our industry and its technology are rapidly evolving and may be subject to unforeseen changes. Developments in alternative technologies or improvements in the internal combustion engine may materially and adversely affect the demand for our electric vehicles.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operate in China’s electric vehicle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battery cell technology,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8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failure by us to successfully react to changes in existing technologies could materially harm our competitive position and growth prospects.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unable to adequately control the costs associated with our operations.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required significant capital to develop and grow our business, including developing our first volume manufactured vehicle, the ES8 as well as building our brand. We expect to incur significant costs which will impact our profitability, including research and development expenses as we roll out new models and improve existing models, raw material procurement costs and selling and distribution expenses as we build our brand and market our vehicles. In addition, we may incur significant costs in connection with our services, including providing charging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would be materially and adversely affected.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experience cost increases or disruptions in supply of raw materials or other components used in our vehicles.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incur significant costs related to procuring raw materials required to manufacture and assembling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84" w:lineRule="exact"/>
        <w:rPr>
          <w:sz w:val="20"/>
          <w:szCs w:val="20"/>
          <w:color w:val="auto"/>
        </w:rPr>
      </w:pPr>
    </w:p>
    <w:p>
      <w:pPr>
        <w:jc w:val="both"/>
        <w:ind w:left="1060" w:right="52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cell manufacturers to build or operate battery cell manufacturing plants to supply the numbers of lithium-ion cells required to support the growth of the electric or plug-in hybrid vehicle industry as demand for such cells increases;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the battery cell manufacturers;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cost of raw materials, such as lithium, nickel, cobalt, used in lithium-ion cells.</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or impact or prospects.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dependent on our suppliers, many of whom are our single source suppliers for the components they supply.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ES8 uses over 1,700 purchased parts which we source from over 160 suppliers, many of whom are currently our single source suppliers for these components, and we expect that this will be similar for the ES6 and any other future vehicle we may produce. The supply chain exposes us to multiple potential sources of delivery failure or component shortages. While we obtain components from multiple sources whenever possible, similar to other automobile manufacturers, many of the components used in our vehicles are purchased by us from a single source. To date, we have not qualified alternative sources for most of the single sourced components used in our vehicles and we generally do not maintain long-term agreements with our single source suppliers. For example, while several sources of the battery cell we have selected for the ES8 are available, we have fully qualified only one supplier for these cells.</w:t>
      </w:r>
    </w:p>
    <w:p>
      <w:pPr>
        <w:spacing w:after="0" w:line="18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Furthermore, qualifying alternate suppliers or developing our own replacements for certain highly customized components of the ES8, such as the air suspension system and the steering system, may be time consuming and costly.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286" w:lineRule="exact"/>
        <w:rPr>
          <w:sz w:val="20"/>
          <w:szCs w:val="20"/>
          <w:color w:val="auto"/>
        </w:rPr>
      </w:pPr>
    </w:p>
    <w:p>
      <w:pPr>
        <w:ind w:left="640" w:right="440"/>
        <w:spacing w:after="0" w:line="264" w:lineRule="auto"/>
        <w:rPr>
          <w:sz w:val="20"/>
          <w:szCs w:val="20"/>
          <w:color w:val="auto"/>
        </w:rPr>
      </w:pPr>
      <w:r>
        <w:rPr>
          <w:rFonts w:ascii="Arial" w:cs="Arial" w:eastAsia="Arial" w:hAnsi="Arial"/>
          <w:sz w:val="18"/>
          <w:szCs w:val="18"/>
          <w:b w:val="1"/>
          <w:bCs w:val="1"/>
          <w:i w:val="1"/>
          <w:iCs w:val="1"/>
          <w:color w:val="auto"/>
        </w:rPr>
        <w:t>Our business and prospects depend significantly on our ability to build our NIO brand. We may not succeed in continuing to establish, maintain and strengthen the NIO brand, and our brand and reputation could be harmed by negative publicity regarding our company or products.</w:t>
      </w:r>
    </w:p>
    <w:p>
      <w:pPr>
        <w:spacing w:after="0" w:line="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business and prospects are heavily dependent on our ability to develop, maintain and strengthen the “NIO” brand. If we do not continue to establish, maintain and strengthen our brand, we may lose the opportunity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and NIO Houses as well as other branding initiatives such as our annual NIO Day, Formula E team and other automotive shows and events.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spacing w:after="0" w:line="166"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or other partners whether or not such publicity related to their collaboration with us. Our ability to successfully position our brand could also be adversely affected by perceptions about the quality of our partners’ vehicles.</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from time to time, our vehicles are evaluated and reviewed by third parties. Any negative reviews or reviews which compare us unfavorably to competitors could adversely affect consumer perception about our vehicles.</w:t>
      </w:r>
    </w:p>
    <w:p>
      <w:pPr>
        <w:spacing w:after="0" w:line="279" w:lineRule="exact"/>
        <w:rPr>
          <w:sz w:val="20"/>
          <w:szCs w:val="20"/>
          <w:color w:val="auto"/>
        </w:rPr>
      </w:pPr>
    </w:p>
    <w:p>
      <w:pPr>
        <w:ind w:left="640" w:right="62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8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future growth is dependent on the demand for, and upon consumers’ willingness to adopt electric vehicles.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as well.</w:t>
      </w:r>
    </w:p>
    <w:p>
      <w:pPr>
        <w:spacing w:after="0" w:line="181"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Demand for our electric vehicles may also be affected by factors directly impacting automobile price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7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price and other competition, evolving government regulation and industry standards and changing consumer demands and behaviors.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factors that may influence the adoption of alternative fuel vehicles, and specifically electric vehicles, include:</w:t>
      </w:r>
    </w:p>
    <w:p>
      <w:pPr>
        <w:spacing w:after="0" w:line="131" w:lineRule="exact"/>
        <w:rPr>
          <w:sz w:val="20"/>
          <w:szCs w:val="20"/>
          <w:color w:val="auto"/>
        </w:rPr>
      </w:pPr>
    </w:p>
    <w:p>
      <w:pPr>
        <w:ind w:left="1060" w:hanging="424"/>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51" w:lineRule="exact"/>
        <w:rPr>
          <w:rFonts w:ascii="Arial" w:cs="Arial" w:eastAsia="Arial" w:hAnsi="Arial"/>
          <w:sz w:val="17"/>
          <w:szCs w:val="17"/>
          <w:color w:val="auto"/>
        </w:rPr>
      </w:pPr>
    </w:p>
    <w:p>
      <w:pPr>
        <w:ind w:left="1060" w:right="2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vehicle safety in general, in particular safety issues that may be attributed to the use of advanced technology, including electric vehicle and regenerative braking systems;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limited range over which electric vehicles may be driven on a single battery charge and the speed at which batteries can be recharged;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new energy vehicles, including plug-in hybrid electric vehicles;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We depend on revenue generated from a single model of vehicle and in the foreseeable future will be significantly dependent on a limited number of models.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business will initially depend substantially on the sales and success of our ES8, which will be our only volume manufactured vehicle in the market for an extended period of time. We expect to add our second model, the ES6 in 2019, followed by our sedan model, the ET7 in 2020. Historically, automobile customers have come to expect a variety of vehicle models offered in a manufacturer’s fleet and new and improved vehicle models to be introduced frequently. In order to meet these expectations, we plan in the future to introduce on a regular basis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single or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risks related to customer credit.</w:t>
      </w:r>
    </w:p>
    <w:p>
      <w:pPr>
        <w:spacing w:after="0" w:line="117"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We currently provide our users with the option of a battery payment arrangement, where users can make battery payments in installments. For the ES8, there is an RMB100,000 reduction in the purchase price and users adopting this arrangement pay RMB1,280 per month. The monthly installments are payable over 78 months. We are exposed to the creditworthiness of our users since we expect them to make monthly payments for vehicle batteries under the battery payment arrangement. To the extent our users fail to make payments on-time, our results of operations may be adversely affected.</w:t>
      </w:r>
    </w:p>
    <w:p>
      <w:pPr>
        <w:spacing w:after="0" w:line="262"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2"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28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vehicles are subject to motor vehicle standards and the failure to satisfy such mandated safety standards would have a material adverse effect on our business and operating results.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China Compulsory Certification, or CCC, before receiving delivery from the factory, being sold, or being used in any commercial activity, and such certification is also subject to periodic renewal. The ES8 received CCC certification in December 2017. The ES6 and ET7 have not yet undergone CCC certification but must be certified in the future prior to being marketed. The process of obtaining CCC Certification typically requires five to six months. We plan to begin the process of obtaining CCC certification for the ES6 in the fourth quarter of 2018. Furthermore, the government carries out the supervision and scheduled and unscheduled inspection of certified vehicles on a regular basis. In the event that our</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certification fails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imported or used in any commercial activity. Failure by us to have the ES8 or any future model electric vehicle satisfy motor vehicle standards would have a material adverse effect on our business and operating results.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subject to risks associated with autonomous driving technology.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Through NIO Pilot, we will provide enhanced Level 2 autonomous driving functionalities, and through our research and development, we plan to update and improve our autonomous driving technology. Autonomous driving technologies are subject to risks and from time to time there have been accidents associated with such technologies. For example, in March 2018, Tesla indicated that its autopilot system was engaged at the time of a fatal accident and an Uber Technologies Inc. self-driving vehicle struck a pedestrian leading to a fatality. The safety of such technologies depends in part on user interaction and users may not be accustomed to using such technologies. To the extent accidents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297"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may be compelled to undertake product recalls or take other actions, which could adversely affect our brand image and financial performance.</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If our vehicles are subject to recalls in the future, we may be subject to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28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distribution model is different from the predominant current distribution model for automobile manufacturers, which makes evaluating our business, operating results and future prospects difficult.</w:t>
      </w:r>
    </w:p>
    <w:p>
      <w:pPr>
        <w:spacing w:after="0" w:line="62"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Our distribution model is not common in the automotive industry today, particularly in China. We plan to conduct vehicle sales directly to users rather than through dealerships, primarily through our mobile application and NIO Houses. Furthermore, generally all vehicles are made to order. This model of vehicle distribution is relatively new and unproven, especially in China, and subjects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66"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We estimate that if all our current unfulfilled reservations, for 15,778 ES8s as of August 31, 2018, are ultimately converted into orders, we would fulfill such orders within approximately six months following the date of this prospectus. The lead time in fulfilling our initial batch of orders could lead to cancelled orders. In addition, our aim is in the future to manufacture vehicles within 21-28 days from the order date. If we are unable to achieve these targets, our customer satisfaction could be adversely affected, harming our business and reputation.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the seasonality of our business and fluctuations in our operating costs.</w:t>
      </w:r>
    </w:p>
    <w:p>
      <w:pPr>
        <w:spacing w:after="0" w:line="6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operating results may vary significantly from period-to-period due to many factors, including seasonal factors that may have an effect on the demand for our electric vehicles. Demand for new cars in the automotive industry in general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also expect our period-to-period operating results to vary based on our operating costs which we anticipate will increase significantly in future periods as we, among other things, design, develop and manufacture our electric vehicles and electric powertrain components, build and equip new manufacturing facilities to produce such components, open new NIO Houses, increase our sales and marketing activities, and increase our general and administrative functions to support our growing operations.</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274"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auto"/>
        </w:rPr>
        <w:t>If our vehicle owners customize our vehicles or change the charging infrastructure with aftermarket products, the vehicle may not operate properly, which may create negative publicity and could harm our business.</w:t>
      </w:r>
    </w:p>
    <w:p>
      <w:pPr>
        <w:spacing w:after="0" w:line="62"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spacing w:after="0" w:line="266" w:lineRule="exact"/>
        <w:rPr>
          <w:sz w:val="20"/>
          <w:szCs w:val="20"/>
          <w:color w:val="auto"/>
        </w:rPr>
      </w:pPr>
    </w:p>
    <w:p>
      <w:pPr>
        <w:ind w:left="640" w:right="340"/>
        <w:spacing w:after="0" w:line="375" w:lineRule="auto"/>
        <w:rPr>
          <w:sz w:val="20"/>
          <w:szCs w:val="20"/>
          <w:color w:val="auto"/>
        </w:rPr>
      </w:pPr>
      <w:r>
        <w:rPr>
          <w:rFonts w:ascii="Arial" w:cs="Arial" w:eastAsia="Arial" w:hAnsi="Arial"/>
          <w:sz w:val="15"/>
          <w:szCs w:val="15"/>
          <w:b w:val="1"/>
          <w:bCs w:val="1"/>
          <w:i w:val="1"/>
          <w:iCs w:val="1"/>
          <w:color w:val="auto"/>
        </w:rPr>
        <w:t>Our business plans require a significant amount of capital. In addition, our future capital needs may require us to sell additional equity or debt securities that may dilute our shareholders or introduce covenants that may restrict our operations or our ability to pay dividends.</w:t>
      </w:r>
    </w:p>
    <w:p>
      <w:pPr>
        <w:spacing w:after="0" w:line="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will need significant capital to, among other things, conduct research and development and expand our production capacity as well as roll out our charging and servicing network and our NIO Houses. We also expect to require significant capital and incur substantial costs in setting up, equipping and improving our future manufacturing plant in Shanghai, which could potentially face cost overruns. As we ramp up our production capacity and operations we may also require significant capital to maintain our property, plant and equipment and such costs may be greater than anticipated. We currently estimate that our capital expenditures for the next three years, including for improvements and installation of equipment at our own manufacturing facility in Shanghai, research and development and the expansion of our sales and service networks, will be approximately US$1.7 billion, with approximately US$600 million incurred over the twelve months starting from July 2018. We expect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plan to seek equity or debt financing to finance a portion of our capital expenditures. Such financing might not be available to us in a timely manner or on terms that are acceptable, or at all.</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our business as projected, both of which could mean that we would be forced to curtail or discontinue our operations.</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addition, our future capital needs and other business reasons could require us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retain certain information about our users and may be subject to various privacy and consumer protection laws.</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use our vehicles’ electronic systems to log information about each vehicle’s use, such as charge time, battery usage, mileage and driving behavior, in order to aid us in vehicle diagnostics, repair and maintenance, as well as to help us customize and optimize the driving and riding experience.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data breach, restrict our use of such information and hinder our ability to acquire new customers or market to existing customers. If users allege that we have improperly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w:t>
      </w:r>
    </w:p>
    <w:p>
      <w:pPr>
        <w:spacing w:after="0" w:line="30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Failure of information security and privacy concerns could subject us to penalties, damage our reputation and brand, and harm our business and results of operations.</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face significant challenges with respect to information security and privacy, including the storage, transmission and sharing of confidential information. We transmit and store confidential and private information of our car buyers, such as personal information, including names, accounts, user IDs and passwords, and payment or transaction related information.</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required by PRC law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In addition, complying with various laws and regulations could cause us to incur substantial costs or require us to change our business practices, including our data practices, in a manner adverse to our business.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warranty reserves may be insufficient to cover future warranty claims which could adversely affect our financial performance.</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For the initial owner of each ES8, we provide an extended warranty, subject to certain conditions. As require under relevant PRC law, we also provide (i) a bumper to bumper three year or 120,000 kilometers warranty, (ii) for critical EV components (electrical motors, battery and control unit) an eight year or 120,000 kilometers warranty, and (iii) a two year or 50,000 kilometer warranty covering vehicle repair, replacement and refund. Our warranty program is similar to other vehicle manufacturer’s warranty programs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have only recently made initial deliveries of the ES8, we have no experience with warranty claims regarding our vehicles or with estimating warranty reserves. As of July 31, 2018, we had warranty reserves in respect of our vehicles of RMB7.9 million (US$1.2 million). We cannot assure you that such reserves will be sufficient to cover future claims. We could, in the future, become subject to a significant and unexpected warranty claims, resulting in significant expenses, which would in turn materially and adversely affect our results of operations, financial condition and prospects.</w:t>
      </w:r>
    </w:p>
    <w:p>
      <w:pPr>
        <w:spacing w:after="0" w:line="28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patent or trademark infringement claims, which may be time-consuming and would cause us to incur substantial costs.</w:t>
      </w:r>
    </w:p>
    <w:p>
      <w:pPr>
        <w:spacing w:after="0" w:line="62"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more difficult for us to operate our business. From time to time, we may receive communications from holders of patents or trademarks regarding their proprietary rights.</w:t>
      </w:r>
    </w:p>
    <w:p>
      <w:pPr>
        <w:ind w:left="200" w:right="80"/>
        <w:spacing w:after="0" w:line="254" w:lineRule="auto"/>
        <w:rPr>
          <w:sz w:val="20"/>
          <w:szCs w:val="20"/>
          <w:color w:val="auto"/>
        </w:rPr>
      </w:pPr>
      <w:r>
        <w:rPr>
          <w:rFonts w:ascii="Arial" w:cs="Arial" w:eastAsia="Arial" w:hAnsi="Arial"/>
          <w:sz w:val="18"/>
          <w:szCs w:val="18"/>
          <w:color w:val="auto"/>
        </w:rPr>
        <w:t>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 In addition, if we are determined to have infringed upon a third party’s intellectual property rights, we may be required to do one or more of the following:</w:t>
      </w:r>
    </w:p>
    <w:p>
      <w:pPr>
        <w:spacing w:after="0" w:line="95" w:lineRule="exact"/>
        <w:rPr>
          <w:sz w:val="20"/>
          <w:szCs w:val="20"/>
          <w:color w:val="auto"/>
        </w:rPr>
      </w:pPr>
    </w:p>
    <w:p>
      <w:pPr>
        <w:ind w:left="1060" w:right="2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selling, incorporating certain components into, or using vehicles or offering goods or services that incorporate or use the challenged intellectual property;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a license from the holder of the infringed intellectual property right, which license may not be available on reasonable terms or at all;</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our vehicles or other goods or services;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255"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harm our business and competitive position.</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Implementation and enforcement of PRC intellectual property-related laws have historically been deficient and ineffective. Accordingly, protection of intellectual property rights in China may not be as effective as in the United States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287" w:lineRule="exact"/>
        <w:rPr>
          <w:sz w:val="20"/>
          <w:szCs w:val="20"/>
          <w:color w:val="auto"/>
        </w:rPr>
      </w:pPr>
    </w:p>
    <w:p>
      <w:pPr>
        <w:ind w:left="640" w:right="400"/>
        <w:spacing w:after="0" w:line="259" w:lineRule="auto"/>
        <w:rPr>
          <w:sz w:val="20"/>
          <w:szCs w:val="20"/>
          <w:color w:val="auto"/>
        </w:rPr>
      </w:pPr>
      <w:r>
        <w:rPr>
          <w:rFonts w:ascii="Arial" w:cs="Arial" w:eastAsia="Arial" w:hAnsi="Arial"/>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As of July 31, 2018, we had 882 registered patents and 1,989 patent applications pending in Hong Kong, Mainland China, European Union and the United States.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It is also possible that the intellectual property rights of others could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addition, although we have no current acquisition plans,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fail to manage our growth effectively, we may not be able to market and sell our vehicles successfully.</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expanded our operations, and as we ramp up our production, further significant expansion will be required, especially in connection with potential increased sales, providing our users with high-quality servicing, charging solutions, expansion of our NIO House network and managing different models of vehicles. Our future operating results depend to a large extent on our ability to manage this expansion and growth successfully. Risks that we face in undertaking this expansion include, among others:</w:t>
      </w:r>
    </w:p>
    <w:p>
      <w:pPr>
        <w:spacing w:after="0" w:line="92"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a larger organization with a greater number of employees in different divisions;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expenses and investments in anticipation of expanded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new markets and potentially unforeseen challenges as they arise.</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w:t>
      </w:r>
    </w:p>
    <w:p>
      <w:pPr>
        <w:spacing w:after="0" w:line="279" w:lineRule="exact"/>
        <w:rPr>
          <w:sz w:val="20"/>
          <w:szCs w:val="20"/>
          <w:color w:val="auto"/>
        </w:rPr>
      </w:pPr>
    </w:p>
    <w:p>
      <w:pPr>
        <w:ind w:left="640" w:right="4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Prior to this offering, we were a private company with limited accounting personnel and other resources with which to address our internal controls and procedures. Effective internal control over financial reporting is necessary for us to provide reliable financial reports and, together with adequate disclosure controls and procedures, are designed to prevent fraud.</w:t>
      </w:r>
    </w:p>
    <w:p>
      <w:pPr>
        <w:spacing w:after="0" w:line="18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Our internal controls relating to financial reporting have not kept pace with the expansion of our business. Our financial reporting function and system of internal controls are less developed in certain respects than those of similar companies that operate in fewer or more developed markets and may not provide our management with as much or as accurate or timely information.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5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connection with the preparation and external audit of our consolidated financial statements as of and for the years ended December 31, 2016 and 2017, we and PricewaterhouseCoopers Zhong Tian LLP, an independent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registered public accounting firm, noted a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 The material weakness resulted in a significant number of adjustments and amendments to our consolidated financial statements and related disclosures under U.S. GAAP.</w:t>
      </w:r>
    </w:p>
    <w:p>
      <w:pPr>
        <w:spacing w:after="0" w:line="193"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color w:val="auto"/>
        </w:rPr>
        <w:t>As a result of the identification of this material weakness, we plan to take measures to remedy this control deficiency. See “Management’s Discussion and Analysis of Financial Condition and Results of Operations—Internal Control over Financial Reporting.” However, we can give no assurance that our planned remediation will be properly implemented or will be sufficient to eliminate such material weakness or that material weaknesses or significant deficiencies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independent registered public accounting firm has not conducted an audit of our internal control over financial reporting. Our independent registered public accounting firm conducted an audit of our internal control over financial reporting, such accountant might have identified additional material weaknesses and deficiencies. Upon completion of this offering, we will become subject to the Sarbanes-Oxley Act of 2002. Section 404 of the Sarbanes-Oxley Act, or Section 404, will require that we include a report from management on the effectiveness of our internal control over financial reporting in our annual report on Form 20-F beginning with our annual report for the fiscal year ending December 31, 2019.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If our suppliers fail to use ethical business practices and comply with applicable laws and regulations, our brand image could be harmed due to negative publicity.</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results in delayed delivery of our products, product shortages or other disruptions of our operations.</w:t>
      </w:r>
    </w:p>
    <w:p>
      <w:pPr>
        <w:spacing w:after="0" w:line="15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manufacturers in our industry, encounter similar problems in the future, it could harm our brand image, business, prospects, results of operations and financial condition.</w:t>
      </w:r>
    </w:p>
    <w:p>
      <w:pPr>
        <w:spacing w:after="0" w:line="296"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6"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We and JAC have invested and expect to continue to invest significantly in what we believe is state of the art tooling, machinery and other manufacturing equipment for the product lines where ES8 is manufactured, and we depreciate the cost of such equipment over their expected useful lives. However, manufacturing technology may evolve rapidly, and we or JAC may decide to update our manufacturing process with cutting-edge equipment more quickly than expected. Moreover, as our engineering and manufacturing expertise and efficiency increase, we or JAC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297"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construction and operation of our own manufacturing plant in Shanghai or other manufacturing facilities are subject to regulatory approvals and may be subject to delays, cost overruns or may not produce expected benefits.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developing our own manufacturing facility in Shanghai which we expect to be ready by the end of 2020. Such manufacturing facility is currently being constructed by relevant Shanghai authorities. As a result, such construction is largely outside of our control and could experience delays or other difficulties. We are also building phase two of our manufacturing facilities in Nanjing. Construction projects of this scale are subject to risks and will require significant capital. Any failure to complete these projects on schedule and within budget could adversely impact our financial condition, production capacity and results of operations. Under PRC law, construction projects are subject to broad and strict government supervision and approval procedures, including but not limited to project approvals and filings, construction land and project planning approvals, environment protection approvals, the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construction projects in question within a specified time frame, fines or the suspension of use of such projects. Any of the foregoing could have a material adverse impact on our operations.</w:t>
      </w:r>
    </w:p>
    <w:p>
      <w:pPr>
        <w:spacing w:after="0" w:line="16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Furthermore, we expect that the construction of our own vehicle manufacturing facility in Shanghai will facilitate our ability to obtain our own EV manufacturing license and potentially benefit from the NEV credit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score system in the future. There can be no assurance that the completion of such factory will ensure that we will be able to obtain such license. In addition, to the extent we are unable to successfully complete construction on time or at all, our ability to obtain our own EV manufacturing license and potentially benefit from the NEV credit score system could be adversely affected, which in turn could impact our growth prospects.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vehicles make use of lithium-ion battery cells, which have been observed to catch fire or vent smoke and flame.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battery packs that we produce make use of lithium-ion cells. On rare occasions, lithium-ion cells can rapidly release the energy they contain by venting smoke and flames in a manner that can ignite nearby materials as well as other lithium-ion cells. While we have designed the battery pack to passively contain any single cell’s release of energy without spreading to neighboring cells, a field or testing failure of our vehicles or other battery packs that we produce could occur, which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165"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Interruption or failure of our information technology and communications systems could impact our ability to effectively provide our services.</w:t>
      </w:r>
    </w:p>
    <w:p>
      <w:pPr>
        <w:spacing w:after="0" w:line="15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 systems. Our systems are vulnerable to damage or interruption from, among others,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287" w:lineRule="exact"/>
        <w:rPr>
          <w:sz w:val="20"/>
          <w:szCs w:val="20"/>
          <w:color w:val="auto"/>
        </w:rPr>
      </w:pPr>
    </w:p>
    <w:p>
      <w:pPr>
        <w:ind w:left="640" w:right="420"/>
        <w:spacing w:after="0" w:line="340"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3"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We are subject to anti-corruption, anti-bribery, anti-money laundering, financial and economic sanctions and similar laws and regulations in various jurisdictions in which we conduct activities, including the U.S. Foreign Corrupt Practices Act, or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12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78"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262"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Any unauthorized control or manipulation of our vehicles’ systems could result in loss of confidence in us and our vehicles and harm our business.</w:t>
      </w:r>
    </w:p>
    <w:p>
      <w:pPr>
        <w:spacing w:after="0" w:line="62"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spacing w:after="0" w:line="27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Any financial or economic crisis, or perceived threat of such a crisis, including a significant decrease in consumer confidence, may materially and adversely affect our business, financial condition and results of operations.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global financial markets experienced significant disruptions in 2008 and the United States, European and other economies went into recession. The recovery from the lows of 2008 and 2009 was uneven and the global financial markets are facing new challenges, including the escalation of the European sovereign debt crisis since 2011, the hostilities in the Ukraine, the end of quantitative easing by the U.S. Federal Reserve and the economic slowdown in the Eurozone in 2014.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consumer confidence and dramatic changes in business and consumer behaviors.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business could be adversely affected by trade tariffs or other trade barriers.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March 2018, U.S. President Donald J. Trump announced the imposition of tariffs on steel and aluminum entering the United States and in June 2018 announced further tariffs targeting goods imported from China. Recently both China and the U.S. have each imposed tariffs indicating the potential for further trade barriers. Although we do not currently export any products to the United States, it is not yet clear what impact these tariffs may have or what actions other governments, including the Chinese government may take in retaliation. Although we intend to sell our vehicles only in China in the near future, tariffs could potentially impact our raw material prices.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There are uncertainties relating to our chairman’s proposed trust arrangement involving a portion of his shareholding in our company.</w:t>
      </w:r>
    </w:p>
    <w:p>
      <w:pPr>
        <w:spacing w:after="0" w:line="14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Mr. Bin Li, our chairman and chief executive officer, has announced his plan to transfer 50,000,000 shares of our company beneficially owned by him to a trust at an appropriate time after the completion of this offering. He plans to retain the voting rights of these shares and let NIO users discuss and propose how to use the economic interests of these shares, through certain mechanisms to be implemented in the future. Mr. Li hopes this trust arrangement will help deepen our relationship with users. However, there is no specific timeline for the establishment of the trust and the terms of the trust are yet to be determined. Mr. Li may face unforeseen challenges in establishing the trust and determining its terms, which may cause the trust set-up to be delayed or changed. In addition, the mechanisms for letting NIO user discuss on the use of the economic interests of the shares have yet to be implemented. There is no assurance that such mechanisms will be adopted to our users’ satisfaction, or at all. Furthermore, depending on the proposed use of the economic interests of the shares in the future, there could be accounting implications to us, which implications we cannot presently ascertain.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face risks related to natural disasters, health epidemics and other outbreaks, which could significantly disrupt our operations.</w:t>
      </w:r>
    </w:p>
    <w:p>
      <w:pPr>
        <w:spacing w:after="0" w:line="1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business could be adversely affected by the effects of epidemics. In recent years, there have been outbreaks of epidemics in China and globally. Our business operations could be disrupted if any of our employees are suspected of having H1N1 flu, avian flu or another epidemic, since it could require our employees to be quarantined and/or our offices to be disinfected. In addition, our results of operations could be adversely affected to the extent that the outbreak harms the Chinese economy in general.</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b w:val="1"/>
          <w:bCs w:val="1"/>
          <w:i w:val="1"/>
          <w:iCs w:val="1"/>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3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e-commerce) or in a vehicle manufacturer which manufactures the whole vehicle. The Catalogue was amended by the Negative List effective on July 28, 2018, which lifts restrictions on foreign investment in NEVs manufacturers.</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a Cayman Islands company and our PRC subsidiaries are considered foreign-invested enterprises. To comply with the Catalogue, we planned to conduct certain operations in China through certain PRC entities, including NIO New Energy. NIO Co., Ltd. owns 50% equity interests in NIO New Energy. Our founders Bin Li and Lihong Qin, through holding equity interest in Shanghai Anbin Technology Co., Ltd. indirectly own 40% and 10%, respectively, of the equity interests in NIO New Energy. With respect to the 50% equity interests of NIO New Energy indirectly held by the founders, we have entered into a series of contractual arrangements with Shanghai Anbin Technology Co., Ltd., or Shanghai Anbin, and its shareholders, which enable us to (i) ultimately exercise effective control over such 50% equity interests of NIO New Energy, (ii) receive 50% of substantially all of the economic benefits and bear the obligation to absorb 50% of substantially all of the losses of NIO New Energy, and (iii) have an exclusive option to purchase all or part of the equity interests in Shanghai Anbin when and to the extent permitted by PRC laws, as a result of which we will indirectly own all or part of such 50% equity interests in NIO New Energy. Because of the ownership of 50% equity interests of NIO New Energy and these contractual arrangements, we are the primary beneficiary of NIO New Energy and hence consolidate its financial results as our variable interest entity under U.S. GAAP. We have also entered into a series of contractual arrangements with Beijing NIO, and its shareholders, which enable us to hold all the required ICP and related licenses in China. For a detailed description of these contractual arrangements, see “Corporate History and Structure.”</w:t>
      </w:r>
    </w:p>
    <w:p>
      <w:pPr>
        <w:spacing w:after="0" w:line="169"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In the opinion of Han Kun Law Offices, our PRC legal counsel, (i) the ownership structure of NIO Co., Ltd. and our variable interest entities in China, both currently and immediately after giving effect to this offering, does not result in any violation of PRC laws and regulations currently in effect; and (ii) the contractual arrangements between our wholly-owned subsidiary NIO Co., Ltd., our variable interest entities and their shareholders governed by PRC law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It is uncertain whether any new PRC laws or regulations relating to variable interest entity structures will be adopted or if adopted, what they would provide. In particular, the Ministry of Commerce published a discussion draft of a proposed Foreign Investment Law for public review and comments in January 2015 which, if enacted into law, would represent a major change to the laws and regulations relating to variable interest entity structures. See “—Risks Relating to Doing Business in China—Substantial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19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If the ownership structure, contractual arrangements and businesses of our PRC subsidiaries or our variable interest entities are found to be in violation of any existing or future PRC laws or regulations, or our PRC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subsidiaries or our variable interest entities fail to obtain or maintain any of the required permits or approvals, the relevant PRC regulatory authorities would have broad discretion to take action in dealing with such violations or failures, including:</w:t>
      </w:r>
    </w:p>
    <w:p>
      <w:pPr>
        <w:spacing w:after="0" w:line="76"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shutting down our servers or blocking our website, or discontinuing or placing restrictions or onerous conditions on our operation through any transactions between our PRC subsidiaries and variable interest entities;</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variable interest entities, or imposing other requirements with which we or our variable interest entities may not be able to comply;</w:t>
      </w:r>
    </w:p>
    <w:p>
      <w:pPr>
        <w:spacing w:after="0" w:line="75" w:lineRule="exact"/>
        <w:rPr>
          <w:rFonts w:ascii="Arial" w:cs="Arial" w:eastAsia="Arial" w:hAnsi="Arial"/>
          <w:sz w:val="18"/>
          <w:szCs w:val="18"/>
          <w:color w:val="auto"/>
        </w:rPr>
      </w:pPr>
    </w:p>
    <w:p>
      <w:pPr>
        <w:ind w:left="1060" w:right="340" w:hanging="424"/>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variable interest entities and deregistering the equity pledge of our variable interest entities, which in turn would affect our ability to consolidate, derive economic interests from, or exert effective control over our variable interest entities; or</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 and taking other regulatory or enforcement actions that could be harmful to our business.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variable interest entities that most significantly impact its economic performance, and/or our failure to receive the economic benefits from our variable interest entities, we may not be able to consolidate the entities in our consolidated financial statements in accordance with U.S. GAAP.</w:t>
      </w:r>
    </w:p>
    <w:p>
      <w:pPr>
        <w:spacing w:after="0" w:line="26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entities and their shareholders to exercise control over our business, which may not be as effective as direct ownership in providing operational control.</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relied and expect to continue to rely on contractual arrangements with Shanghai Anbin and Beijing NIO and their shareholders to conduct a portion of our operations in China. For a description of these contractual arrangements, see “Corporate History and Structure.” The shareholders of Shanghai Anbin and Beijing NIO may not act in the best interests of our company or may not perform their obligations under these contracts. If we had direct ownership of our VIEs, we would be able to exercise our rights as a shareholder to control our VIEs to excise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 for breach of contract in the event that Shanghai Anbin and Beijing NIO and their shareholders did not perform their obligations under the contracts. These legal remedies may not be as effective as direct ownership in providing us with control over Shanghai Anbin and Beijing NIO.</w:t>
      </w:r>
    </w:p>
    <w:p>
      <w:pPr>
        <w:spacing w:after="0" w:line="17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If Shanghai Anbin or Beijing NIO or their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variable interest entities, and our ability to conduct our business may be negatively affected. See “—Risks Relating to Doing Business in China—Uncertainties in the interpretation and enforcement of PRC laws and regulations could limit the legal protections available to you and us.”</w:t>
      </w:r>
    </w:p>
    <w:p>
      <w:pPr>
        <w:spacing w:after="0" w:line="286" w:lineRule="exact"/>
        <w:rPr>
          <w:sz w:val="20"/>
          <w:szCs w:val="20"/>
          <w:color w:val="auto"/>
        </w:rPr>
      </w:pPr>
    </w:p>
    <w:p>
      <w:pPr>
        <w:ind w:left="640" w:right="700"/>
        <w:spacing w:after="0" w:line="277" w:lineRule="auto"/>
        <w:rPr>
          <w:sz w:val="20"/>
          <w:szCs w:val="20"/>
          <w:color w:val="auto"/>
        </w:rPr>
      </w:pPr>
      <w:r>
        <w:rPr>
          <w:rFonts w:ascii="Arial" w:cs="Arial" w:eastAsia="Arial" w:hAnsi="Arial"/>
          <w:sz w:val="18"/>
          <w:szCs w:val="18"/>
          <w:b w:val="1"/>
          <w:bCs w:val="1"/>
          <w:i w:val="1"/>
          <w:iCs w:val="1"/>
          <w:color w:val="auto"/>
        </w:rPr>
        <w:t>Our ability to enforce the equity pledge agreements between us and our PRC variable interest entities’ shareholders may be subject to limitations based on PRC laws and regulations.</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Pursuant to the equity interest pledge agreements between Shanghai Anbin and Beijing NIO, our variable interest entities, and NIO Co., Ltd., our wholly-owned PRC subsidiary, and the shareholders of Shanghai Anbin and Beijing NIO, each shareholder of Shanghai Anbin and Beijing NIO agrees to pledge its equity interests in Shanghai Anbin and Beijing NIO to our subsidiary to secure Shanghai Anbin and Beijing NIO’s performance of its obligations under the relevant contractual arrangements. The equity interest pledges of shareholders of each of Beijing NIO and Shanghai Anbin under its equity pledge agreement has been registered with the relevant local branch of State Administration for Market Regulation, or the SAMR. In addition, in the registration forms of the local branch of the SAMR for the pledges over the equity interests under the equity interest pledge agreements, the aggregate amount of registered equity interests pledged to NIO Co., Ltd. represents 100% of the registered capital of Shanghai Anbin and Beijing NIO. The equity interest pledge agreements with our variable interest entities’ shareholders provide that the pledged equity interest shall constitute continuing security for any and all of the indebtedness, obligations and liabilities under all of the principal service agreements and the scope of pledge shall not be limited by the amount of the registered capital of that variable interest entity.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283"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entities may have potential conflicts of interest with us, which may materially and adversely affect our business and financial condition.</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Our founders Bin Li and Lihong Qin, owns 80% and 20%, respectively, of the equity interests in our variable interest entities, Shanghai Anbin and Beijing NIO. As shareholders of Shanghai Anbin and Beijing NIO, they may have potential conflicts of interest with us. These shareholders may breach, or cause our variable interest entities to breach, or refuse to renew, the existing contractual arrangements we have with them and our variable interest entities, which would have a material and adverse effect on our ability to effectively control our variable interest entities and receive economic benefits from them. For example, the shareholders may be able to cause our agreements with Shanghai Anbin and Beijing NIO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Currently, we do not have any arrangements to address potential conflicts of interest between these shareholders and our company. Each of Bin Li and Lihong Qin is also a director and executive officer of our company. We rely on Bin Li and Lihong Qin to abide by the laws of the Cayman Islands and China, which provide that directors owe a fiduciary duty to the company that requires them to act in good faith and in what they believe to be the best interests of the company and not to use their position for personal gains. There is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currently no specific and clear guidance under PRC laws that addresses any conflict between PRC laws and laws of Cayman Islands in respect of any conflict relating to corporate governance. If we cannot resolve any conflict of interest or dispute between us and the shareholders of Shanghai Anbin and Beijing NIO, we would have to rely on legal proceedings, which could result in disruption of our business and subject us to substantial uncertainty as to the outcome of any such legal proceedings.</w:t>
      </w:r>
    </w:p>
    <w:p>
      <w:pPr>
        <w:spacing w:after="0" w:line="295"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Our contractual arrangements with our variable interest entities may be subject to scrutiny by the PRC tax authorities and they may determine that we or our variable interest entities owe additional taxes, which could negatively affect our financial condition and the value of your investment.</w:t>
      </w:r>
    </w:p>
    <w:p>
      <w:pPr>
        <w:spacing w:after="0" w:line="73"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w:t>
      </w:r>
    </w:p>
    <w:p>
      <w:pPr>
        <w:ind w:left="200"/>
        <w:spacing w:after="0" w:line="267" w:lineRule="auto"/>
        <w:rPr>
          <w:sz w:val="20"/>
          <w:szCs w:val="20"/>
          <w:color w:val="auto"/>
        </w:rPr>
      </w:pPr>
      <w:r>
        <w:rPr>
          <w:rFonts w:ascii="Arial" w:cs="Arial" w:eastAsia="Arial" w:hAnsi="Arial"/>
          <w:sz w:val="17"/>
          <w:szCs w:val="17"/>
          <w:color w:val="auto"/>
        </w:rPr>
        <w:t>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NIO Co., Ltd., our wholly-owned subsidiary in China, Shanghai Anbin and Beijing NIO, our variable interest entities in China, and Shanghai Anbin and Beijing NIO’s shareholders were not entered into on an arm’s length basis in such a way as to result in an impermissible reduction in taxes under applicable PRC laws, rules and regulations, and adjust Shanghai Anbin and Beijing NIO’s income in the form of a transfer pricing adjustment. A transfer pricing adjustment could, among other things, result in a reduction of expense deductions recorded by Shanghai Anbin and Beijing NIO for PRC tax purposes, which could in turn increase its tax liabilities without reducing NIO Co., Ltd.’s tax expenses. In addition, if NIO Co., Ltd. requests the shareholders of Shanghai Anbin and Beijing NIO to transfer their equity interest in NIO Co., Ltd. at nominal or no value pursuant to the contractual agreements, such transfer could be viewed as a gift and subject NIO Co., Ltd. to PRC income tax. Furthermore, the PRC tax authorities may impose late payment fees and other penalties on Shanghai Anbin and Beijing NIO for the adjusted but unpaid taxes according to the applicable regulations. Our financial position could be materially and adversely affected if any of our variable interest entities’ tax liabilities increase or if it is required to pay late payment fees and other penalties.</w:t>
      </w:r>
    </w:p>
    <w:p>
      <w:pPr>
        <w:spacing w:after="0" w:line="293" w:lineRule="exact"/>
        <w:rPr>
          <w:sz w:val="20"/>
          <w:szCs w:val="20"/>
          <w:color w:val="auto"/>
        </w:rPr>
      </w:pPr>
    </w:p>
    <w:p>
      <w:pPr>
        <w:ind w:left="640" w:right="100"/>
        <w:spacing w:after="0" w:line="308" w:lineRule="auto"/>
        <w:rPr>
          <w:sz w:val="20"/>
          <w:szCs w:val="20"/>
          <w:color w:val="auto"/>
        </w:rPr>
      </w:pPr>
      <w:r>
        <w:rPr>
          <w:rFonts w:ascii="Arial" w:cs="Arial" w:eastAsia="Arial" w:hAnsi="Arial"/>
          <w:sz w:val="17"/>
          <w:szCs w:val="17"/>
          <w:b w:val="1"/>
          <w:bCs w:val="1"/>
          <w:i w:val="1"/>
          <w:iCs w:val="1"/>
          <w:color w:val="auto"/>
        </w:rPr>
        <w:t>We may lose the ability to use and benefit from assets held by our variable interest entities that are material to the operation of our business if either of our variable interest entities goes bankrupt or becomes subject to dissolution or liquidation proceeding.</w:t>
      </w:r>
    </w:p>
    <w:p>
      <w:pPr>
        <w:spacing w:after="0" w:line="38"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As part of our contractual arrangements with our variable interest entities, these entities may in the future hold certain assets that are material to the operation of our business. If either of our variable interest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entities may not, in any manner, sell, transfer, mortgage or dispose of their assets or legal or beneficial interests in the business without our prior consent. If either of our variable interest entities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12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and adverse effect on our business and results of operations.</w:t>
      </w:r>
    </w:p>
    <w:p>
      <w:pPr>
        <w:spacing w:after="0" w:line="6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Substantially all of our revenues are expected to be derived in China in the near future and most of our operations, including all of our manufacturing, is conducted in China. Accordingly, our results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14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300"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operations.</w:t>
      </w:r>
    </w:p>
    <w:p>
      <w:pPr>
        <w:spacing w:after="0" w:line="3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Ministry of Commerce published a discussion draft of the proposed Foreign Investment Law in January 2015. This law, if enacted, would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Among other things, the draft Foreign Investment Law expands the definition of foreign investment and introduces the principle of “actual control” in determining whether a company is considered as a foreign-invested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enterprise. The draft Foreign Investment Law specifically provides that entities established in China but “controlled” by foreign investors will be treated as foreign-invested enterprises. However, a foreign-invested enterprise that is subject to foreign investment restrictions, upon market entry clearance, may apply in writing for being treated as a PRC domestic investment if it is ultimately “controlled” by PRC government authorities and its affiliates and/or PRC citizens. In this connection, “control” is broadly defined in the draft law to cover the following summarized categories: (i) holding 50% or more of the voting rights of the subject entity; (ii) holding less than 50% of the voting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considered to be a foreign-invested enterprise, it may be subject to the foreign investment restrictions or prohibitions set forth in a “negative list” to be separately issued by the State Council later. If a foreign-invested enterprise proposes to conduct business in an industry subject to foreign investment “restrictions” in the “negative list,” the foreign-invested enterprise must go through a market entry clearance by the Ministry of Commerce before being established, and it may not conduct business in an industry subject to foreign investment “prohibitions” in the “negative list.” Unless the underlying business of the foreign-invested enterprise falls within the negative list, which calls for market entry clearance by the Ministry of Commerce or its local counterparts, prior approval from the government authorities as mandated by the existing foreign investment legal regime would no longer be required for establishment of the foreign-invested enterprise.</w:t>
      </w:r>
    </w:p>
    <w:p>
      <w:pPr>
        <w:spacing w:after="0" w:line="18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“variable interest entity” structure has been adopted by many PRC-based companies, including us, to obtain necessary licenses and permits in the industries that are currently subject to foreign investment restrictions in China. See “—Risks Relating to Our Corporate Structure” and “Our Corporate History and Structure.” Under the draft Foreign Investment Law, variable interest entities that are controlled via contractual arrangement would also be deemed as foreign-invested enterprises if they are ultimately “controlled” by foreign investors. Therefore, for any companies with a “variable interest entity” structure in an industry category that is in the “restriction category” on the “negative list,” the “variable interest entity” structure may be deemed legitimate only if the ultimate controlling person(s) is/are of PRC nationality, namely, either PRC companies or PRC citizens. Conversely, if the actual controlling person(s) is/are of foreign nationalities, then the variable interest entities will be treated as foreign-invested enterprises and any operation in the industry category on the “negative list” without market entry clearance may be considered as illegal.</w:t>
      </w:r>
    </w:p>
    <w:p>
      <w:pPr>
        <w:spacing w:after="0" w:line="16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As of the date of this prospectus, no PRC citizen possess or controls more than 50% of the voting power of our company, has the power to secure at least 50% of the seats on our board of directors or has the voting power to exert material influence on the board or our shareholders’ meeting, or has the power to exert decisive influence, via contractual or trust arrangements, over our operations, financial matters or other key aspects of business operations. In the draft Foreign Investment Law, the Ministry of Commerce has not taken a position on what actions must be taken with respect to the existing companies with a “variable interest entity” structure, whether or not these companies are controlled by PRC parties. Moreover, it is uncertain whether the value-added telecommunication service industry, in which our variable interest entities operate, will be subject to the foreign investment restrictions or prohibitions set forth in the “negative list” to be issued. If the enacted version of the Foreign Investment Law and the final “negative list” mandate further actions, such as market entry clearance granted by the Ministry of Commerce, to be completed by companies with existing “variable interest entity” structure like us, we face uncertainties as to whether such clearance can be timely obtained, or at all.</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 investors meeting certain criteria are required to report on a quarterly basis. Any company found to be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non-compliant with these information reporting obligations may potentially be subject to fines and/or administrative or criminal liabilities, and the persons directly responsible may be subject to criminal liabilities.</w:t>
      </w:r>
    </w:p>
    <w:p>
      <w:pPr>
        <w:spacing w:after="0" w:line="279"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regulations on internet-related as well as automotive businesses and companies.</w:t>
      </w:r>
    </w:p>
    <w:p>
      <w:pPr>
        <w:spacing w:after="0" w:line="6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operate in automotive and internet industry, both of which are extensively regulated by the PRC government. For example, the PRC government imposes foreign ownership restriction and the licensing and permit requirements for companies in the internet industry. See “Regulation— Regulation on Foreign Investment in China” and “Regulation—Regulations on Value-added Telecommunications Services.” Recently, the MOFCOM and NDRC promulgated the Negative List, which lifts restrictions on foreign investment on the production of new energy vehicles, effective on July 28, 2018.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6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Currently we rely on the contractual arrangements with Beijing NIO, one of our variable interest entities, to hold an ICP license, and separately own the relevant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Further, any challenge to the validity of these arrangements may significantly disrupt our business, subject us to sanctions, compromise enforceability of our contractual arrangements, or have other harmful effects on us. It is uncertain if Beijing NIO will be required to obtain a separate operating license for certain services carried out by us through our mobile application in addition to the valued-added telecommunications business operating licenses for internet content provision services, and if Beijing NIO will be required to supplement our current ICP license in the future.</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our mobile applications are also regulated by the Administrative Provisions on Mobile Internet Applications Information Services, or the APP Provisions, promulgated by the Cyberspace Administration of China, or the CAC, on June 28, 2016 and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 service suspension or removal of our mobile applications from the relevant mobile application store, which may materially and adversely affect our business and operating results.</w:t>
      </w:r>
    </w:p>
    <w:p>
      <w:pPr>
        <w:spacing w:after="0" w:line="178"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Several PRC regulatory authorities, such as the SAMR, the NDRC, the Ministry of Industry and Information Technology, or the MIIT, and the Ministry of Commerce, or the MOFCOM,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relevant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and application with respect to our business. For example, it remains unclear under PRC laws whether our charging trucks need to be registered with related local traffic management authorities or obtain transportation operation licenses for their services. In addition, the government may enact new laws and regulations that require additional licenses, permits, approvals and/or registrations for the operation of any of our existing or future business. As a result. we cannot assure you that we have all the permits, licenses, registrations and approvals required for our business or that we will be able to obtain, maintain or renew permits, licenses, registrations and approvals in a timely manner or at all.</w:t>
      </w:r>
    </w:p>
    <w:p>
      <w:pPr>
        <w:spacing w:after="0" w:line="266"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June 30, 2018, our variable interest entities had not made appropriations to statutory reserves as our PRC subsidiaries and our variable interest entities reported accumulated loss. For a detailed discussion of applicable PRC regulations governing distribution of dividends, see “Regulation—Regulation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variable interest entities in a manner that would materially and adversely affect their ability to pay dividends and other distributions to us. See “—Risks Relating to Our Corporate Structure—Our contractual arrangements with variable interest entities may be subject to scrutiny by the PRC tax authorities and they may determine that we or our variable interest entities owe additional taxes, which could negatively affect our financial condition and the value of your investment.”</w:t>
      </w:r>
    </w:p>
    <w:p>
      <w:pPr>
        <w:spacing w:after="0" w:line="18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295"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adopted share incentive plans in 2015, 2016 and 2017, which we refer to as the 2015 Plan, the 2016 Plan and the 2017 Plan, respectively, in this prospectus, for the purpose of granting share-based compensation awards to employees, directors and consultants to incentivize their performance and align their interests with ours.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As of June 30, 2018, awards to purchase an aggregate amount of 88,939,542 Class A ordinary shares under our three stock incentive plans have been granted and are outstanding, excluding awards that were forfeited or cancelled after the relevant grant dates. As a result, a number of awards will become exercisable once we complete this offering, and we will then record a significant share-based compensation expense on the completion date of this offering. As of June 30, 2018, our unrecognized share-based compensation expenses, net of estimated forfeitures, amounted to RMB735.7 million (US$111.2 million).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280" w:lineRule="exact"/>
        <w:rPr>
          <w:sz w:val="20"/>
          <w:szCs w:val="20"/>
          <w:color w:val="auto"/>
        </w:rPr>
      </w:pPr>
    </w:p>
    <w:p>
      <w:pPr>
        <w:ind w:left="640" w:right="720"/>
        <w:spacing w:after="0" w:line="277" w:lineRule="auto"/>
        <w:rPr>
          <w:sz w:val="20"/>
          <w:szCs w:val="20"/>
          <w:color w:val="auto"/>
        </w:rPr>
      </w:pPr>
      <w:r>
        <w:rPr>
          <w:rFonts w:ascii="Arial" w:cs="Arial" w:eastAsia="Arial" w:hAnsi="Arial"/>
          <w:sz w:val="18"/>
          <w:szCs w:val="18"/>
          <w:b w:val="1"/>
          <w:bCs w:val="1"/>
          <w:i w:val="1"/>
          <w:iCs w:val="1"/>
          <w:color w:val="auto"/>
        </w:rPr>
        <w:t>Increases in labor costs and enforcement of stricter labor laws and regulations in the PRC may adversely affect our business and our profitability.</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18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October 2010, the Standing Committee of the National People’s Congress promulgated the PRC Social Insurance Law, which came into effect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VIEs that do not hire any employees and are not a party to any employment agreement, have not applied for and obtained such registration, and instead of paying the social insurance payment on their own for their employees, certain of our PRC subsidiaries and VIEs use third-party agencies to pay in the name of such agency. We could be subject to orders by the competent labor authorities for rectification and failure to comply with the orders may further subject us to administrative fines.</w:t>
      </w:r>
    </w:p>
    <w:p>
      <w:pPr>
        <w:spacing w:after="0" w:line="16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Fluctuations in exchange rates could have a material and adverse effect on our results of operations and the value of your investment.</w:t>
      </w:r>
    </w:p>
    <w:p>
      <w:pPr>
        <w:spacing w:after="0" w:line="14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In the fourth quarter of 2016, the Renminbi depreciated significantly in the backdrop of a surging U.S. dollar and persistent capital outflows of China. The Renminbi appreciated approximately 10% against the U.S. dollar in 2017, reversing three consecutive years of depreciation. In the first quarter of 2018, the Renminbi continued to appreciate. However, the RMB has depreciated significantly in the second and third quarter of 2018. With the development of the foreign exchange market and progress towards interest rate liberalization and Renminbi internationalization, the PRC government may in the future announce further changes to the exchange rate system and the Renminbi could appreciate or depreciate significantly in value against the U.S. dollar in the future. It is difficult to predict how market forces or PRC or U.S. government policy may impact the exchange rate between Renminbi and the U.S. dollar in the future.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this initial public offering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81" w:lineRule="exact"/>
        <w:rPr>
          <w:sz w:val="20"/>
          <w:szCs w:val="20"/>
          <w:color w:val="auto"/>
        </w:rPr>
      </w:pPr>
    </w:p>
    <w:p>
      <w:pPr>
        <w:ind w:left="640" w:right="54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7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Under PRC laws and regulations, we are permitted to utilize the proceeds from this offering to fund our PRC subsidiaries by making loans to or additional capital contributions to our PRC subsidiaries, subject to applicable government registration, statutory limitations on amount and approval requirements. For more details, see “Regulation—Regulations on Foreign Exchange.” These PRC laws and regulations may significantly limit our ability to use Renminbi converted from the net proceeds of this offering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December 26, 2017, the NDRC issued the Management Rules for Overseas Investment by Enterprises, or Order 11. On February 11, 2018, the Catalog on Overseas Investment in Sensitive Industries (2018 Edition), or the Sensitive Industries List was promulgated. Overseas investment governed by Order 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USD300 million requires approval from, or filing with, NDRC respectively, and for those non-sensitive investments indirectly by Chinese investors (including PRC individuals) with investment amount over USD300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Governmental control of currency conversion may limit our ability to utilize our revenues effectively and affect the value of your investment.</w:t>
      </w:r>
    </w:p>
    <w:p>
      <w:pPr>
        <w:spacing w:after="0" w:line="15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See “Regulation—Regulations on Foreign Exchange.”</w:t>
      </w:r>
    </w:p>
    <w:p>
      <w:pPr>
        <w:spacing w:after="0" w:line="17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ind w:left="640" w:right="60"/>
        <w:spacing w:after="0" w:line="375" w:lineRule="auto"/>
        <w:rPr>
          <w:sz w:val="20"/>
          <w:szCs w:val="20"/>
          <w:color w:val="auto"/>
        </w:rPr>
      </w:pPr>
      <w:r>
        <w:rPr>
          <w:rFonts w:ascii="Arial" w:cs="Arial" w:eastAsia="Arial" w:hAnsi="Arial"/>
          <w:sz w:val="15"/>
          <w:szCs w:val="15"/>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“Regulation—Regulations on Foreign Exchange—Offshore Investment.”</w:t>
      </w:r>
    </w:p>
    <w:p>
      <w:pPr>
        <w:spacing w:after="0" w:line="18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297"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3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PRC domestic enterprise. In addition, the Anti-Monopoly Law requires that the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9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Under SAFE regulations, PRC residents who participate in a stock incentive plan in an overseas publicly listed company are required to register with SAFE or its local branches and complete certain other procedures. See “Regulation—Regulations on Employment and Social Welfare—Employee Stock Incentive Plan.” We and our PRC resident employees who participate in our share incentive plans will be subject to these regulations when our company becomes publicly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28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PRC subsidiaries currently benefit from a number of preferential tax treatments. For example, our subsidiary, NIO Co., Ltd., is entitled to enjoy, after completing certain application formalities, a 15% preferential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enterprise income tax from 2018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4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addition, our PRC subsidiaries have received various financial subsidies from PRC local government authorities. The financial subsidies result from discretionary incentives and policies adopted by PRC local government authorities. For example, our subsidiary, XPT (Nanjing) E-Powertrain Technology Co., Ltd., has received subsidies of an aggregate of RMB33.1 million for the phase I construction of the Nanjing Advanced Manufacturing Engineering Center.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266" w:lineRule="exact"/>
        <w:rPr>
          <w:sz w:val="20"/>
          <w:szCs w:val="20"/>
          <w:color w:val="auto"/>
        </w:rPr>
      </w:pPr>
    </w:p>
    <w:p>
      <w:pPr>
        <w:ind w:left="640" w:right="100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our ADSs or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“Taxation— People’s Republic of China Taxation.” As of June 30, 2018, our subsidiaries and variable interest entities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14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In February 2015, the State Administration of Taxation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3"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0" w:lineRule="exact"/>
        <w:rPr>
          <w:sz w:val="20"/>
          <w:szCs w:val="20"/>
          <w:color w:val="auto"/>
        </w:rPr>
      </w:pPr>
    </w:p>
    <w:p>
      <w:pPr>
        <w:ind w:left="640" w:right="60"/>
        <w:spacing w:after="0" w:line="375" w:lineRule="auto"/>
        <w:rPr>
          <w:sz w:val="20"/>
          <w:szCs w:val="20"/>
          <w:color w:val="auto"/>
        </w:rPr>
      </w:pPr>
      <w:r>
        <w:rPr>
          <w:rFonts w:ascii="Arial" w:cs="Arial" w:eastAsia="Arial" w:hAnsi="Arial"/>
          <w:sz w:val="15"/>
          <w:szCs w:val="15"/>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Under PRC law, legal documents for corporate transactions are executed using the chops or seal of the signing entity or with the signature of a legal representative whose designation is registered and filed with the relevant branch of the SAMR.</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usually utilize chops to enter into contracts, the designated legal representatives of each of our PRC subsidiaries, variable interest entities and their subsidiaries have the apparent authority to enter into contracts on behalf of such entities without chops and bind such entities. All designated legal representatives of our PRC subsidiaries, variable interest entities and their subsidiaries are members of our senior management team who have signed employment agreements with us or our PRC subsidiaries, variable interest entities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entities or their subsidiaries, we or our PRC subsidiaries, variable interest entities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7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affected by such defects challenged, which could cause significant disruption to our business.</w:t>
      </w:r>
    </w:p>
    <w:p>
      <w:pPr>
        <w:spacing w:after="0" w:line="62"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Under PRC laws, all lease agreements are required to be registered with the local housing authorities. We presently lease several premises in China, some of which the landlords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28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our investors are deprived of the benefits of such inspection.</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independent registered public accounting firm that issues the audit report included in this prospectus,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our auditors are not currently inspected by the PCAOB.</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289" w:lineRule="exact"/>
        <w:rPr>
          <w:sz w:val="20"/>
          <w:szCs w:val="20"/>
          <w:color w:val="auto"/>
        </w:rPr>
      </w:pPr>
    </w:p>
    <w:p>
      <w:pPr>
        <w:ind w:left="640" w:right="30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16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January 2014, the administrative judge reached an initial decision, or the Initial Decision, that the Chinese affiliates of “big four” accounting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87"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In February 2015, the Chinese affiliates of the “big four”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If future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document productions fail to meet the specified criteria, the SEC retains the authority to impose a variety of additional measures (e.g., imposing penalties such as suspensions, restarting the administrative proceedings).</w:t>
      </w:r>
    </w:p>
    <w:p>
      <w:pPr>
        <w:spacing w:after="0" w:line="17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ADSs and This Offering</w:t>
      </w:r>
    </w:p>
    <w:p>
      <w:pPr>
        <w:spacing w:after="0" w:line="229"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Class A ordinary shares or our ADSs may not develop and the trading price for our ADSs may fluctuate significantly.</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applied to list our ADSs on the New York Stock Exchange. Prior to the completion of this offering, there has been no public market for our ADSs or our Class A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8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the following:</w:t>
      </w:r>
    </w:p>
    <w:p>
      <w:pPr>
        <w:spacing w:after="0" w:line="76"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revenues, earnings and cash flow;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left="640" w:right="160"/>
        <w:spacing w:after="0" w:line="308" w:lineRule="auto"/>
        <w:rPr>
          <w:sz w:val="20"/>
          <w:szCs w:val="20"/>
          <w:color w:val="auto"/>
        </w:rPr>
      </w:pPr>
      <w:r>
        <w:rPr>
          <w:rFonts w:ascii="Arial" w:cs="Arial" w:eastAsia="Arial" w:hAnsi="Arial"/>
          <w:sz w:val="17"/>
          <w:szCs w:val="17"/>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3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or Class C ordinary share is convertible into one Class A ordinary share, whereas Class A ordinary shares are not convertible into Class B ordinary shares or Class C ordinary shares under any circumstances. Upon any transfer of Class B ordinary shares or Class C ordinary shares by a holder thereof to any person or entity which is not an affiliate of such holder, such Class B ordinary shares or Class C ordinary shares are automatically and immediately converted into the equal number of Class A ordinary shares.</w:t>
      </w:r>
    </w:p>
    <w:p>
      <w:pPr>
        <w:spacing w:after="0" w:line="178"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Upon completion of the Offering, Mr. Bin Li, our chairman and chief executive officer, together with his affiliates, will beneficially own all of our issued Class C ordinary shares. The Tencent entities will beneficially own all of our issued Class B ordinary shares. Due to the disparate voting powers associated with our triple classes of ordinary shares, Mr. Li and Tencent entities will have considerable influence over important corporate matters. Following the completion of this offering, Mr. Li will beneficially own 48.3% of the aggregate voting power of our company, assuming that the underwriters do not exercise their over-allotment option, through mobike Global Ltd. and Originalwish Limited, companies wholly owned by Mr. Li, whereas Tencent entities will beneficially own 21.5% of the aggregate voting power of our company through Mount Putuo Investment Limited, Image Frame Investment (HK) Limited and TPP Follow-on I Holding D Limited. After this offering, Mr. Li and Tencent entities will continue to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160,000,000 ADSs (equivalent to 160,000,000 Class A ordinary shares) outstanding immediately after this offering, or 184,000,000 ADSs (equivalent to 184,000,000 Class A ordinary shares) if the underwriters exercise their option to purchase additional ADSs in full. In connection with this offering, we, our officers, directors and existing shareholders have agreed not to sell any of our Class A ordinary shares or ADSs or are otherwise subject to similar lockup restrictions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96"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If you purchase ADSs in this offering, you will pay more for each ADS than the corresponding amount paid by existing shareholders for their ordinary shares. As a result, you will experience immediate and substantial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dilution of approximately US$5.25 per ADS (assuming that no outstanding options to acquire Class A ordinary shares are exercised). This number represents the difference between (1) our pro forma net tangible book value per ADS of US$1.07 as of June 30, 2018, after giving effect to this offering and (2) the assumed initial public offering price of US$7.25 per ADS, the midpoint of the estimated initial public offering price range set forth on the front cover of this prospectus. See “Dilution” for a more complete description of how the value of your investment in our ADSs will be diluted upon the completion of this offering.</w:t>
      </w:r>
    </w:p>
    <w:p>
      <w:pPr>
        <w:spacing w:after="0" w:line="296"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2"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non-U.S. corporation will be classified as a passive foreign investment company, or PFIC, for any taxable year if either (1) at least 75% of its gross income for such year consists of certain types of “passive” income; or (2) at least 50% of the value of its assets (based on an average of the quarterly values of the assets) during such year is attributable to assets that produce passive income or are held for the production of passive income. Based on our current and expected income and assets (taking into account the expected cash proceeds and our anticipated market capitalization following this offering), we do not presently expect to be a PFIC for the current taxable year or the foreseeable future. However, no assurance can be given in this regard because the determination of whether we are or will become a PFIC is a fact-intensive inquiry made on an annual basis that depends, in part, upon the composition of our income and assets. Fluctuations in the market price of our ADSs may cause us to become a PFIC for the current or subsequent taxable years because the value of our assets for the purpose of the second part of the test described above may be determined by reference to the market price of our ADSs. The composition of our income and assets may also be affected by how, and how quickly, we use our liquid assets and the cash raised in this offering.</w:t>
      </w:r>
    </w:p>
    <w:p>
      <w:pPr>
        <w:spacing w:after="0" w:line="17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If we were to be or become a PFIC for any taxable year during which a U.S. Holder (as defined in “Taxation—United States Federal Income Tax Considerations”) holds our ADSs or Class A ordinary shares, certain adverse U.S. federal income tax consequences could apply to such U.S. Holder. See “Taxation—United States Federal Income Tax Considerations—Passive Foreign Investment Company Rules.”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approval of the China Securities Regulatory Commission may be required in connection with this offering under PRC law.</w:t>
      </w:r>
    </w:p>
    <w:p>
      <w:pPr>
        <w:spacing w:after="0" w:line="1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M&amp;A Rules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how long it will take us to obtain the approval and any failure to obtain or delay in obtaining CSRC approval for this offering would subject us to sanctions imposed by the CSRC and other PRC regulatory agencies, which could include fines and penalties on our operations in China, restrictions or limitations on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ability to pay dividends outside of China, and other forms of sanctions that may materially and adversely affect our business, results of operations and financial condition.</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Our PRC counsel, Han Kun Law Offices, has advised us that, based on its understanding of the current PRC laws and regulations, we will not be required to submit an application to the CSRC for the approval of the listing and trading of our ADSs on the New York Stock Exchange because (i) the CSRC currently has not issued any definitive rule or interpretation concerning whether offerings like ours under this prospectus are subject to this regulation, (ii) the Company established the NIO Co., Ltd., Shanghai NIO Sales and Services Co., Ltd., NIO Energy Investment (Hubei) Co., Ltd., XPT Investment Co., Ltd. and Shanghai XPT Technology Limited, as foreign-invested enterprises by means of direct investment and not through a merger or requisition of the equity or assets of a “PRC domestic company” as such term is defined under the M&amp;A Rule, and (iii) no provision in this regulation clearly classifies contractual arrangements as a type of transaction subject to its regulation. However, we cannot assure you that relevant PRC government agencies, including the CSRC, would reach the same conclusion as our PRC counsel, and hence we may face regulatory actions or other sanctions from the CSRC or other PRC regulatory agencies. These regulatory agencies may impose fines and penalties on our operations in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301"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6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We will adopt amended and restated memorandum and articles of association that will become effective immediately prior to the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responsibilities of our directors to us under Cayman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spacing w:after="0" w:line="166"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88"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a Cayman Islands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ind w:left="640" w:right="8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8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auto"/>
        </w:rPr>
      </w:pPr>
    </w:p>
    <w:p>
      <w:pPr>
        <w:ind w:left="1060" w:right="2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6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266"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As a holder of our ADSs, you will only be able to exercise the voting rights with respect to the underlying Class A ordinary shares in accordance with the deposit agreement. Under the deposit agreement, you must vote by giving voting instructions to the depositary. Upon receipt of your voting instructions, the depositary will vote the underlying Class A ordinary shares in accordance with these instructions. You will not be able to directly exercise your right to vote with respect to the underlying shares unless you withdraw the shares. Under our amended and restated memorandum and articles of association that will become effective immediately prior to the completion of this offering, the minimum notice period required for convening a general meeting is 14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1"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76"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71"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federal securities laws in federal courts.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96"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depositary of our ADSs has agreed to pay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 particularly after we cease to qualify as an “emerging growth company.”</w:t>
      </w:r>
    </w:p>
    <w:p>
      <w:pPr>
        <w:spacing w:after="0" w:line="15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New York Stock Exchange, impose various requirements on the corporate governance practices of public companies. As a company with less than US$1.07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However, we have elected to “opt out” of the provision that allow us to delay adopting new or revised accounting standards and, as a result, we will comply with new or revised accounting standards as required when they are adopted for public companies. This decision to opt out of the extended transition period under the JOBS Act is irrevocable.</w:t>
      </w:r>
    </w:p>
    <w:p>
      <w:pPr>
        <w:spacing w:after="0" w:line="16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expected growth of the electric vehicles industry in China;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customers, contract manufacturers, component suppliers, third-party service providers, strategic partners and other stakeholders;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our industry;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8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estimate that we will receive net proceeds from this offering of approximately US$1,106.9 million, or approximately US$1,274.0 million if the underwriters exercise their over-allotment option in full, after deducting underwriting discounts and commissions and the estimated offering expenses payable by us. These estimates are based upon an assumed initial public offering price of US$7.25 per ADS, which is the midpoint of the price range shown on the front page of this prospectus. A US$1.00 increase (decrease) in the assumed initial public offering price of US$7.25 per ADS would increase (decrease) the net proceeds to us from this offering by US$153.6 million, assuming the number of ADSs offered by us, as set forth on the front cover of this prospectus, remains the same and after deducting the estimated underwriting discounts and commissions and estimated expenses payable by us.</w:t>
      </w:r>
    </w:p>
    <w:p>
      <w:pPr>
        <w:spacing w:after="0" w:line="18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5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 of the net proceeds (approximately US$442.8 million) for research and development of products, services and technology;</w:t>
      </w:r>
    </w:p>
    <w:p>
      <w:pPr>
        <w:spacing w:after="0" w:line="130"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of the net proceeds (approximately US$276.7 million) for selling and marketing and development of sales channels, including NIO Houses;</w:t>
      </w:r>
    </w:p>
    <w:p>
      <w:pPr>
        <w:spacing w:after="0" w:line="75" w:lineRule="exact"/>
        <w:rPr>
          <w:rFonts w:ascii="Arial" w:cs="Arial" w:eastAsia="Arial" w:hAnsi="Arial"/>
          <w:sz w:val="18"/>
          <w:szCs w:val="18"/>
          <w:color w:val="auto"/>
        </w:rPr>
      </w:pPr>
    </w:p>
    <w:p>
      <w:pPr>
        <w:ind w:left="1060" w:right="40" w:hanging="424"/>
        <w:spacing w:after="0" w:line="297"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 of the net proceeds (approximately US$276.7 million) for the development of our manufacturing facilities and the roll-out of our supply chain. We estimate that total capital expenditures in connection with the improvements and installation of equipment at our Shanghai manufacturing facility will be approximately US$650 million. Half of such expenditures are expected to be financed through net proceeds from this offering, cash on hand obtained through prior equity financing and cash from sales of vehicles, and the other half are expected to be financed through interest-free or low-interest debt financing supported by the relevant Shanghai governmental entities; and</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of the net proceeds (approximately US$110.7 million) for general corporate purposes and working capital.</w:t>
      </w:r>
    </w:p>
    <w:p>
      <w:pPr>
        <w:spacing w:after="0" w:line="22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Risks Relating to Our ADSs and This Offering—We have not determined a specific use for a portion of the net proceeds from this offering and we may use these proceeds in ways with which you may not agree.”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Pending any use described above, we plan to invest the net proceeds in short-term, interest-bearing, debt instruments or demand deposits.</w:t>
      </w:r>
    </w:p>
    <w:p>
      <w:pPr>
        <w:spacing w:after="0" w:line="23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using the proceeds of this offering, we are permitted under PRC laws and regulations as an offshore holding company to provide funding to our PRC subsidiaries only through loans or capital contributions and to our variable interest entities only through loans, subject to satisfaction of applicable government registration and approval requirements. We cannot assure you that we will be able to obtain these government registrations or approvals on a timely basis, if at all. See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this offering, the payment of dividends will be at the discretion of our board of directors,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“Regulation—Regulation on Dividend Distributions.”</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capitalization as of June 30, 2018:</w:t>
      </w:r>
    </w:p>
    <w:p>
      <w:pPr>
        <w:spacing w:after="0" w:line="131"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issued and outstanding preferred shares into ordinary shares on a one-for-one basis upon the completion of this offering; and</w:t>
      </w:r>
    </w:p>
    <w:p>
      <w:pPr>
        <w:spacing w:after="0" w:line="75" w:lineRule="exact"/>
        <w:rPr>
          <w:rFonts w:ascii="Arial" w:cs="Arial" w:eastAsia="Arial" w:hAnsi="Arial"/>
          <w:sz w:val="18"/>
          <w:szCs w:val="18"/>
          <w:color w:val="auto"/>
        </w:rPr>
      </w:pPr>
    </w:p>
    <w:p>
      <w:pPr>
        <w:ind w:left="1060" w:right="20" w:hanging="424"/>
        <w:spacing w:after="0" w:line="297"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issued and outstanding ordinary shares and preferred shares into ordinary shares on a one-for-one basis upon the completion of this offering and (ii) the sale of 160,000,000 Class A ordinary shares in the form of ADSs by us in this offering at an assumed initial public offering price of US$7.25 per ADS, which is the midpoint of the estimated range of the initial public offering price shown on the front cover of this prospectus, after deducting the underwriting discounts and commissions and estimated offering expenses payable by us, assuming the underwriters do not exercise over-allotment option.</w:t>
      </w:r>
    </w:p>
    <w:p>
      <w:pPr>
        <w:spacing w:after="0" w:line="15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As of June 30, 2018</w:t>
            </w: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Pro forma</w:t>
            </w:r>
          </w:p>
        </w:tc>
        <w:tc>
          <w:tcPr>
            <w:tcW w:w="1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RMB</w:t>
            </w:r>
          </w:p>
        </w:tc>
        <w:tc>
          <w:tcPr>
            <w:tcW w:w="9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USD</w:t>
            </w:r>
          </w:p>
        </w:tc>
        <w:tc>
          <w:tcPr>
            <w:tcW w:w="1660" w:type="dxa"/>
            <w:vAlign w:val="bottom"/>
            <w:gridSpan w:val="3"/>
            <w:vMerge w:val="continue"/>
          </w:tcPr>
          <w:p>
            <w:pPr>
              <w:spacing w:after="0"/>
              <w:rPr>
                <w:sz w:val="14"/>
                <w:szCs w:val="1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USD</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Accruals and Other Liabilities: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Arial" w:cs="Arial" w:eastAsia="Arial" w:hAnsi="Arial"/>
                <w:sz w:val="15"/>
                <w:szCs w:val="15"/>
                <w:color w:val="auto"/>
              </w:rPr>
              <w:t>Accruals and other liabilities</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2,218,926</w:t>
            </w:r>
          </w:p>
        </w:tc>
        <w:tc>
          <w:tcPr>
            <w:tcW w:w="9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335,331</w:t>
            </w: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305,290</w:t>
            </w:r>
          </w:p>
        </w:tc>
        <w:tc>
          <w:tcPr>
            <w:tcW w:w="160" w:type="dxa"/>
            <w:vAlign w:val="bottom"/>
          </w:tcPr>
          <w:p>
            <w:pPr>
              <w:spacing w:after="0"/>
              <w:rPr>
                <w:sz w:val="14"/>
                <w:szCs w:val="14"/>
                <w:color w:val="auto"/>
              </w:rPr>
            </w:pP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305,290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accruals and other liabilities</w:t>
            </w:r>
          </w:p>
        </w:tc>
        <w:tc>
          <w:tcPr>
            <w:tcW w:w="92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2,218,926</w:t>
            </w:r>
          </w:p>
        </w:tc>
        <w:tc>
          <w:tcPr>
            <w:tcW w:w="9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335,331</w:t>
            </w: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305,290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305,290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Mezzanine Equity:</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9"/>
              </w:rPr>
              <w:t>Series A-1 and A-2 convertible redeemable preferred shares (USD0.00025 par value;</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3"/>
              </w:rPr>
              <w:t>295,000,000 authorized, issued and outstanding as of December 31, 2017 and June 30,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8,863,640</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1,339,505</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00"/>
              <w:spacing w:after="0" w:line="149" w:lineRule="exact"/>
              <w:rPr>
                <w:sz w:val="20"/>
                <w:szCs w:val="20"/>
                <w:color w:val="auto"/>
              </w:rPr>
            </w:pPr>
            <w:r>
              <w:rPr>
                <w:rFonts w:ascii="Arial" w:cs="Arial" w:eastAsia="Arial" w:hAnsi="Arial"/>
                <w:sz w:val="15"/>
                <w:szCs w:val="15"/>
                <w:color w:val="auto"/>
                <w:w w:val="95"/>
              </w:rPr>
              <w:t>Series A-3 convertible redeemable preferred shares (USD0.00025 par value; 31,720,364</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440"/>
              <w:spacing w:after="0" w:line="162" w:lineRule="exact"/>
              <w:rPr>
                <w:sz w:val="20"/>
                <w:szCs w:val="20"/>
                <w:color w:val="auto"/>
              </w:rPr>
            </w:pPr>
            <w:r>
              <w:rPr>
                <w:rFonts w:ascii="Arial" w:cs="Arial" w:eastAsia="Arial" w:hAnsi="Arial"/>
                <w:sz w:val="15"/>
                <w:szCs w:val="15"/>
                <w:color w:val="auto"/>
                <w:w w:val="95"/>
              </w:rPr>
              <w:t>authorized, 24,210,431 issued and outstanding as of December 31, 2017 and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735,470</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111,147</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Series B convertible redeemable preferred shares (USD0.00025 par value; 114,867,321</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8"/>
              </w:rPr>
              <w:t>authorized, issued and outstanding as of December 31, 2017 and June 30, 2018; no</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3,584,015</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541,629</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00"/>
              <w:spacing w:after="0" w:line="149" w:lineRule="exact"/>
              <w:rPr>
                <w:sz w:val="20"/>
                <w:szCs w:val="20"/>
                <w:color w:val="auto"/>
              </w:rPr>
            </w:pPr>
            <w:r>
              <w:rPr>
                <w:rFonts w:ascii="Arial" w:cs="Arial" w:eastAsia="Arial" w:hAnsi="Arial"/>
                <w:sz w:val="15"/>
                <w:szCs w:val="15"/>
                <w:color w:val="auto"/>
                <w:w w:val="96"/>
              </w:rPr>
              <w:t>Series C convertible redeemable preferred shares (USD0.00025 par value; 167,142,990</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440"/>
              <w:spacing w:after="0" w:line="162" w:lineRule="exact"/>
              <w:rPr>
                <w:sz w:val="20"/>
                <w:szCs w:val="20"/>
                <w:color w:val="auto"/>
              </w:rPr>
            </w:pPr>
            <w:r>
              <w:rPr>
                <w:rFonts w:ascii="Arial" w:cs="Arial" w:eastAsia="Arial" w:hAnsi="Arial"/>
                <w:sz w:val="15"/>
                <w:szCs w:val="15"/>
                <w:color w:val="auto"/>
                <w:w w:val="93"/>
              </w:rPr>
              <w:t>authorized, 166,205,830 issued and outstanding as of December 31, 2017 and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5,501,198</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831,361</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Series D convertible redeemable preferred shares (USD0.00025 par value; 240,000,000</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3"/>
              </w:rPr>
              <w:t>authorized, 213,585,003 issued and outstanding as of December 31, 2017 and June 30,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7,796,397</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1,178,220</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Arial" w:cs="Arial" w:eastAsia="Arial" w:hAnsi="Arial"/>
                <w:sz w:val="15"/>
                <w:szCs w:val="15"/>
                <w:color w:val="auto"/>
              </w:rPr>
              <w:t>Redeemable non-controlling interests</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1,124,900</w:t>
            </w:r>
          </w:p>
        </w:tc>
        <w:tc>
          <w:tcPr>
            <w:tcW w:w="9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169,999</w:t>
            </w: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169,999</w:t>
            </w:r>
          </w:p>
        </w:tc>
        <w:tc>
          <w:tcPr>
            <w:tcW w:w="160" w:type="dxa"/>
            <w:vAlign w:val="bottom"/>
          </w:tcPr>
          <w:p>
            <w:pPr>
              <w:spacing w:after="0"/>
              <w:rPr>
                <w:sz w:val="14"/>
                <w:szCs w:val="14"/>
                <w:color w:val="auto"/>
              </w:rPr>
            </w:pP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169,999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mezzanine equity</w:t>
            </w:r>
          </w:p>
        </w:tc>
        <w:tc>
          <w:tcPr>
            <w:tcW w:w="92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27,605,620</w:t>
            </w:r>
          </w:p>
        </w:tc>
        <w:tc>
          <w:tcPr>
            <w:tcW w:w="9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4,171,861</w:t>
            </w: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169,999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169,999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June 30, 2018</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3"/>
            <w:vMerge w:val="restart"/>
          </w:tcPr>
          <w:p>
            <w:pPr>
              <w:jc w:val="right"/>
              <w:ind w:right="585"/>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1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4"/>
                <w:szCs w:val="14"/>
                <w:color w:val="auto"/>
              </w:rPr>
            </w:pPr>
          </w:p>
        </w:tc>
        <w:tc>
          <w:tcPr>
            <w:tcW w:w="8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USD</w:t>
            </w:r>
          </w:p>
        </w:tc>
        <w:tc>
          <w:tcPr>
            <w:tcW w:w="1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5"/>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Shareholders’ Deficit: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300"/>
              <w:spacing w:after="0" w:line="149" w:lineRule="exact"/>
              <w:rPr>
                <w:sz w:val="20"/>
                <w:szCs w:val="20"/>
                <w:color w:val="auto"/>
              </w:rPr>
            </w:pPr>
            <w:r>
              <w:rPr>
                <w:rFonts w:ascii="Arial" w:cs="Arial" w:eastAsia="Arial" w:hAnsi="Arial"/>
                <w:sz w:val="15"/>
                <w:szCs w:val="15"/>
                <w:color w:val="auto"/>
              </w:rPr>
              <w:t>Ordinary shares (USD0.00025 par value; 1,151,269,325 shares</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5"/>
              </w:rPr>
              <w:t>authorized as of December 31, 2017 and June 30, 2018; 36,727,350</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3"/>
              </w:rPr>
              <w:t>and 41,178,902 shares issued and 23,850,343 and 31,540,943 shares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rPr>
              <w:t>outstanding as of December 31, 2017 and June 30, 2018,</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5"/>
              </w:rPr>
              <w:t>respectively; No shares issued and outstanding on a pro-forma basis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ind w:left="440"/>
              <w:spacing w:after="0"/>
              <w:rPr>
                <w:sz w:val="20"/>
                <w:szCs w:val="20"/>
                <w:color w:val="auto"/>
              </w:rPr>
            </w:pPr>
            <w:r>
              <w:rPr>
                <w:rFonts w:ascii="Arial" w:cs="Arial" w:eastAsia="Arial" w:hAnsi="Arial"/>
                <w:sz w:val="15"/>
                <w:szCs w:val="15"/>
                <w:color w:val="auto"/>
              </w:rPr>
              <w:t>and on a pro-forma as adjusted basis as of June 30, 2018)</w:t>
            </w:r>
          </w:p>
        </w:tc>
        <w:tc>
          <w:tcPr>
            <w:tcW w:w="940" w:type="dxa"/>
            <w:vAlign w:val="bottom"/>
          </w:tcPr>
          <w:p>
            <w:pPr>
              <w:jc w:val="right"/>
              <w:spacing w:after="0"/>
              <w:rPr>
                <w:sz w:val="20"/>
                <w:szCs w:val="20"/>
                <w:color w:val="auto"/>
              </w:rPr>
            </w:pPr>
            <w:r>
              <w:rPr>
                <w:rFonts w:ascii="Arial" w:cs="Arial" w:eastAsia="Arial" w:hAnsi="Arial"/>
                <w:sz w:val="15"/>
                <w:szCs w:val="15"/>
                <w:color w:val="auto"/>
              </w:rPr>
              <w:t>67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4"/>
              </w:rPr>
              <w:t>Class A Ordinary shares (USD0.00025 par value; No shares authorized,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582,027,198 and 742,027,198 shares issued, 570,511,756 and</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7"/>
              </w:rPr>
              <w:t>730,511,756 shares outstanding on a pro-forma basis and on a pro-</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forma as adjusted basis, respectively, as of June 30, 2018)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300"/>
              <w:spacing w:after="0" w:line="149" w:lineRule="exact"/>
              <w:rPr>
                <w:sz w:val="20"/>
                <w:szCs w:val="20"/>
                <w:color w:val="auto"/>
              </w:rPr>
            </w:pPr>
            <w:r>
              <w:rPr>
                <w:rFonts w:ascii="Arial" w:cs="Arial" w:eastAsia="Arial" w:hAnsi="Arial"/>
                <w:sz w:val="15"/>
                <w:szCs w:val="15"/>
                <w:color w:val="auto"/>
                <w:w w:val="93"/>
              </w:rPr>
              <w:t>Class B Ordinary Shares (USD0.00025 par value; No shares authorized,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4"/>
              </w:rPr>
              <w:t>132,030,222 shares issued and outstanding on a pro-forma basis and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ind w:left="440"/>
              <w:spacing w:after="0"/>
              <w:rPr>
                <w:sz w:val="20"/>
                <w:szCs w:val="20"/>
                <w:color w:val="auto"/>
              </w:rPr>
            </w:pPr>
            <w:r>
              <w:rPr>
                <w:rFonts w:ascii="Arial" w:cs="Arial" w:eastAsia="Arial" w:hAnsi="Arial"/>
                <w:sz w:val="15"/>
                <w:szCs w:val="15"/>
                <w:color w:val="auto"/>
              </w:rPr>
              <w:t>on a pro-forma as adjusted basis as of June 30, 2018)</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3"/>
              </w:rPr>
              <w:t>Class C Ordinary Shares (USD0.00025 par value; No shares authorized,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148,500,000 shares issued and outstanding on a pro-forma basis and</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on a pro-forma as adjusted basis as of June 30, 2018)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Treasury shares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(9,186)</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(9,186)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(9,186)</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Additional paid in capital</w:t>
            </w:r>
          </w:p>
        </w:tc>
        <w:tc>
          <w:tcPr>
            <w:tcW w:w="94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169,562</w:t>
            </w:r>
          </w:p>
        </w:tc>
        <w:tc>
          <w:tcPr>
            <w:tcW w:w="9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25,625</w:t>
            </w:r>
          </w:p>
        </w:tc>
        <w:tc>
          <w:tcPr>
            <w:tcW w:w="10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26,847,735</w:t>
            </w:r>
          </w:p>
        </w:tc>
        <w:tc>
          <w:tcPr>
            <w:tcW w:w="100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4,057,325</w:t>
            </w:r>
          </w:p>
        </w:tc>
        <w:tc>
          <w:tcPr>
            <w:tcW w:w="112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34,172,030</w:t>
            </w:r>
          </w:p>
        </w:tc>
        <w:tc>
          <w:tcPr>
            <w:tcW w:w="102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5,164,199</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Accumulated other comprehensive (loss)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(167,077)</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(167,077)</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(167,077)</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Accumulated deficit</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16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1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4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Total NIO Inc. shareholders’ (deficit)/equity</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(21,773,116)</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(3,290,431)</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4,906,398</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741,472</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12,230,973</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1,848,388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interests</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10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10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10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Total shareholders’ (deficit)/equity</w:t>
            </w:r>
            <w:r>
              <w:rPr>
                <w:rFonts w:ascii="Arial" w:cs="Arial" w:eastAsia="Arial" w:hAnsi="Arial"/>
                <w:sz w:val="13"/>
                <w:szCs w:val="13"/>
                <w:b w:val="1"/>
                <w:bCs w:val="1"/>
                <w:color w:val="auto"/>
              </w:rPr>
              <w:t>(2)</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(21,762,585)</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(3,288,840)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4,916,929</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743,063</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12,241,504</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1,849,979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90"/>
        </w:trPr>
        <w:tc>
          <w:tcPr>
            <w:tcW w:w="20" w:type="dxa"/>
            <w:vAlign w:val="bottom"/>
            <w:vMerge w:val="continue"/>
          </w:tcPr>
          <w:p>
            <w:pPr>
              <w:spacing w:after="0" w:line="20" w:lineRule="exact"/>
              <w:rPr>
                <w:sz w:val="1"/>
                <w:szCs w:val="1"/>
                <w:color w:val="auto"/>
              </w:rPr>
            </w:pPr>
          </w:p>
        </w:tc>
        <w:tc>
          <w:tcPr>
            <w:tcW w:w="4820" w:type="dxa"/>
            <w:vAlign w:val="bottom"/>
            <w:shd w:val="clear" w:color="auto" w:fill="CCEEFF"/>
          </w:tcPr>
          <w:p>
            <w:pPr>
              <w:spacing w:after="0" w:line="8" w:lineRule="exact"/>
              <w:rPr>
                <w:sz w:val="20"/>
                <w:szCs w:val="20"/>
                <w:color w:val="auto"/>
              </w:rPr>
            </w:pPr>
            <w:r>
              <w:rPr>
                <w:rFonts w:ascii="Arial" w:cs="Arial" w:eastAsia="Arial" w:hAnsi="Arial"/>
                <w:sz w:val="1"/>
                <w:szCs w:val="1"/>
                <w:b w:val="1"/>
                <w:bCs w:val="1"/>
                <w:color w:val="auto"/>
              </w:rPr>
              <w:t>Total liabilities, mezzanine equity and shareholders’ equity</w:t>
            </w:r>
          </w:p>
        </w:tc>
        <w:tc>
          <w:tcPr>
            <w:tcW w:w="940" w:type="dxa"/>
            <w:vAlign w:val="bottom"/>
            <w:shd w:val="clear" w:color="auto" w:fill="CCEEFF"/>
          </w:tcPr>
          <w:p>
            <w:pPr>
              <w:jc w:val="right"/>
              <w:spacing w:after="0" w:line="8" w:lineRule="exact"/>
              <w:rPr>
                <w:sz w:val="20"/>
                <w:szCs w:val="20"/>
                <w:color w:val="auto"/>
              </w:rPr>
            </w:pPr>
            <w:r>
              <w:rPr>
                <w:rFonts w:ascii="Arial" w:cs="Arial" w:eastAsia="Arial" w:hAnsi="Arial"/>
                <w:sz w:val="1"/>
                <w:szCs w:val="1"/>
                <w:color w:val="auto"/>
              </w:rPr>
              <w:t>10,276,097</w:t>
            </w:r>
          </w:p>
        </w:tc>
        <w:tc>
          <w:tcPr>
            <w:tcW w:w="98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1,552,960</w:t>
            </w:r>
          </w:p>
        </w:tc>
        <w:tc>
          <w:tcPr>
            <w:tcW w:w="108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10,276,097</w:t>
            </w:r>
          </w:p>
        </w:tc>
        <w:tc>
          <w:tcPr>
            <w:tcW w:w="100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1,552,960</w:t>
            </w:r>
          </w:p>
        </w:tc>
        <w:tc>
          <w:tcPr>
            <w:tcW w:w="112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17,600,672</w:t>
            </w:r>
          </w:p>
        </w:tc>
        <w:tc>
          <w:tcPr>
            <w:tcW w:w="102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2,659,876</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ind w:left="3820"/>
              <w:spacing w:after="0"/>
              <w:rPr>
                <w:sz w:val="20"/>
                <w:szCs w:val="20"/>
                <w:color w:val="auto"/>
              </w:rPr>
            </w:pPr>
            <w:r>
              <w:rPr>
                <w:rFonts w:ascii="Arial" w:cs="Arial" w:eastAsia="Arial" w:hAnsi="Arial"/>
                <w:sz w:val="13"/>
                <w:szCs w:val="13"/>
                <w:b w:val="1"/>
                <w:bCs w:val="1"/>
                <w:color w:val="auto"/>
              </w:rPr>
              <w:t>(2)</w:t>
            </w: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160" w:hanging="316"/>
        <w:spacing w:after="0" w:line="22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total shareholders’ equity and total capitalization following the completion of this offering are subject to adjustment based on the actual initial public offering price and other terms of this offering determined at pricing.</w:t>
      </w:r>
    </w:p>
    <w:p>
      <w:pPr>
        <w:ind w:left="520" w:right="20" w:hanging="316"/>
        <w:spacing w:after="0" w:line="271"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US$1.00 increase (decrease) in the assumed initial public offering price of US$7.25 per ADS, which is the midpoint of the estimated range of the initial public offering price shown on the front cover of this prospectus, would increase (decrease) each of additional paid-in capital, total shareholders’ equity, and total capitalization by US$153.6 million.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net tangible book value as of June 30, 2018 was US$882.4 million, or US$27.98 per Class A ordinary share as of that date and US$27.98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US$7.25 per ADS,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Class B ordinary shares and Class C ordinary shares have the same dividend and other rights, except for voting and conversion rights, the dilution is presented based on all issued and outstanding ordinary shares, including Class A ordinary shares, Class B ordinary shares and Class C ordinary shares.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Without taking into account any other changes in net tangible book value after June 30, 2018, other than to give effect to our sale of the ADSs offered in this offering at the assumed initial public offering price of US$7.25 per ADS, which is the midpoint of the estimated initial public offering price range, after deduction of the underwriting discounts and commissions and estimated offering expenses payable by us, our pro forma as adjusted net tangible book value as of June 30, 2018 would have been US$2,019.3 million, or US$2.00 per ordinary share and US$2.00 per ADS. This represents an immediate decrease in net tangible book value of US$25.98 per ordinary share and US$25.98 per ADS to the existing shareholders and an immediate dilution in net tangible book value of US$5.25 per Class A ordinary share and US$5.25 per ADS to investors purchasing ADSs in this offering. The following table illustrates such dilution:</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20" w:type="dxa"/>
            <w:vAlign w:val="bottom"/>
            <w:gridSpan w:val="3"/>
          </w:tcPr>
          <w:p>
            <w:pPr>
              <w:ind w:left="600"/>
              <w:spacing w:after="0"/>
              <w:rPr>
                <w:sz w:val="20"/>
                <w:szCs w:val="20"/>
                <w:color w:val="auto"/>
              </w:rPr>
            </w:pPr>
            <w:r>
              <w:rPr>
                <w:rFonts w:ascii="Arial" w:cs="Arial" w:eastAsia="Arial" w:hAnsi="Arial"/>
                <w:sz w:val="14"/>
                <w:szCs w:val="14"/>
                <w:b w:val="1"/>
                <w:bCs w:val="1"/>
                <w:color w:val="auto"/>
                <w:w w:val="93"/>
              </w:rPr>
              <w:t>Per Ordinary Share</w:t>
            </w:r>
          </w:p>
        </w:tc>
        <w:tc>
          <w:tcPr>
            <w:tcW w:w="108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ADS</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tangible book value as of June 30, 2018</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US$</w:t>
            </w:r>
          </w:p>
        </w:tc>
        <w:tc>
          <w:tcPr>
            <w:tcW w:w="660" w:type="dxa"/>
            <w:vAlign w:val="bottom"/>
          </w:tcPr>
          <w:p>
            <w:pPr>
              <w:jc w:val="right"/>
              <w:spacing w:after="0"/>
              <w:rPr>
                <w:sz w:val="20"/>
                <w:szCs w:val="20"/>
                <w:color w:val="auto"/>
              </w:rPr>
            </w:pPr>
            <w:r>
              <w:rPr>
                <w:rFonts w:ascii="Arial" w:cs="Arial" w:eastAsia="Arial" w:hAnsi="Arial"/>
                <w:sz w:val="18"/>
                <w:szCs w:val="18"/>
                <w:color w:val="auto"/>
              </w:rPr>
              <w:t>27.98</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net tangible book value after giving effect to the conversion of our preferred shares</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the conversion of our</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preferred shares and this offering</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US$</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to new investors in this offering</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 US$1.00 increase (decrease) in the assumed initial public offering price of US$7.25 per ADS would increase (decrease) our pro forma as adjusted net tangible book value after giving effect to this offering by US$153.6 million, the pro forma as adjusted net tangible book value per ordinary share and per ADS after giving effect to this offering by US$0.15 per Class A ordinary share and US$0.15 per ADS and the dilution in pro forma as adjusted net tangible book value per ordinary share and per ADS to new investors in this offering by US$0.85 per Class A ordinary share and US$0.85 per ADS, assuming no change to the number of ADSs offered by us as set forth on the front cover of this prospectus, and after deducting underwriting discounts and commissions and estimated offering expenses payable by 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table summarizes, on a pro forma as adjusted basis as of June 30, 2018,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Class A ordinary shares underlying the ADSs issuable upon the exercise of the over-allotment option granted to the underwriters.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40" w:type="dxa"/>
            <w:vAlign w:val="bottom"/>
            <w:gridSpan w:val="3"/>
            <w:vMerge w:val="restart"/>
          </w:tcPr>
          <w:p>
            <w:pPr>
              <w:jc w:val="right"/>
              <w:ind w:right="134"/>
              <w:spacing w:after="0"/>
              <w:rPr>
                <w:sz w:val="20"/>
                <w:szCs w:val="20"/>
                <w:color w:val="auto"/>
              </w:rPr>
            </w:pPr>
            <w:r>
              <w:rPr>
                <w:rFonts w:ascii="Arial" w:cs="Arial" w:eastAsia="Arial" w:hAnsi="Arial"/>
                <w:sz w:val="14"/>
                <w:szCs w:val="14"/>
                <w:b w:val="1"/>
                <w:bCs w:val="1"/>
                <w:color w:val="auto"/>
              </w:rPr>
              <w:t>Ordinary Shares Purchased</w:t>
            </w:r>
          </w:p>
        </w:tc>
        <w:tc>
          <w:tcPr>
            <w:tcW w:w="440" w:type="dxa"/>
            <w:vAlign w:val="bottom"/>
          </w:tcPr>
          <w:p>
            <w:pPr>
              <w:spacing w:after="0"/>
              <w:rPr>
                <w:sz w:val="12"/>
                <w:szCs w:val="12"/>
                <w:color w:val="auto"/>
              </w:rPr>
            </w:pPr>
          </w:p>
        </w:tc>
        <w:tc>
          <w:tcPr>
            <w:tcW w:w="18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1"/>
              </w:rPr>
              <w:t>Total Consideration</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140" w:type="dxa"/>
            <w:vAlign w:val="bottom"/>
            <w:tcBorders>
              <w:bottom w:val="single" w:sz="8" w:color="auto"/>
            </w:tcBorders>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Borders>
              <w:bottom w:val="single" w:sz="8" w:color="auto"/>
            </w:tcBorders>
            <w:gridSpan w:val="2"/>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440" w:type="dxa"/>
            <w:vAlign w:val="bottom"/>
          </w:tcPr>
          <w:p>
            <w:pPr>
              <w:spacing w:after="0"/>
              <w:rPr>
                <w:sz w:val="9"/>
                <w:szCs w:val="9"/>
                <w:color w:val="auto"/>
              </w:rPr>
            </w:pPr>
          </w:p>
        </w:tc>
        <w:tc>
          <w:tcPr>
            <w:tcW w:w="7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w:t>
            </w:r>
          </w:p>
        </w:tc>
        <w:tc>
          <w:tcPr>
            <w:tcW w:w="440" w:type="dxa"/>
            <w:vAlign w:val="bottom"/>
          </w:tcPr>
          <w:p>
            <w:pPr>
              <w:spacing w:after="0"/>
              <w:rPr>
                <w:sz w:val="2"/>
                <w:szCs w:val="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Percent</w:t>
            </w:r>
          </w:p>
        </w:tc>
        <w:tc>
          <w:tcPr>
            <w:tcW w:w="4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851,041,978</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US$2,452,416,883</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US$2.88</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US$2.88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New investors</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2260" w:type="dxa"/>
            <w:vAlign w:val="bottom"/>
            <w:gridSpan w:val="3"/>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1,160,000,000</w:t>
            </w: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100" w:type="dxa"/>
            <w:vAlign w:val="bottom"/>
            <w:gridSpan w:val="2"/>
          </w:tcPr>
          <w:p>
            <w:pPr>
              <w:jc w:val="center"/>
              <w:ind w:left="350"/>
              <w:spacing w:after="0"/>
              <w:rPr>
                <w:sz w:val="20"/>
                <w:szCs w:val="20"/>
                <w:color w:val="auto"/>
              </w:rPr>
            </w:pPr>
            <w:r>
              <w:rPr>
                <w:rFonts w:ascii="Arial" w:cs="Arial" w:eastAsia="Arial" w:hAnsi="Arial"/>
                <w:sz w:val="18"/>
                <w:szCs w:val="18"/>
                <w:color w:val="auto"/>
                <w:w w:val="94"/>
              </w:rPr>
              <w:t>US$7.25</w:t>
            </w:r>
          </w:p>
        </w:tc>
        <w:tc>
          <w:tcPr>
            <w:tcW w:w="116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US$7.25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1,011,041,978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3,612,416,883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4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discussion and tables above assume no exercise of any share options outstanding nor any request by holders of restricted shares to register their vested restricted shares as of the date of this prospectus. As of June 30, 2018, there are 88,939,542 Class A ordinary shares issuable upon exercise of outstanding share options at a weighted average exercise price of US$1.39 per share, and additional 4,869,211 Class A ordinary shares are issuable upon requests from holders of restricted shares. To the extent that any of these options are exercised, there will be further dilution to new investors.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reporting currency is the Renminbi because our business is mainly conducted in China and substantially all of our revenues are denominated in Renminbi. This prospectus contains translations of Renminbi amounts into U.S. dollars at specific rates solely for the convenience of the reader. The conversion of Renminbi into U.S. dollars in this prospectus is based on the exchange rate set forth in the H.10 statistical release of the Board of Governors of the Federal Reserve System. Unless otherwise noted, all translations from Renminbi to U.S. dollars and from U.S. dollars to Renminbi in this prospectus were made at a rate of RMB6.6171 to US$1.00, the rate in effect as of June 29, 2018.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currency and through restrictions on foreign trade. On August 24, 2018, the exchange rate for Renminbi was RMB6.8030 to US$1.00.</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Certified Exchange Rate</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Period</w:t>
            </w: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65"/>
        </w:trPr>
        <w:tc>
          <w:tcPr>
            <w:tcW w:w="8040" w:type="dxa"/>
            <w:vAlign w:val="bottom"/>
            <w:gridSpan w:val="3"/>
            <w:vMerge w:val="continue"/>
          </w:tcPr>
          <w:p>
            <w:pPr>
              <w:spacing w:after="0"/>
              <w:rPr>
                <w:sz w:val="14"/>
                <w:szCs w:val="14"/>
                <w:color w:val="auto"/>
              </w:rPr>
            </w:pPr>
          </w:p>
        </w:tc>
        <w:tc>
          <w:tcPr>
            <w:tcW w:w="64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End</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171"/>
              <w:spacing w:after="0" w:line="149" w:lineRule="exact"/>
              <w:rPr>
                <w:sz w:val="20"/>
                <w:szCs w:val="20"/>
                <w:color w:val="auto"/>
              </w:rPr>
            </w:pPr>
            <w:r>
              <w:rPr>
                <w:rFonts w:ascii="Arial" w:cs="Arial" w:eastAsia="Arial" w:hAnsi="Arial"/>
                <w:sz w:val="14"/>
                <w:szCs w:val="14"/>
                <w:b w:val="1"/>
                <w:bCs w:val="1"/>
                <w:color w:val="auto"/>
              </w:rPr>
              <w:t>(RMB per US$1.00)</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2013</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6.0537</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6.1412</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6.2438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2014</w:t>
            </w:r>
          </w:p>
        </w:tc>
        <w:tc>
          <w:tcPr>
            <w:tcW w:w="76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6.2046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6.1620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6.2591</w:t>
            </w:r>
          </w:p>
        </w:tc>
        <w:tc>
          <w:tcPr>
            <w:tcW w:w="600" w:type="dxa"/>
            <w:vAlign w:val="bottom"/>
          </w:tcPr>
          <w:p>
            <w:pPr>
              <w:jc w:val="right"/>
              <w:spacing w:after="0"/>
              <w:rPr>
                <w:sz w:val="20"/>
                <w:szCs w:val="20"/>
                <w:color w:val="auto"/>
              </w:rPr>
            </w:pPr>
            <w:r>
              <w:rPr>
                <w:rFonts w:ascii="Arial" w:cs="Arial" w:eastAsia="Arial" w:hAnsi="Arial"/>
                <w:sz w:val="18"/>
                <w:szCs w:val="18"/>
                <w:color w:val="auto"/>
              </w:rPr>
              <w:t>6.0402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2015</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6.4778</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6.2827</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6.4896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2016</w:t>
            </w:r>
          </w:p>
        </w:tc>
        <w:tc>
          <w:tcPr>
            <w:tcW w:w="76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6.9430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6.6549</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6.9580</w:t>
            </w:r>
          </w:p>
        </w:tc>
        <w:tc>
          <w:tcPr>
            <w:tcW w:w="600" w:type="dxa"/>
            <w:vAlign w:val="bottom"/>
          </w:tcPr>
          <w:p>
            <w:pPr>
              <w:jc w:val="right"/>
              <w:spacing w:after="0"/>
              <w:rPr>
                <w:sz w:val="20"/>
                <w:szCs w:val="20"/>
                <w:color w:val="auto"/>
              </w:rPr>
            </w:pPr>
            <w:r>
              <w:rPr>
                <w:rFonts w:ascii="Arial" w:cs="Arial" w:eastAsia="Arial" w:hAnsi="Arial"/>
                <w:sz w:val="18"/>
                <w:szCs w:val="18"/>
                <w:color w:val="auto"/>
              </w:rPr>
              <w:t>6.4480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6.5063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6.7350</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6.9575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2018</w:t>
            </w:r>
          </w:p>
        </w:tc>
        <w:tc>
          <w:tcPr>
            <w:tcW w:w="7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February</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6.3280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6.3183</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6.3471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March</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6.2726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6.5000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6.3583</w:t>
            </w:r>
          </w:p>
        </w:tc>
        <w:tc>
          <w:tcPr>
            <w:tcW w:w="600" w:type="dxa"/>
            <w:vAlign w:val="bottom"/>
          </w:tcPr>
          <w:p>
            <w:pPr>
              <w:jc w:val="right"/>
              <w:spacing w:after="0"/>
              <w:rPr>
                <w:sz w:val="20"/>
                <w:szCs w:val="20"/>
                <w:color w:val="auto"/>
              </w:rPr>
            </w:pPr>
            <w:r>
              <w:rPr>
                <w:rFonts w:ascii="Arial" w:cs="Arial" w:eastAsia="Arial" w:hAnsi="Arial"/>
                <w:sz w:val="18"/>
                <w:szCs w:val="18"/>
                <w:color w:val="auto"/>
              </w:rPr>
              <w:t>6.2738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April</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6.3325</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6.3511</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6.3610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May</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6.4096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6.3700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6.4175</w:t>
            </w:r>
          </w:p>
        </w:tc>
        <w:tc>
          <w:tcPr>
            <w:tcW w:w="600" w:type="dxa"/>
            <w:vAlign w:val="bottom"/>
          </w:tcPr>
          <w:p>
            <w:pPr>
              <w:jc w:val="right"/>
              <w:spacing w:after="0"/>
              <w:rPr>
                <w:sz w:val="20"/>
                <w:szCs w:val="20"/>
                <w:color w:val="auto"/>
              </w:rPr>
            </w:pPr>
            <w:r>
              <w:rPr>
                <w:rFonts w:ascii="Arial" w:cs="Arial" w:eastAsia="Arial" w:hAnsi="Arial"/>
                <w:sz w:val="18"/>
                <w:szCs w:val="18"/>
                <w:color w:val="auto"/>
              </w:rPr>
              <w:t>6.3325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6.6171</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6.4651</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6.6235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July</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6.8038</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6.7164</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6.8102</w:t>
            </w:r>
          </w:p>
        </w:tc>
        <w:tc>
          <w:tcPr>
            <w:tcW w:w="600" w:type="dxa"/>
            <w:vAlign w:val="bottom"/>
          </w:tcPr>
          <w:p>
            <w:pPr>
              <w:jc w:val="right"/>
              <w:spacing w:after="0"/>
              <w:rPr>
                <w:sz w:val="20"/>
                <w:szCs w:val="20"/>
                <w:color w:val="auto"/>
              </w:rPr>
            </w:pPr>
            <w:r>
              <w:rPr>
                <w:rFonts w:ascii="Arial" w:cs="Arial" w:eastAsia="Arial" w:hAnsi="Arial"/>
                <w:sz w:val="18"/>
                <w:szCs w:val="18"/>
                <w:color w:val="auto"/>
              </w:rPr>
              <w:t>6.6123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August (through August 24)</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6.8030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6.8519</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6.9330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Federal Reserve Statistical Release</w:t>
      </w:r>
    </w:p>
    <w:p>
      <w:pPr>
        <w:ind w:left="200"/>
        <w:spacing w:after="0" w:line="221" w:lineRule="auto"/>
        <w:rPr>
          <w:sz w:val="20"/>
          <w:szCs w:val="20"/>
          <w:color w:val="auto"/>
        </w:rPr>
      </w:pPr>
      <w:r>
        <w:rPr>
          <w:rFonts w:ascii="Arial" w:cs="Arial" w:eastAsia="Arial" w:hAnsi="Arial"/>
          <w:sz w:val="14"/>
          <w:szCs w:val="14"/>
          <w:color w:val="auto"/>
        </w:rPr>
        <w:t>Note:</w:t>
      </w:r>
    </w:p>
    <w:p>
      <w:pPr>
        <w:ind w:left="520" w:right="160" w:hanging="316"/>
        <w:spacing w:after="0" w:line="237"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 averages are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company, such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certain disadvantages accompany incorporation in the Cayman Islands. These disadvantages include but are not limited to:</w:t>
      </w:r>
    </w:p>
    <w:p>
      <w:pPr>
        <w:spacing w:after="0" w:line="142" w:lineRule="exact"/>
        <w:rPr>
          <w:sz w:val="20"/>
          <w:szCs w:val="20"/>
          <w:color w:val="auto"/>
        </w:rPr>
      </w:pPr>
    </w:p>
    <w:p>
      <w:pPr>
        <w:ind w:left="1060" w:right="38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less protection to investors as compared to the United States;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appointed Puglisi &amp; Associates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Han Kun Law Offices, our counsel as to PRC law, has advised us that there is uncertainty as to whether the courts of China would:</w:t>
      </w:r>
    </w:p>
    <w:p>
      <w:pPr>
        <w:spacing w:after="0" w:line="131" w:lineRule="exact"/>
        <w:rPr>
          <w:sz w:val="20"/>
          <w:szCs w:val="20"/>
          <w:color w:val="auto"/>
        </w:rPr>
      </w:pPr>
    </w:p>
    <w:p>
      <w:pPr>
        <w:ind w:left="1060" w:right="38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6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It will be, however,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were founded in November 2014, as Nextev Inc., which was changed to our current name NIO Inc. in July 2017. Significant milestones in our development include the following: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2015</w:t>
      </w:r>
    </w:p>
    <w:p>
      <w:pPr>
        <w:spacing w:after="0" w:line="131" w:lineRule="exact"/>
        <w:rPr>
          <w:sz w:val="20"/>
          <w:szCs w:val="20"/>
          <w:color w:val="auto"/>
        </w:rPr>
      </w:pPr>
    </w:p>
    <w:p>
      <w:pPr>
        <w:ind w:left="1060" w:hanging="424"/>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2015, we established NIO Nextev Limited (formerly known as Nextev Limited), our wholly-owned subsidiary in Hong Kong. We participated in the inaugural season of the FIA Formula E Championship as the Nextev TCR Formula E Team, and in June 2015, we secured the inaugural FIA Formula E Driver’s Championship with Nelson Piquet Jr. In November 2015, we held the inaugural NIO Formula Students Electric China NIO cup in Shanghai.</w:t>
      </w:r>
    </w:p>
    <w:p>
      <w:pPr>
        <w:spacing w:after="0" w:line="92"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May 2015, NIO Nextev Limited incorporated NIO Co., Ltd. in China to, among other things, be our global headquarters and engage in research and development related activities. In the same month, NIO Nextev Limited established NIO GmbH in Germany as our vehicle design headquarters.</w:t>
      </w:r>
    </w:p>
    <w:p>
      <w:pPr>
        <w:spacing w:after="0" w:line="86" w:lineRule="exact"/>
        <w:rPr>
          <w:rFonts w:ascii="Arial" w:cs="Arial" w:eastAsia="Arial" w:hAnsi="Arial"/>
          <w:sz w:val="18"/>
          <w:szCs w:val="18"/>
          <w:color w:val="auto"/>
        </w:rPr>
      </w:pPr>
    </w:p>
    <w:p>
      <w:pPr>
        <w:ind w:left="1060" w:right="400" w:hanging="424"/>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November 2015, NIO Nextev Limited established NIO USA, Inc. as our headquarters in the United States to design and develop our software and hardware for autonomous driving systems and other advanced technology modules for our vehicles.</w:t>
      </w:r>
    </w:p>
    <w:p>
      <w:pPr>
        <w:spacing w:after="0" w:line="51" w:lineRule="exact"/>
        <w:rPr>
          <w:rFonts w:ascii="Arial" w:cs="Arial" w:eastAsia="Arial" w:hAnsi="Arial"/>
          <w:sz w:val="17"/>
          <w:szCs w:val="17"/>
          <w:color w:val="auto"/>
        </w:rPr>
      </w:pPr>
    </w:p>
    <w:p>
      <w:pPr>
        <w:ind w:left="1060" w:right="3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December 2015, we established XPT Limited, or XPT, our wholly-owned subsidiary in Hong Kong, to engage in the development of systems and components used in electric vehicles.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w:t>
      </w:r>
    </w:p>
    <w:p>
      <w:pPr>
        <w:spacing w:after="0" w:line="131" w:lineRule="exact"/>
        <w:rPr>
          <w:sz w:val="20"/>
          <w:szCs w:val="20"/>
          <w:color w:val="auto"/>
        </w:rPr>
      </w:pPr>
    </w:p>
    <w:p>
      <w:pPr>
        <w:ind w:left="1060" w:right="260" w:hanging="424"/>
        <w:spacing w:after="0" w:line="308"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February 2016, NIO Nextev Limited established NIO Nextev (UK) Limited in the United Kingdom as our Formula E and EP9 electric supercar headquarters. NIO Nextev (UK) Limited also provides engineering support for vehicle development in Shanghai.</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April 2016, NIO Nextev Limited incorporated NIO SPORT Limited in Hong Kong to handle Formula E related business. In April 2016, NIO SPORT Limited purchased the Nextev TCR Formula E Team (now the NIO Formula E Team), which NIO Nextev (UK) Limited operates on behalf of NIO SPORT Limited.</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2016, we entered into a manufacturing cooperation agreement with JAC, pursuant to which the JAC-NIO Cooperation Project (New Energy Vehicle) officially launched since the signing of the framework agreement.</w:t>
      </w:r>
    </w:p>
    <w:p>
      <w:pPr>
        <w:spacing w:after="0" w:line="75" w:lineRule="exact"/>
        <w:rPr>
          <w:rFonts w:ascii="Arial" w:cs="Arial" w:eastAsia="Arial" w:hAnsi="Arial"/>
          <w:sz w:val="18"/>
          <w:szCs w:val="18"/>
          <w:color w:val="auto"/>
        </w:rPr>
      </w:pPr>
    </w:p>
    <w:p>
      <w:pPr>
        <w:jc w:val="both"/>
        <w:ind w:left="1060" w:right="180" w:hanging="424"/>
        <w:spacing w:after="0" w:line="312"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April 2016, XPT established XPT Technology Limited in Hong Kong in charge of intellectual property management of the XPT. In the same month, XPT established XPT Inc. in Delaware, the United States as an operational base in the United States to engage in technology development and cooperation. In May 2016, XPT established XPT (Jiangsu) Investment Co., Ltd. as its investment platform in China.</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October 2016, we obtained an autonomous vehicle testing permit in the State of California.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November 2016, we unveiled our NIO brand and the EP9 at the Saatchi Gallery in London.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2017</w:t>
      </w:r>
    </w:p>
    <w:p>
      <w:pPr>
        <w:spacing w:after="0" w:line="131" w:lineRule="exact"/>
        <w:rPr>
          <w:sz w:val="20"/>
          <w:szCs w:val="20"/>
          <w:color w:val="auto"/>
        </w:rPr>
      </w:pPr>
    </w:p>
    <w:p>
      <w:pPr>
        <w:ind w:left="1060" w:right="7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January 2017, we established NIO Power Express Limited, our wholly-owned subsidiary, which later incorporated NIO Energy Investment (Hubei) Co., Ltd. in April 2017 to handle power management related businesses.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9"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February 2017, we established NIO User Enterprise Limited, our wholly-owned subsidiary, which incorporated Shanghai NIO Sales and Services Co., Ltd. in March 2017, to handle sales and services of our electric vehicles. In March 2017, we unveiled our vision car, EVE, at South by Southwest 2017 in Austin, Texas. In April 2017, we further unveiled our first volume manufactured passenger car, the ES8, and showcased EP9 and EVE at the 2017 Shanghai International Automobile Industry Exhibition.</w:t>
      </w:r>
    </w:p>
    <w:p>
      <w:pPr>
        <w:spacing w:after="0" w:line="76" w:lineRule="exact"/>
        <w:rPr>
          <w:rFonts w:ascii="Arial" w:cs="Arial" w:eastAsia="Arial" w:hAnsi="Arial"/>
          <w:sz w:val="17"/>
          <w:szCs w:val="17"/>
          <w:color w:val="auto"/>
        </w:rPr>
      </w:pPr>
    </w:p>
    <w:p>
      <w:pPr>
        <w:jc w:val="both"/>
        <w:ind w:left="1060" w:right="20" w:hanging="424"/>
        <w:spacing w:after="0" w:line="34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May 2017, our EP9 electric supercar broke the record for fastest lap for a production car around the Nurburgring in Germany after having already broken the records for fastest autonomous lap and fastest lap for a production car around the Circuit of the Americas in Texas, USA.</w:t>
      </w:r>
    </w:p>
    <w:p>
      <w:pPr>
        <w:spacing w:after="0" w:line="29" w:lineRule="exact"/>
        <w:rPr>
          <w:rFonts w:ascii="Arial" w:cs="Arial" w:eastAsia="Arial" w:hAnsi="Arial"/>
          <w:sz w:val="16"/>
          <w:szCs w:val="16"/>
          <w:color w:val="auto"/>
        </w:rPr>
      </w:pPr>
    </w:p>
    <w:p>
      <w:pPr>
        <w:ind w:left="1060" w:right="2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November 2017, we opened our first NIO House in Beijing. In December 2017, we held our first NIO Day and introduced the ES8 to a widespread audience and began taking orders for the ES8.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2018</w:t>
      </w:r>
    </w:p>
    <w:p>
      <w:pPr>
        <w:spacing w:after="0" w:line="131" w:lineRule="exact"/>
        <w:rPr>
          <w:sz w:val="20"/>
          <w:szCs w:val="20"/>
          <w:color w:val="auto"/>
        </w:rPr>
      </w:pPr>
    </w:p>
    <w:p>
      <w:pPr>
        <w:ind w:left="1060" w:right="26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March 2018, we were in the first batch of companies to obtain a Shanghai Intelligent Connected Vehicle Test License to test seventeen items including, among others, traffic sign recognition and lane keeping systems in the testing roads.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2018, we entered into a series of contractual arrangements with Shanghai Anbin and Beijing NIO, our VIEs, and their shareholders to conduct certain of our operations in China in the future.</w:t>
      </w:r>
    </w:p>
    <w:p>
      <w:pPr>
        <w:spacing w:after="0" w:line="75" w:lineRule="exact"/>
        <w:rPr>
          <w:rFonts w:ascii="Arial" w:cs="Arial" w:eastAsia="Arial" w:hAnsi="Arial"/>
          <w:sz w:val="18"/>
          <w:szCs w:val="18"/>
          <w:color w:val="auto"/>
        </w:rPr>
      </w:pPr>
    </w:p>
    <w:p>
      <w:pPr>
        <w:ind w:left="1060" w:right="180" w:hanging="424"/>
        <w:spacing w:after="0" w:line="276"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April 2018 and July 2018, XPT Limited, XPT (Jiangsu) Investment Co., Ltd., or XPT Investment, and certain investors entered into a share purchase agreement and a supplementary agreement, respectively, pursuant to which such investors, subject to certain closing conditions, agreed to invest an aggregate RMB1,269.9 million in XPT (Jiangsu) Automotive Technology Co., Ltd., or XPT Automotive, a company established in May 2018. Upon the consummation of the transaction, XPT Investment holds a 78.91% equity interest in XPT Automotive and the other investors hold an aggregate 21.09% equity interest.</w:t>
      </w:r>
    </w:p>
    <w:p>
      <w:pPr>
        <w:spacing w:after="0" w:line="77" w:lineRule="exact"/>
        <w:rPr>
          <w:rFonts w:ascii="Arial" w:cs="Arial" w:eastAsia="Arial" w:hAnsi="Arial"/>
          <w:sz w:val="17"/>
          <w:szCs w:val="17"/>
          <w:color w:val="auto"/>
        </w:rPr>
      </w:pPr>
    </w:p>
    <w:p>
      <w:pPr>
        <w:ind w:left="1060" w:right="40" w:hanging="424"/>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2018, XPT Investment set up XPT Automotive as a wholly owned subsidiary of XPT Investment. XPT Automotive, XPT Limited and XPT Investment entered into a set of agreements, pursuant to which, XPT Limited and XPT Investment transferred the shareholdings in their respective subsidiaries to XPT Automotive. Following the transaction, XPT Technology Limited, XPT Automotive and Shanghai XPT Technology Limited entered into a share transfer agreement, pursuant to which XPT technology Limited agreed to transfer a 100% equity interest in Shanghai XPT Technology Limited to XPT Automotive, as a result of which Shanghai XPT Technology Limited became a wholly owned subsidiary of XPT Automotive.</w:t>
      </w:r>
    </w:p>
    <w:p>
      <w:pPr>
        <w:spacing w:after="0" w:line="98"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2018, XPT (Nanjing) E-Powertrain Technology Co., Ltd. and Nanjing Punch Powertrain Automatic Transmission Co., Ltd. entered into a joint venture agreement to establish a joint venture to develop, produce and sell gear boxes for new energy vehicles and other components of new energy vehicles, and provide after-sales service.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chart below summarizes our corporate legal structure and identifies our significant subsidiaries, our VIEs and their significant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134620</wp:posOffset>
            </wp:positionV>
            <wp:extent cx="4416425" cy="4022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16425"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Agreements with the VIEs and their respective shareholders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Shanghai Anbin Technology Co., Ltd.</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is a summary of the contractual agreements with NIO Co., Ltd., or NIO WFOE, and Shanghai Anbin Technology Co., Ltd., or Shanghai Anbin.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Shanghai Anbin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Power of Attorney. </w:t>
      </w:r>
      <w:r>
        <w:rPr>
          <w:rFonts w:ascii="Arial" w:cs="Arial" w:eastAsia="Arial" w:hAnsi="Arial"/>
          <w:sz w:val="18"/>
          <w:szCs w:val="18"/>
          <w:color w:val="auto"/>
        </w:rPr>
        <w:t>On April 19, 2018, each shareholder of Shanghai Anbin, Shanghai Anbin and NIO WFOE entered into powers of attorney.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contained in the respective powers of attorney are substantially similar. Pursuant to the powers of attorney, each shareholder of Shanghai Anbin irrevocably authorized NIO WFOE to act on the behalf of such shareholder with respect to all matters concerning the shareholding of the shares in Shanghai Anbin, including without limitation, attending shareholders’ meetings of Shanghai Anbin, exercising all the shareholders’ rights and shareholders’ voting rights, and designating and appointing the legal representative, directors, supervisors, chief executive officer and other senior management members of Shanghai Anbin.</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Loan Agreement. </w:t>
      </w:r>
      <w:r>
        <w:rPr>
          <w:rFonts w:ascii="Arial" w:cs="Arial" w:eastAsia="Arial" w:hAnsi="Arial"/>
          <w:sz w:val="18"/>
          <w:szCs w:val="18"/>
          <w:color w:val="auto"/>
        </w:rPr>
        <w:t>On April 19, 2018, each shareholder of Shanghai Anbin, Shanghai Anbin and NIO WFOE entered into loan agreements.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contained in the respective loan agreements are substantially similar.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Pursuant to the loan agreements, the NIO WFOE should provide the shareholders of Shanghai Anbin with a loan in the aggregate amount of RMB30 million for the purpose of contribution of the registered capital of the Shanghai Anbin. The shareholders agree that the proceeds from the transfer of the equity interest of the shareholders in Shanghai Anbin or increase of the working capital of Shanghai Anbin, pursuant to the exercise of the right to acquire such equity interest by NIO WFOE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93"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Equity Interest Pledge Agreement. </w:t>
      </w:r>
      <w:r>
        <w:rPr>
          <w:rFonts w:ascii="Arial" w:cs="Arial" w:eastAsia="Arial" w:hAnsi="Arial"/>
          <w:sz w:val="16"/>
          <w:szCs w:val="16"/>
          <w:color w:val="auto"/>
        </w:rPr>
        <w:t>On April 19, 2018, each shareholder of Shanghai Anbin, Shanghai Anbin, and WFOE entered into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pledge agreements. The terms contained in the respective equity interest pledge agreements are substantially similar. Pursuant to the equity pledge agreements, those shareholders should pledge 100% equity interest in Shanghai Anbin to the NIO WFOE to guarantee the performance by Shanghai Anbin and its shareholders of their obligations under the loan agreement, the exclusive option agreement, the exclusive business cooperation agreement, and the power of attorney. If events of default defined therein occur, upon giving written notice to the shareholders, as pledgee, the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Shanghai Anbin or any portion thereof. As of the date of this prospectus, we have completed registering the equity pledge with the relevant office of the SAMR in accordance with the PRC Property Rights Law.</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Shanghai Anbin</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Exclusive Business Cooperation Agreement. </w:t>
      </w:r>
      <w:r>
        <w:rPr>
          <w:rFonts w:ascii="Arial" w:cs="Arial" w:eastAsia="Arial" w:hAnsi="Arial"/>
          <w:sz w:val="16"/>
          <w:szCs w:val="16"/>
          <w:color w:val="auto"/>
        </w:rPr>
        <w:t>On April 19, 2018, Shanghai Anbin and the NIO WFOE entered into an exclusive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cooperation agreement. Pursuant to the exclusive business cooperation agreement, the NIO WFOE has the exclusive right to provide Shanghai Anbin with comprehensive technical support, consulting services and other services. Without prior written consent of the NIO WFOE, Shanghai Anbin should not directly or indirectly accept the same or any similar services provided by any third party regarding the matters contemplated by this agreement. During the term of this agreement where necessary, Shanghai Anbin may enter into further service agreements with NIO WFOE or any other party designated by NIO WFOE, which shall provide the specific contents, methods, personnel, and fees for specific services. Shanghai Anbin should pay the NIO WFOE service fees, which should be determined by the NIO WFOE after considering, among other things, the operation conditions of Shanghai Anbin, contents and value of the services provided by the NIO WFOE. The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the NIO WFOE, the agreement shall remain effective.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Shanghai Anbin</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On April 19, 2018, each shareholder of Shanghai Anbin, Shanghai Anbin and the NIO WFOE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option agreements. The terms contained in the respective exclusive option agreements are substantially similar. Pursuant to the exclusive option agreement, the shareholders of Shanghai Anbin irrevocably granted the NIO WFOE an irrevocable and exclusive right to purchase, or designate one or more persons to purchase the equity interests in Shanghai Anbin held by the shareholders at a price equal to the amount of registered capital contributed by the shareholders in Shanghai Anbin or any portion thereof or at a price mutually agreed by the NIO WFOE and the shareholders. Those shareholders further undertake that, without the prior written consent of the NIO WFOE, Shanghai Anbin will not sell, transfer, mortgage or dispose of in any other manner any legal or beneficial interest in Shanghai Anbin held by its shareholders, or allow the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encumbrance thereon, except for the interest placed in accordance with the equity interest pledge agreement, power of attorney and this agreement. Without the prior written consent of the NIO WFOE, shareholders shall cause the shareholders’ meeting or the directors (or the executive director) of Shanghai Anbin not to approve the merger or consolidation with any person, or acquisition of or investment in any person. This agreement will remain effective until all equity interests held by those shareholders in Shanghai Anbin have been transferred or assigned to NIO WFOE and/or any other person designated by NIO WFOE in accordance with this agreement.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Beijing NIO Network Technology Co., Ltd.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summary of the contractual agreements with the NIO WFOE and Beijing NIO Network Technology Co., Ltd. or Beijing NIO.</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Beijing NIO</w:t>
      </w:r>
    </w:p>
    <w:p>
      <w:pPr>
        <w:spacing w:after="0" w:line="117"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b w:val="1"/>
          <w:bCs w:val="1"/>
          <w:i w:val="1"/>
          <w:iCs w:val="1"/>
          <w:color w:val="auto"/>
        </w:rPr>
        <w:t xml:space="preserve">Power of Attorney. </w:t>
      </w:r>
      <w:r>
        <w:rPr>
          <w:rFonts w:ascii="Arial" w:cs="Arial" w:eastAsia="Arial" w:hAnsi="Arial"/>
          <w:sz w:val="18"/>
          <w:szCs w:val="18"/>
          <w:color w:val="auto"/>
        </w:rPr>
        <w:t>On April 19, 2018, each shareholder of Beijing NIO, Beijing NIO and the NIO WFOE entered into powers of attorney.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contained in the respective powers of attorney are substantially similar. Pursuant to the powers of attorney, each shareholder of Beijing NIO irrevocably authorized the WFOE to act on the behalf of such shareholder with respect to all matters concerning the shareholding of the shares in Beijing NIO, including without limitation, attending shareholders’ meetings of Beijing NIO, exercising all the shareholders’ rights and shareholders’ voting rights, and designating and appointing the legal representative, directors, supervisors, chief executive officer and other senior management members of Beijing NIO.</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Loan Agreement. </w:t>
      </w:r>
      <w:r>
        <w:rPr>
          <w:rFonts w:ascii="Arial" w:cs="Arial" w:eastAsia="Arial" w:hAnsi="Arial"/>
          <w:sz w:val="16"/>
          <w:szCs w:val="16"/>
          <w:color w:val="auto"/>
        </w:rPr>
        <w:t>On April 19, 2018, each shareholder of Beijing NIO, Beijing NIO and NIO WFOE entered into loan agreements. The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in the respective loan agreements are substantially similar. Pursuant to the loan agreement, the NIO WFOE should provide the shareholders of Beijing NIO with a loan in aggregate amount of RMB10 million for the purpose of contribution of the registered capital of the Beijing NIO or increase of the working capital of Beijing NIO. The shareholders agree that the proceeds from the transfer of the equity interest of the shareholders in Beijing NIO or for the working capital of Beijing NIO, pursuant to the exercise of the right to acquire such equity interest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i w:val="1"/>
          <w:iCs w:val="1"/>
          <w:color w:val="auto"/>
        </w:rPr>
        <w:t xml:space="preserve">Equity Interest Pledge Agreement. </w:t>
      </w:r>
      <w:r>
        <w:rPr>
          <w:rFonts w:ascii="Arial" w:cs="Arial" w:eastAsia="Arial" w:hAnsi="Arial"/>
          <w:sz w:val="17"/>
          <w:szCs w:val="17"/>
          <w:color w:val="auto"/>
        </w:rPr>
        <w:t>On April 19, 2018, each shareholder of Beijing NIO, Beijing NIO, and NIO WFOE entered into equity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pledge agreements. The terms contained in the respective equity interest pledge agreements are substantially similar. Pursuant to the equity pledge agreements, those shareholders should pledge 100% equity interest in Beijing NIO to the NIO WFOE to guarantee the performance by Beijing NIO and its shareholders of their obligations under the loan agreement, the exclusive option agreement, the exclusive business cooperation agreement, the power of attorney. If events of default defined therein occur, upon giving written notice to the shareholders, as pledgee, the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Beijing NIO or any portion thereof. As of the date of this prospectus, we have completed registering the equity pledge with the relevant office of the SAMR in accordance with the PRC Property Rights Law.</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Beijing NIO</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Exclusive Business Cooperation Agreement. </w:t>
      </w:r>
      <w:r>
        <w:rPr>
          <w:rFonts w:ascii="Arial" w:cs="Arial" w:eastAsia="Arial" w:hAnsi="Arial"/>
          <w:sz w:val="18"/>
          <w:szCs w:val="18"/>
          <w:color w:val="auto"/>
        </w:rPr>
        <w:t>On April 19, 2018, Beijing NIO and NIO WFOE entered into an exclusive business cooperation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the exclusive business cooperation agreement, NIO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WFOE has the exclusive right to provide Beijing NIO with comprehensive technical support, consulting services and other services. Without prior written consent of NIO WFOE, Beijing NIO should not directly or indirectly accept the same or any similar services provided by any third party regarding the matters contemplated by this agreement. During the term of this agreement where necessary, Beijing NIO may enter into further service agreements with the NIO WFOE or any other party designated by the NIO WFOE, which shall provide the specific contents, methods, personnel, and fees for specific services. Beijing NIO should pay the NIO WFOE service fees, which should be determined by the NIO WFOE after considering, among other things, the operation conditions of Beijing NIO, contents and value of the services provided by the NIO WFOE. The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the NIO WFOE, the agreement shall remain effective.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Beijing NIO</w:t>
      </w:r>
    </w:p>
    <w:p>
      <w:pPr>
        <w:spacing w:after="0" w:line="11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Exclusive Option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19, 2018, each shareholder of Beijing NIO, Beijing NIO and the NIO WFOE entered into exclusive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agreements. The terms contained in the respective exclusive option agreements are substantially similar. Pursuant to the exclusive option agreement, the shareholders of Beijing NIO irrevocably granted the NIO WFOE an irrevocable and exclusive right to purchase, or designate one or more persons to purchase the equity interests in Beijing NIO held by the shareholders at a price equal to the amount of registered capital contributed by the shareholders in Beijing NIO or any portion thereof, or at a price mutually agreed by the NIO WFOE and the shareholders. Those shareholders further undertake that, without the prior written consent of the NIO WFOE, Beijing NIO should not sell, transfer, mortgage or dispose of in any other manner any legal or equity interest in Beijing NIO held by its shareholders, or allow the encumbrance thereon, except for the interest placed in accordance with the equity interest pledge agreement, power of attorney and this agreement. Without the prior written consent of the NIO WFOE, shareholders shall cause the shareholders’ meeting or the directors (or the executive director) of Beijing NIO not to approve the merger or consolidation with any person, or acquisition of or investment in any person. This agreement will remain effective until all equity interests held by those shareholders in Beijing NIO have been transferred or assigned to the NIO WFOE and/or any other person designated by the NIO WFOE in accordance with this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opinion of Han Kun Law Offices, our PRC legal counsel:</w:t>
      </w:r>
    </w:p>
    <w:p>
      <w:pPr>
        <w:spacing w:after="0" w:line="131" w:lineRule="exact"/>
        <w:rPr>
          <w:sz w:val="20"/>
          <w:szCs w:val="20"/>
          <w:color w:val="auto"/>
        </w:rPr>
      </w:pPr>
    </w:p>
    <w:p>
      <w:pPr>
        <w:ind w:left="1060" w:right="5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structures of our VIEs in China and the NIO WFOE, both currently and immediately after giving effect to this offering, comply with all existing PRC laws and regulations; and</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between the NIO WFOE, our VIEs and their respective shareholders governed by PRC laws are valid, binding and enforceable, and will not result in any violation of PRC laws or regulations currently in effect.</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In particular, in January 2015, the MOFCOM published a discussion draft of the proposed Foreign Investment Law for public review and comments. Among other things, the draft Foreign Investment Law expands the definition of foreign investment and introduces the principle of “de facto control” in determining whether a company is considered an FIE. Under the draft Foreign Investment Law, variable interest entities would also be deemed as FIEs, if they are ultimately “controlled” by foreign investors, and be subject to restrictions on foreign investments. It is uncertain when the draft would be signed into law and whether the final version would have any substantial changes from the draft. Accordingly, the PRC regulatory authorities may in the future take a view that is contrary to the above opinion of our PRC counsel. If the PRC government finds that the agreements that establish the structure for operating our business do not comply with PRC government restrictions on foreign investment, we may be required to unwind such agreements and/or dispose of such business.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following selected consolidated statements of comprehensive loss and cash flow data for the years ended December 31, 2016 and 2017, and selected consolidated balance sheet data as of December 31, 2016 and 2017 have been derived from our audited consolidated financial statements included elsewhere in this prospectus. The following selected consolidated statements of comprehensive loss and cash flow data for the six months ended June 30, 2017 and 2018, and selected consolidated balance sheet data as of June 30, 2018 have been derived from our unaudited interim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tcBorders>
              <w:bottom w:val="single" w:sz="8" w:color="auto"/>
            </w:tcBorders>
            <w:gridSpan w:val="6"/>
          </w:tcPr>
          <w:p>
            <w:pPr>
              <w:jc w:val="center"/>
              <w:ind w:left="772"/>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40" w:type="dxa"/>
            <w:vAlign w:val="bottom"/>
            <w:gridSpan w:val="7"/>
          </w:tcPr>
          <w:p>
            <w:pPr>
              <w:ind w:left="860"/>
              <w:spacing w:after="0" w:line="142" w:lineRule="exact"/>
              <w:rPr>
                <w:sz w:val="20"/>
                <w:szCs w:val="20"/>
                <w:color w:val="auto"/>
              </w:rPr>
            </w:pPr>
            <w:r>
              <w:rPr>
                <w:rFonts w:ascii="Arial" w:cs="Arial" w:eastAsia="Arial" w:hAnsi="Arial"/>
                <w:sz w:val="14"/>
                <w:szCs w:val="14"/>
                <w:b w:val="1"/>
                <w:bCs w:val="1"/>
                <w:color w:val="auto"/>
                <w:w w:val="90"/>
              </w:rPr>
              <w:t>(in thousands, except for shares and per share)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Consolidated Statements of</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Vehicle sales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sales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Vehicle sales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(185,531)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sales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(13,648)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(199,179)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(1,465,353)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(2,602,889)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(393,358)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(1,031,253)</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(1,459,344)</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(1,137,187)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(2,350,707)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(355,247)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(964,363)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(1,726,297)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(260,884)</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(748,605)</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(1,995,616)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(3,185,641)</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(2,602,540)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(4,953,596)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(748,605)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(1,995,616)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(3,338,829)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27,556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(19,642)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Shares of losses of equity investee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(5,375)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(2,986)</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(7,358)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income/(loss), net</w:t>
            </w:r>
          </w:p>
        </w:tc>
        <w:tc>
          <w:tcPr>
            <w:tcW w:w="98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(58,681)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(8,869)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(11,635)</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(4,897)</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(2,568,940)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(5,013,268)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(757,623)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(2,016,197)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(3,321,161)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(501,905)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gridSpan w:val="2"/>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(5,021,174)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(758,818)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(3,325,529)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(502,565)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Accretion on convertible redeemable preferred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shares to redemption value</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(981,233)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(2,576,935)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(389,436)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(1,139,341)</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(6,744,283)</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(1,019,220)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500" w:type="dxa"/>
            <w:vAlign w:val="bottom"/>
            <w:tcBorders>
              <w:bottom w:val="single" w:sz="8" w:color="auto"/>
            </w:tcBorders>
            <w:gridSpan w:val="6"/>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center"/>
              <w:ind w:right="56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gridSpan w:val="14"/>
          </w:tcPr>
          <w:p>
            <w:pPr>
              <w:ind w:left="140"/>
              <w:spacing w:after="0" w:line="142" w:lineRule="exact"/>
              <w:rPr>
                <w:sz w:val="20"/>
                <w:szCs w:val="20"/>
                <w:color w:val="auto"/>
              </w:rPr>
            </w:pPr>
            <w:r>
              <w:rPr>
                <w:rFonts w:ascii="Arial" w:cs="Arial" w:eastAsia="Arial" w:hAnsi="Arial"/>
                <w:sz w:val="14"/>
                <w:szCs w:val="14"/>
                <w:b w:val="1"/>
                <w:bCs w:val="1"/>
                <w:color w:val="auto"/>
                <w:w w:val="89"/>
              </w:rPr>
              <w:t>(in thousands, except for shares and per share)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gridSpan w:val="4"/>
          </w:tcPr>
          <w:p>
            <w:pPr>
              <w:spacing w:after="0" w:line="205" w:lineRule="exact"/>
              <w:rPr>
                <w:sz w:val="20"/>
                <w:szCs w:val="20"/>
                <w:color w:val="auto"/>
              </w:rPr>
            </w:pPr>
            <w:r>
              <w:rPr>
                <w:rFonts w:ascii="Arial" w:cs="Arial" w:eastAsia="Arial" w:hAnsi="Arial"/>
                <w:sz w:val="18"/>
                <w:szCs w:val="18"/>
                <w:b w:val="1"/>
                <w:bCs w:val="1"/>
                <w:color w:val="auto"/>
                <w:w w:val="95"/>
              </w:rPr>
              <w:t>Net loss attributable to ordinary shareholder of</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NIO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(3,517,549)</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(7,561,669)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(1,142,747)</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(3,130,592)</w:t>
            </w:r>
          </w:p>
        </w:tc>
        <w:tc>
          <w:tcPr>
            <w:tcW w:w="180" w:type="dxa"/>
            <w:vAlign w:val="bottom"/>
          </w:tcPr>
          <w:p>
            <w:pPr>
              <w:spacing w:after="0"/>
              <w:rPr>
                <w:sz w:val="20"/>
                <w:szCs w:val="20"/>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(10,054,534)</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(1,519,476)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(2,573,254)</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(5,021,174)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(758,818)</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(3,325,529)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Other comprehensive loss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Foreign currency translation adjustment, net of nil</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2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(124,374)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(18,796)</w:t>
            </w:r>
          </w:p>
        </w:tc>
        <w:tc>
          <w:tcPr>
            <w:tcW w:w="14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23"/>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(124,374)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(18,796)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(29,678)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(153,155)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(2,517,761)</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(5,145,548)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(777,614)</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(2,050,200)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(3,478,684)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(525,710)</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4"/>
          </w:tcPr>
          <w:p>
            <w:pPr>
              <w:spacing w:after="0" w:line="195" w:lineRule="exact"/>
              <w:rPr>
                <w:sz w:val="20"/>
                <w:szCs w:val="20"/>
                <w:color w:val="auto"/>
              </w:rPr>
            </w:pPr>
            <w:r>
              <w:rPr>
                <w:rFonts w:ascii="Arial" w:cs="Arial" w:eastAsia="Arial" w:hAnsi="Arial"/>
                <w:sz w:val="18"/>
                <w:szCs w:val="18"/>
                <w:color w:val="auto"/>
              </w:rPr>
              <w:t>Accretion on convertible redeemable preferred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shares to redemption value</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(981,233)</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(2,576,935)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(389,436)</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(1,139,341)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(6,744,283)</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Comprehensive loss attributable to NIO Inc.</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(3,462,056)</w:t>
            </w:r>
          </w:p>
        </w:tc>
        <w:tc>
          <w:tcPr>
            <w:tcW w:w="22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(7,686,043)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(1,161,543)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(3,160,270)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(10,207,689)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(1,542,621)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Weighted average number of ordinary shares</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used in computing net loss per share</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16,697,527</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21,801,525</w:t>
            </w:r>
          </w:p>
        </w:tc>
        <w:tc>
          <w:tcPr>
            <w:tcW w:w="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21,801,525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20,141,298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28,661,459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28,661,459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per share attributable to ordinary</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(210.66)</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(346.84)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(52.42)</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(350.80)</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121"/>
        </w:trPr>
        <w:tc>
          <w:tcPr>
            <w:tcW w:w="1100" w:type="dxa"/>
            <w:vAlign w:val="bottom"/>
            <w:tcBorders>
              <w:bottom w:val="single" w:sz="8" w:color="auto"/>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980" w:type="dxa"/>
            <w:vAlign w:val="bottom"/>
            <w:gridSpan w:val="5"/>
          </w:tcPr>
          <w:p>
            <w:pPr>
              <w:spacing w:after="0"/>
              <w:rPr>
                <w:sz w:val="20"/>
                <w:szCs w:val="20"/>
                <w:color w:val="auto"/>
              </w:rPr>
            </w:pPr>
            <w:r>
              <w:rPr>
                <w:rFonts w:ascii="Arial" w:cs="Arial" w:eastAsia="Arial" w:hAnsi="Arial"/>
                <w:sz w:val="14"/>
                <w:szCs w:val="14"/>
                <w:color w:val="auto"/>
              </w:rPr>
              <w:t>Note: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gridSpan w:val="7"/>
          </w:tcPr>
          <w:p>
            <w:pPr>
              <w:spacing w:after="0"/>
              <w:rPr>
                <w:sz w:val="20"/>
                <w:szCs w:val="20"/>
                <w:color w:val="auto"/>
              </w:rPr>
            </w:pPr>
            <w:r>
              <w:rPr>
                <w:rFonts w:ascii="Arial" w:cs="Arial" w:eastAsia="Arial" w:hAnsi="Arial"/>
                <w:sz w:val="14"/>
                <w:szCs w:val="14"/>
                <w:color w:val="auto"/>
              </w:rPr>
              <w:t>(1)  Share-based compensation was allocated in operating expenses as follows: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2480" w:type="dxa"/>
            <w:vAlign w:val="bottom"/>
            <w:gridSpan w:val="11"/>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Research and development expenses</w:t>
            </w: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w w:val="93"/>
              </w:rPr>
              <w:t>14,484</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88"/>
              </w:rPr>
              <w:t>23,210</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3,508</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10,900</w:t>
            </w: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w w:val="92"/>
              </w:rPr>
              <w:t>Selling, general and administrative expenses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color w:val="auto"/>
                <w:w w:val="93"/>
              </w:rPr>
              <w:t>62,200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w w:val="88"/>
              </w:rPr>
              <w:t>67,086</w:t>
            </w:r>
          </w:p>
        </w:tc>
        <w:tc>
          <w:tcPr>
            <w:tcW w:w="280" w:type="dxa"/>
            <w:vAlign w:val="bottom"/>
            <w:vMerge w:val="restart"/>
          </w:tcPr>
          <w:p>
            <w:pPr>
              <w:spacing w:after="0"/>
              <w:rPr>
                <w:sz w:val="15"/>
                <w:szCs w:val="15"/>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97"/>
              </w:rPr>
              <w:t>10,138</w:t>
            </w:r>
          </w:p>
        </w:tc>
        <w:tc>
          <w:tcPr>
            <w:tcW w:w="140" w:type="dxa"/>
            <w:vAlign w:val="bottom"/>
          </w:tcPr>
          <w:p>
            <w:pPr>
              <w:spacing w:after="0"/>
              <w:rPr>
                <w:sz w:val="15"/>
                <w:szCs w:val="15"/>
                <w:color w:val="auto"/>
              </w:rPr>
            </w:pPr>
          </w:p>
        </w:tc>
        <w:tc>
          <w:tcPr>
            <w:tcW w:w="140" w:type="dxa"/>
            <w:vAlign w:val="bottom"/>
            <w:vMerge w:val="restart"/>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w w:val="88"/>
              </w:rPr>
              <w:t>24,938</w:t>
            </w:r>
          </w:p>
        </w:tc>
        <w:tc>
          <w:tcPr>
            <w:tcW w:w="280" w:type="dxa"/>
            <w:vAlign w:val="bottom"/>
          </w:tcPr>
          <w:p>
            <w:pPr>
              <w:spacing w:after="0"/>
              <w:rPr>
                <w:sz w:val="15"/>
                <w:szCs w:val="15"/>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4"/>
                <w:szCs w:val="14"/>
                <w:color w:val="auto"/>
              </w:rPr>
              <w:t>93,146</w:t>
            </w:r>
          </w:p>
        </w:tc>
        <w:tc>
          <w:tcPr>
            <w:tcW w:w="300" w:type="dxa"/>
            <w:vAlign w:val="bottom"/>
            <w:vMerge w:val="restart"/>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14,076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gridSpan w:val="2"/>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460" w:type="dxa"/>
            <w:vAlign w:val="bottom"/>
            <w:tcBorders>
              <w:bottom w:val="single" w:sz="8" w:color="auto"/>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gridSpan w:val="4"/>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3"/>
              </w:rPr>
              <w:t>76,684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88"/>
              </w:rPr>
              <w:t>90,296</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13,646</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35,838</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8"/>
              </w:rPr>
              <w:t>105,564</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15,953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2016 and 2017 and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3"/>
              </w:rPr>
              <w:t>Actual</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60" w:type="dxa"/>
            <w:vAlign w:val="bottom"/>
          </w:tcPr>
          <w:p>
            <w:pPr>
              <w:spacing w:after="0"/>
              <w:rPr>
                <w:sz w:val="10"/>
                <w:szCs w:val="10"/>
                <w:color w:val="auto"/>
              </w:rPr>
            </w:pPr>
          </w:p>
        </w:tc>
        <w:tc>
          <w:tcPr>
            <w:tcW w:w="2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US$</w:t>
            </w:r>
          </w:p>
        </w:tc>
        <w:tc>
          <w:tcPr>
            <w:tcW w:w="11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120" w:type="dxa"/>
            <w:vAlign w:val="bottom"/>
            <w:tcBorders>
              <w:top w:val="single" w:sz="8" w:color="auto"/>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69"/>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6"/>
          </w:tcPr>
          <w:p>
            <w:pPr>
              <w:jc w:val="right"/>
              <w:ind w:right="48"/>
              <w:spacing w:after="0" w:line="142" w:lineRule="exact"/>
              <w:rPr>
                <w:sz w:val="20"/>
                <w:szCs w:val="20"/>
                <w:color w:val="auto"/>
              </w:rPr>
            </w:pPr>
            <w:r>
              <w:rPr>
                <w:rFonts w:ascii="Arial" w:cs="Arial" w:eastAsia="Arial" w:hAnsi="Arial"/>
                <w:sz w:val="14"/>
                <w:szCs w:val="14"/>
                <w:b w:val="1"/>
                <w:bCs w:val="1"/>
                <w:color w:val="auto"/>
              </w:rPr>
              <w:t>(in thousands, except for shares data)</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Consolidated</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Sheet Data:</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581,296</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7,505,954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1,134,327</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4,423,234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668,455</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4,423,234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668,455</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11,747,809</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1,775,371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cash—current</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Long-term restricted cash</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15,335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14,293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36,398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5,501</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36,398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36,398</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Property, plant and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net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833,004</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1,911,013</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288,799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Total assets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1,770,478</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10,468,034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1,581,967</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10,276,097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1,552,960</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10,276,097</w:t>
            </w:r>
          </w:p>
        </w:tc>
        <w:tc>
          <w:tcPr>
            <w:tcW w:w="14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1,552,960</w:t>
            </w:r>
          </w:p>
        </w:tc>
        <w:tc>
          <w:tcPr>
            <w:tcW w:w="160" w:type="dxa"/>
            <w:vAlign w:val="bottom"/>
            <w:vMerge w:val="restart"/>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17,600,672</w:t>
            </w:r>
          </w:p>
        </w:tc>
        <w:tc>
          <w:tcPr>
            <w:tcW w:w="140" w:type="dxa"/>
            <w:vAlign w:val="bottom"/>
            <w:vMerge w:val="restart"/>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2,659,876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825,264</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2,402,028</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363,004</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4,433,062</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669,939</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4,234,268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639,898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4,234,268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639,898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Total mezzanine equity</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4,861,574</w:t>
            </w:r>
          </w:p>
        </w:tc>
        <w:tc>
          <w:tcPr>
            <w:tcW w:w="20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19,657,786</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2,970,755</w:t>
            </w:r>
          </w:p>
        </w:tc>
        <w:tc>
          <w:tcPr>
            <w:tcW w:w="20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27,605,620</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4,171,861</w:t>
            </w:r>
          </w:p>
        </w:tc>
        <w:tc>
          <w:tcPr>
            <w:tcW w:w="2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1,124,900</w:t>
            </w:r>
          </w:p>
        </w:tc>
        <w:tc>
          <w:tcPr>
            <w:tcW w:w="14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169,999</w:t>
            </w:r>
          </w:p>
        </w:tc>
        <w:tc>
          <w:tcPr>
            <w:tcW w:w="160" w:type="dxa"/>
            <w:vAlign w:val="bottom"/>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1,124,900</w:t>
            </w:r>
          </w:p>
        </w:tc>
        <w:tc>
          <w:tcPr>
            <w:tcW w:w="14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169,999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shareholders’</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(deficit)/equity</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(3,916,360)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(11,591,780)</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(1,751,792)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(21,762,585)</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(3,288,840)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4,916,929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743,063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12,241,504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1,849,979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Total shares outstanding</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17,773,459</w:t>
            </w:r>
          </w:p>
        </w:tc>
        <w:tc>
          <w:tcPr>
            <w:tcW w:w="20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23,850,343</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23,850,343</w:t>
            </w:r>
          </w:p>
        </w:tc>
        <w:tc>
          <w:tcPr>
            <w:tcW w:w="20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31,540,943</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4"/>
              </w:rPr>
              <w:t>31,540,943</w:t>
            </w:r>
          </w:p>
        </w:tc>
        <w:tc>
          <w:tcPr>
            <w:tcW w:w="2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851,041,978</w:t>
            </w:r>
          </w:p>
        </w:tc>
        <w:tc>
          <w:tcPr>
            <w:tcW w:w="14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851,041,978</w:t>
            </w:r>
          </w:p>
        </w:tc>
        <w:tc>
          <w:tcPr>
            <w:tcW w:w="160" w:type="dxa"/>
            <w:vAlign w:val="bottom"/>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1,011,041,978</w:t>
            </w:r>
          </w:p>
        </w:tc>
        <w:tc>
          <w:tcPr>
            <w:tcW w:w="14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1,011,041,978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100" w:hanging="316"/>
        <w:spacing w:after="0" w:line="22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on a pro forma basis to give effect to the automatic conversion of all of our outstanding ordinary shares and preferred shares into 851,041,978 ordinary shares immediately prior to the completion of this offering.</w:t>
      </w:r>
    </w:p>
    <w:p>
      <w:pPr>
        <w:ind w:left="520" w:right="180" w:hanging="316"/>
        <w:spacing w:after="0" w:line="227"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basis to give effect to (i) the automatic conversion of all of our outstanding ordinary shares and preferred shares into 851,041,978 ordinary shares immediately prior to the completion of this offering; and (ii) the sale of 160,000,000 Class A ordinary shares in the form of ADSs by us in this offering at an initial public offering price of US$7.25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presents our selected consolidated cash flow data for the years ended December 31, 2016 and 2017 and the six months ended June 30, 2017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the Year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For the Six Months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3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(2,201,564)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(4,574,719)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(691,349)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(2,132,644)</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(3,634,780)</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(549,301)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(1,190,273)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(1,721,738)</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(1,153,962)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2,292,704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12,867,334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4,694,897</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1,897,832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286,808</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(160,219)</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6,934,222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821,948</w:t>
            </w:r>
          </w:p>
        </w:tc>
        <w:tc>
          <w:tcPr>
            <w:tcW w:w="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(3,051,129)</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(461,098)</w:t>
            </w: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 at beginning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1,138,090</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Cash, cash equivalents and restricted cash at end of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year/period</w:t>
            </w:r>
          </w:p>
        </w:tc>
        <w:tc>
          <w:tcPr>
            <w:tcW w:w="900" w:type="dxa"/>
            <w:vAlign w:val="bottom"/>
          </w:tcPr>
          <w:p>
            <w:pPr>
              <w:jc w:val="right"/>
              <w:spacing w:after="0"/>
              <w:rPr>
                <w:sz w:val="20"/>
                <w:szCs w:val="20"/>
                <w:color w:val="auto"/>
              </w:rPr>
            </w:pPr>
            <w:r>
              <w:rPr>
                <w:rFonts w:ascii="Arial" w:cs="Arial" w:eastAsia="Arial" w:hAnsi="Arial"/>
                <w:sz w:val="18"/>
                <w:szCs w:val="18"/>
                <w:color w:val="auto"/>
              </w:rPr>
              <w:t>596,631</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1,138,090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1,418,579</w:t>
            </w:r>
          </w:p>
        </w:tc>
        <w:tc>
          <w:tcPr>
            <w:tcW w:w="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4,479,724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676,992</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w w:val="89"/>
              </w:rPr>
              <w:t>81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“Special Note Regarding Forward-Looking Statements” and elsewhere in this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the next generation technologies in connectivity, autonomous driving and artificial intelligence. Redefining user experience, we aim to provide users with comprehensive, convenient and innovative charging solutions and other user-centric service offerings.</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As of August 31, 2018, we had received 15,778 unfulfilled ES8 reservations with deposits.</w:t>
      </w:r>
    </w:p>
    <w:p>
      <w:pPr>
        <w:spacing w:after="0" w:line="166"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We plan to launch our second volume manufactured electric vehicle, the ES6, by the end of 2018 and start initial deliveries in the first half of 2019. The ES6 is a 5-seater, high-performance premium electric SUV, set at a lower price point than the ES8 to target a broader customer base.</w:t>
      </w:r>
    </w:p>
    <w:p>
      <w:pPr>
        <w:spacing w:after="0" w:line="12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began making deliveries of the ES8 to users on June 28, 2018, and we recorded revenues of RMB46.0 million (US$7.0 million) in June 2018, which mainly consisted of revenues from the sales of our vehicles, revenues from our services including charging solutions such as our energy package and one-off usage of our Power Express services as well as revenue from monthly fees, excluding those fees for statutory and third-party liability insurance and car damage insurance paid directly to third-party insurers, under our service package.</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ES8 is manufactured in partnership with JAC at its Hefei manufacturing plant and we also plan to initially manufacture the ES6 in partnership with JAC at the plant. Pursuant to our arrangement with JAC, given JAC’s significant investment in this plant for the manufacturing of our vehicles, we have agreed to compensate JAC to the extent the Hefei manufacturing plant incurs any operating losses for the first 36 months after the plant commences mass production, which occurred on April 10, 2018. We expect that the Hefei manufacturing plant’s ability to achieve and/or maintain profitability will be significantly affected by our sales volumes. If we are obligated to compensate JAC for any losses, our cash flows and financial position could be materially impacted, particularly if such losses are incurred as a result of lower than anticipated sales volumes. See “Risk Factors— Manufacturing in collaboration with partners is subject to risks.”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1"/>
              </w:rPr>
              <w:t>Six Months Ended 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left="63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(185,531)</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(199,179)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(153,188)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(1,465,353)</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(2,602,889)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(393,358)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(1,031,253)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(1,459,344)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(1,137,187)</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(2,350,707)</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(355,247)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(964,363)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(1,726,297)</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(2,602,540)</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(4,953,596)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(1,995,616)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(3,185,641)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(481,425)</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40" w:type="dxa"/>
            <w:vAlign w:val="bottom"/>
            <w:gridSpan w:val="2"/>
            <w:vMerge w:val="continue"/>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(2,602,540)</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(4,953,596)</w:t>
            </w: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(1,995,616)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(3,338,829)</w:t>
            </w: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(504,575)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(18,084)</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(12,681)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(19,642)</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equity investee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income/(loss),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(58,681)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(2,568,940</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(5,013,268</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(757,623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(2,016,197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(3,321,161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(501,905)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(2,573,254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(5,021,174</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(758,818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(502,565)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hanging="31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Share-based compensation was allocated in operating expenses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general and administrative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520" w:type="dxa"/>
            <w:vAlign w:val="bottom"/>
          </w:tcPr>
          <w:p>
            <w:pPr>
              <w:jc w:val="right"/>
              <w:ind w:right="43"/>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r>
      <w:tr>
        <w:trPr>
          <w:trHeight w:val="142"/>
        </w:trPr>
        <w:tc>
          <w:tcPr>
            <w:tcW w:w="520" w:type="dxa"/>
            <w:vAlign w:val="bottom"/>
            <w:tcBorders>
              <w:top w:val="single" w:sz="8" w:color="auto"/>
              <w:bottom w:val="single" w:sz="8" w:color="auto"/>
            </w:tcBorders>
          </w:tcPr>
          <w:p>
            <w:pPr>
              <w:jc w:val="right"/>
              <w:ind w:right="2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US$</w:t>
            </w:r>
          </w:p>
        </w:tc>
      </w:tr>
      <w:tr>
        <w:trPr>
          <w:trHeight w:val="146"/>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right"/>
              <w:ind w:right="66"/>
              <w:spacing w:after="0" w:line="146"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3"/>
        </w:trPr>
        <w:tc>
          <w:tcPr>
            <w:tcW w:w="520" w:type="dxa"/>
            <w:vAlign w:val="bottom"/>
          </w:tcPr>
          <w:p>
            <w:pPr>
              <w:jc w:val="right"/>
              <w:spacing w:after="0"/>
              <w:rPr>
                <w:sz w:val="20"/>
                <w:szCs w:val="20"/>
                <w:color w:val="auto"/>
              </w:rPr>
            </w:pPr>
            <w:r>
              <w:rPr>
                <w:rFonts w:ascii="Arial" w:cs="Arial" w:eastAsia="Arial" w:hAnsi="Arial"/>
                <w:sz w:val="16"/>
                <w:szCs w:val="16"/>
                <w:color w:val="auto"/>
              </w:rPr>
              <w:t>14,484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23,210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10,900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12,418</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1,877</w:t>
            </w:r>
          </w:p>
        </w:tc>
      </w:tr>
      <w:tr>
        <w:trPr>
          <w:trHeight w:val="209"/>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62,200</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67,086</w:t>
            </w: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10,138</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24,938</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93,146</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14,076</w:t>
            </w:r>
          </w:p>
        </w:tc>
      </w:tr>
      <w:tr>
        <w:trPr>
          <w:trHeight w:val="223"/>
        </w:trPr>
        <w:tc>
          <w:tcPr>
            <w:tcW w:w="520" w:type="dxa"/>
            <w:vAlign w:val="bottom"/>
          </w:tcPr>
          <w:p>
            <w:pPr>
              <w:jc w:val="right"/>
              <w:spacing w:after="0"/>
              <w:rPr>
                <w:sz w:val="20"/>
                <w:szCs w:val="20"/>
                <w:color w:val="auto"/>
              </w:rPr>
            </w:pPr>
            <w:r>
              <w:rPr>
                <w:rFonts w:ascii="Arial" w:cs="Arial" w:eastAsia="Arial" w:hAnsi="Arial"/>
                <w:sz w:val="16"/>
                <w:szCs w:val="16"/>
                <w:color w:val="auto"/>
              </w:rPr>
              <w:t>76,684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90,296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13,646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35,838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105,564</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15,953</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980" w:space="720"/>
            <w:col w:w="454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240" w:top="459" w:right="41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Certain Principal of Statements of Comprehensive Loss Line Items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revenue components by amount and as a percentage of the total revenues for the periods presented.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2"/>
              </w:rPr>
              <w:t>Six Months Ended 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10"/>
          </w:tcPr>
          <w:p>
            <w:pPr>
              <w:ind w:left="6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2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44,399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6,710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6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45,991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6,951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began generating revenues in June 2018, when we began making deliveries and sales of the ES8. We currently generate revenues from (i) vehicle sales, which represent revenues from sales of the ES8, and (ii) other sales, which mainly consist of revenues from sales of our energy package and service package, and a number of embedded products and services offered together with vehicles sales. Embedded services and products include charging piles, vehicle internet connection service and extended lifetime warranty. Revenue from sales of the ES8 and charging piles are recognized when the vehicles are delivered and charging piles are installed. For vehicle internet connection service and extended lifetime warranty, we recognize revenue using a straight-line method. Revenues for the energy package or service package are recognized over time on a monthly basis as our customers receive and consume the benefits.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our cost of sales components by amount and as a percentage of our total cost of sales for the periods presented.</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RMB</w:t>
            </w: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w w:val="89"/>
              </w:rPr>
              <w:t>(in thousands, except for percentages)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2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(185,531)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(28,038)</w:t>
            </w:r>
          </w:p>
        </w:tc>
        <w:tc>
          <w:tcPr>
            <w:tcW w:w="46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(13,648)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2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(199,179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(30,101</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incur cost of sales in relation to (i) vehicle sales, including, among others, purchases of raw materials and manufacturing expenses, and (ii) other sales, including cost of sales relating to our energy package and service package, the installment of charging piles and directly related staff costs. Cost of sales with respect to vehicle sales also includes compensation to JAC for actual losses incurred at the Hefei manufacturing plant where the ES8 is manufactured.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sets forth the principal components of our research and development expenses by amount and as a percentage of our total research and development expenses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43"/>
              <w:spacing w:after="0"/>
              <w:rPr>
                <w:sz w:val="20"/>
                <w:szCs w:val="20"/>
                <w:color w:val="auto"/>
              </w:rPr>
            </w:pPr>
            <w:r>
              <w:rPr>
                <w:rFonts w:ascii="Arial" w:cs="Arial" w:eastAsia="Arial" w:hAnsi="Arial"/>
                <w:sz w:val="14"/>
                <w:szCs w:val="14"/>
                <w:b w:val="1"/>
                <w:bCs w:val="1"/>
                <w:color w:val="auto"/>
                <w:w w:val="94"/>
              </w:rPr>
              <w:t>Six Months Ended 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10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80" w:type="dxa"/>
            <w:vAlign w:val="bottom"/>
          </w:tcPr>
          <w:p>
            <w:pPr>
              <w:jc w:val="right"/>
              <w:ind w:right="83"/>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0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8"/>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Design and development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1,455,297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219,930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537,418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600,576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90,761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Employee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451,284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1,044,835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151,854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441,577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745,515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112,665</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51.1</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60,622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720" w:type="dxa"/>
            <w:vAlign w:val="bottom"/>
          </w:tcPr>
          <w:p>
            <w:pPr>
              <w:jc w:val="right"/>
              <w:spacing w:after="0"/>
              <w:rPr>
                <w:sz w:val="20"/>
                <w:szCs w:val="20"/>
                <w:color w:val="auto"/>
              </w:rPr>
            </w:pPr>
            <w:r>
              <w:rPr>
                <w:rFonts w:ascii="Arial" w:cs="Arial" w:eastAsia="Arial" w:hAnsi="Arial"/>
                <w:sz w:val="16"/>
                <w:szCs w:val="16"/>
                <w:color w:val="auto"/>
              </w:rPr>
              <w:t>7,819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38,940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5,885</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16,903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37,144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5,613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Rental and related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Others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30,828</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18,576</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1,465,353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2,602,889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393,358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1,031,253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1,459,344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220,541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Research and development expenses consist primarily of (i) design and development expenses, which include, among others, consultation fees, outsourcing fees and testing materials and (ii) employee compensation, representing salaries, welfare and bonuses as well as share-based compensation expenses for our research and development staff.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 among others.</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research and development expenses are mainly driven by the number of our research and development employees, the stage and scale of our vehicle development and development of technology.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the principal components of our selling, general and administrative expenses by amount and as a percentage of our total selling, general and administrative expenses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4"/>
                <w:szCs w:val="14"/>
                <w:b w:val="1"/>
                <w:bCs w:val="1"/>
                <w:color w:val="auto"/>
                <w:w w:val="98"/>
              </w:rPr>
              <w:t>Six Months Ended 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4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7"/>
          </w:tcPr>
          <w:p>
            <w:pPr>
              <w:jc w:val="right"/>
              <w:ind w:right="41"/>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Employee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473,302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929,928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140,534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399,729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796,121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120,313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Marketing and promotional expenses</w:t>
            </w:r>
          </w:p>
        </w:tc>
        <w:tc>
          <w:tcPr>
            <w:tcW w:w="720" w:type="dxa"/>
            <w:vAlign w:val="bottom"/>
          </w:tcPr>
          <w:p>
            <w:pPr>
              <w:jc w:val="right"/>
              <w:spacing w:after="0"/>
              <w:rPr>
                <w:sz w:val="20"/>
                <w:szCs w:val="20"/>
                <w:color w:val="auto"/>
              </w:rPr>
            </w:pPr>
            <w:r>
              <w:rPr>
                <w:rFonts w:ascii="Arial" w:cs="Arial" w:eastAsia="Arial" w:hAnsi="Arial"/>
                <w:sz w:val="16"/>
                <w:szCs w:val="16"/>
                <w:color w:val="auto"/>
              </w:rPr>
              <w:t>239,549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523,535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79,118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220,136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263,844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39,873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Rental and related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216,111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32,659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73,513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174,567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Professional services</w:t>
            </w:r>
          </w:p>
        </w:tc>
        <w:tc>
          <w:tcPr>
            <w:tcW w:w="720" w:type="dxa"/>
            <w:vAlign w:val="bottom"/>
          </w:tcPr>
          <w:p>
            <w:pPr>
              <w:jc w:val="right"/>
              <w:spacing w:after="0"/>
              <w:rPr>
                <w:sz w:val="20"/>
                <w:szCs w:val="20"/>
                <w:color w:val="auto"/>
              </w:rPr>
            </w:pPr>
            <w:r>
              <w:rPr>
                <w:rFonts w:ascii="Arial" w:cs="Arial" w:eastAsia="Arial" w:hAnsi="Arial"/>
                <w:sz w:val="16"/>
                <w:szCs w:val="16"/>
                <w:color w:val="auto"/>
              </w:rPr>
              <w:t>133,368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238,740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36,079</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121,001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185,683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28,061</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128,918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49,616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107,930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60" w:type="dxa"/>
            <w:vAlign w:val="bottom"/>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IT consumable, office supply and other low value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Arial" w:cs="Arial" w:eastAsia="Arial" w:hAnsi="Arial"/>
                <w:sz w:val="16"/>
                <w:szCs w:val="16"/>
                <w:color w:val="auto"/>
              </w:rPr>
              <w:t>consumables</w:t>
            </w:r>
          </w:p>
        </w:tc>
        <w:tc>
          <w:tcPr>
            <w:tcW w:w="720" w:type="dxa"/>
            <w:vAlign w:val="bottom"/>
          </w:tcPr>
          <w:p>
            <w:pPr>
              <w:jc w:val="right"/>
              <w:spacing w:after="0"/>
              <w:rPr>
                <w:sz w:val="20"/>
                <w:szCs w:val="20"/>
                <w:color w:val="auto"/>
              </w:rPr>
            </w:pPr>
            <w:r>
              <w:rPr>
                <w:rFonts w:ascii="Arial" w:cs="Arial" w:eastAsia="Arial" w:hAnsi="Arial"/>
                <w:sz w:val="16"/>
                <w:szCs w:val="16"/>
                <w:color w:val="auto"/>
              </w:rPr>
              <w:t>21,621</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114,668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17,329</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25,288</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59,598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9,007</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23,725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57,922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Others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106,972</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127,529</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51,355</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80,632</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1,137,187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2,350,707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355,247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964,363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1,726,297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260,884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selling, general and administrative expenses include (i) employee compensation including salaries, welfares and bonuses as well as share-based compensation expenses with respect to our employees other than research and development staff, (ii) marketing and promotional expenses, which primarily consist of marketing and advertising costs, sponsorship fees and racing costs related to our Formula E team, (iii) rental and related expenses, which primarily consist of rental for NIO Houses and other rented additional facilities in relation to our charging network and offices, (iv) professional service expenses, which consist of outsourcing fees primarily relating to human resources and IT functions, design fees paid for NIO Houses and fees paid to auditors and legal counsel, (v) depreciation and amortization expenses, primarily consisting of depreciation and amortization of leasehold improvements, IT equipment and software, among others, (vi) low value consumables, primarily consisting of, among others, IT consumables, office supplies, sample fees, IT-system related licenses, (vii) traveling expenses, and (viii) others, which includes expenses incurred in connection with our annual NIO Day and other miscellaneous expenses.</w:t>
      </w:r>
    </w:p>
    <w:p>
      <w:pPr>
        <w:spacing w:after="0" w:line="182"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Our selling, general and administrative expenses are significantly affected by the number of our non-research and development employees, marketing and promotion activities and the expansion of our sales and after-sales network, including NIO Houses and other leased properties.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Interest income primarily consists of interest earned on cash deposits in banks. In 2016, interest income also consisted of late payment penalties which we recorded as interest income related to a preferred shareholder having delayed an investment payment which was due in 2016.</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with respect to our indebtedness.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Share of losses of equity investee primarily consists of our share of the losses of Suzhou Zenlead XPT New Energy Technologies Co., Ltd., in which, as of June 30, 2018, we held a 35% equity interest. Our equity interest is accounted for using the equity method since we exercise significant influence but do not own a majority equity interest in or control Suzhou Zenlead XPT New Energy Technologies Co., Ltd.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income primarily consists of gains on trading in short-term investment securities, primarily consisting of structured bank deposits.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(Loss)/Income—Net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Other losses and income primarily consist of gains or losses we incur based on movements between the U.S. dollar and the RMB. We have historically held a significant portion of our cash and cash equivalents in U.S. dollars, while we have incurred a significant portion of our expenses in RMB. Other income also includes certain income we received with respect to one-off design and research and development services and rental of office space we have provided primarily to related parties.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Income tax expense primarily consists of current income tax expense, mainly attributable to intra-group income earned by our German subsidiary which is eliminated upon consolidation but was subject to tax in accordance with applicable tax law.</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Six Months Ended June 30, 2017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recorded revenues of RMB46.0 million (US$7.0 million) for vehicle sales and other sales for the six months ended June 30, 2018, as we began making deliveries of our first volume manufactured electric vehicle, the ES8, on June 28, 2018 and delivered 100 vehicles by June 30, 2018. We did not record any revenues for the six months ended June 30,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recorded cost of sales of RMB199.2 million (US$30.1 million) for the six months ended June 30, 2018. Our cost of sales mainly consists of (i) direct parts and materials of RMB67.4 million; (ii) processing fee and compensation to JAC for its operating losses incurred during the same period in the amount of RMB65.9 million; (iii) manufacturing overhead (including depreciation of assets associated with the production) of RMB53.4 million; and (iv) labor costs that are associated with sales of energy and service packages of RMB9.2 million. We did not record any cost of sales for the six months ended June 30,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Research and development expenses increased by 41.5% from RMB1,031.3 million in the six months ended June 30, 2017 to RMB1,459.3 million (US$220.5 million) in the six months ended June 30, 2018, primarily due to (i) a 68.8% increase in employee compensation, which increased from RMB441.6 million in the six months ended June 30, 2017 to RMB745.5 million (US$112.7 million) in the six months ended June 30, 2018, as the number of our research and development employees increased by approximately 79.0% from June 30, 2017 to June 30, 2018, (ii) a 11.8% increase in design and development expenses, which increased from RMB537.4 million in the six months ended June 30, 2017 to RMB600.6 million (US$90.8 million) in the six months ended June 30, 2018, as we engaged in frequent tests for the preparation of ES8 delivery, and (iii) a 81.1% increase in travel expenses, which increased from RMB23.3 million in the six months ended June 30, 2017 to RMB42.2 million (US$6.4 million) in the six months ended June 30, 2018, as our number of employees increased rapidly and employees increased their travel frequencies for deliveries of ES8 in the second quarter of 2018.</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Selling, general and administrative expenses increased by 79.0% from RMB964.4 million in the six months ended June 30, 2017 to RMB1,726.3 million (US$260.9 million) in the six months ended June 30, 2018, primarily due to, (i) a 99.2% increase in employee compensation with respect to our non-research and development employees, which increased from RMB399.7 million in the six months ended June 30, 2017 to RMB796.1 million (US$120.3 million) in the six months ended June 30, 2018, primarily due to an increase in the number of non-research and development employees by approximately 171.0% from June 30, 2017 to June 30, 2018, in line with the expansion of our business, (ii) a 137.5% increase in rental and related expenses, which increased from RMB73.5 million in the six months ended June 30, 2017 to RMB174.6 million (US$26.4 million) in the six months ended June 30, 2018, as we established our network of NIO Houses and rented additional facilities for our charging network and office space, and (iii) a 19.9% increase in marketing and promotional expenses, which increased from RMB220.1 million in the six months ended June 30, 2017 to RMB263.8 million (US$39.9 million) in the six months ended June 30, 2018, as we increased our marketing and advertising expenses for the ES8 in the second quarter of 2018 and incurred costs relating to an auto exhibition in Beijing in May 2018.</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a result of the foregoing, we incurred a loss from operations of RMB3,338.8 million (US$504.6 million) in the six months ended June 30, 2018, as compared to a loss of RMB1,995.6 million in the six months ended June 30, 2017.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six months ended June 30, 2018, we recorded interest income of RMB49.6 million (US$7.5 million) as compared to RMB4.7 million in the six months ended June 30, 2017, primarily due to the interest income received on higher cash balances deposited with banks in the six months ended June 30,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We recorded interest expenses of RMB19.6 million (US$3.0 million) in the six months ended June 30, 2018 as compared to RMB12.7 million in the six months ended June 30, 2017, primarily due to an increase in our indebtedness for the six months ended June 30, 2018.</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recorded share of losses of equity investee of RMB7.4 million (US$1.1 million) in the six months ended June 30, 2018 as compared to RMB3.0 million in the six months ended June 30, 2017, mainly consisting of our share of the losses in Suzhou Zenlead XPT New Energy Technologies Co., Ltd.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recorded investment income of RMB2.0 million in the six months ended June 30, 2017. In the six months ended June 30, 2018, we did not record any investment income.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Income/(Loss), Net</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recorded other losses of RMB4.9 million (US$0.7 million) in the six months ended June 30, 2018, as compared to other losses of RMB11.6 million in the six months ended June 30, 2017, primarily due to the appreciation of RMB against the U.S. dollar. For the six months ended June 30, 2018, we held a significant portion of our cash and cash equivalents in U.S. dollars, while we incurred a significant portion of our expenses in RMB.</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six months ended June 30, 2018, our income tax expense was RMB4.4 million (US$0.7 million), as compared to RMB4.3 million in the six months ended June 30, 2017. These income taxes represented income taxes paid with respect to transfer pricing compensation for our operations in Germany.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the foregoing, we incurred net loss of RMB3,325.5 million (US$502.6 million) in the six months ended June 30, 2018, as compared to a net loss of RMB2,020.5 million in the six months ended June 30,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2017 and 2016</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Research and development expenses increased by 77.6% from RMB1,465.4 million in 2016 to RMB2,602.9 million (US$393.4 million) in 2017, primarily due to (i) a 53.4% increase in design and development expenses, which increased from RMB948.8 million in 2016 to RMB1,455.3 million (US$219.9 million) in 2017, as we engaged in trial production of the ES8 and advanced the development of the ES6 and (ii) a 122.7% increase in employee compensation, which increased from RMB451.3 million in 2016 to RMB1,004.8 million (US$151.9 million) in 2017, as the number of our research and development employees increased by approximately 90.0% from December 31, 2016 to December 31, 2017.</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Selling, general and administrative expenses increased by 106.7% from RMB1,137.2 million in 2016 to RMB2,350.7 million (US$355.2 million) in 2017, due to, among others, (i) a 96.5% increase in employee compensation with respect to our non-research and development employees, which increased from RMB473.3 million in 2016 to RMB929.9 million (US$140.5 million) in 2017, primarily resulting from our number of non-research and development employees increased by approximately 90.0% from December 31, 2016 to December 31, 2017, in line with the expansion of our business,</w:t>
      </w:r>
    </w:p>
    <w:p>
      <w:pPr>
        <w:spacing w:after="0" w:line="2" w:lineRule="exact"/>
        <w:rPr>
          <w:sz w:val="20"/>
          <w:szCs w:val="20"/>
          <w:color w:val="auto"/>
        </w:rPr>
      </w:pPr>
    </w:p>
    <w:p>
      <w:pPr>
        <w:ind w:left="460" w:hanging="256"/>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118.5% increase in marketing and promotional expenses, which increased from RMB239.6 million in 2016 to RMB523.5 million (US$79.1</w:t>
      </w:r>
    </w:p>
    <w:p>
      <w:pPr>
        <w:spacing w:after="0" w:line="20" w:lineRule="exact"/>
        <w:rPr>
          <w:rFonts w:ascii="Arial" w:cs="Arial" w:eastAsia="Arial" w:hAnsi="Arial"/>
          <w:sz w:val="17"/>
          <w:szCs w:val="17"/>
          <w:color w:val="auto"/>
        </w:rPr>
      </w:pPr>
    </w:p>
    <w:p>
      <w:pPr>
        <w:ind w:left="200"/>
        <w:spacing w:after="0" w:line="292" w:lineRule="auto"/>
        <w:rPr>
          <w:rFonts w:ascii="Arial" w:cs="Arial" w:eastAsia="Arial" w:hAnsi="Arial"/>
          <w:sz w:val="17"/>
          <w:szCs w:val="17"/>
          <w:color w:val="auto"/>
        </w:rPr>
      </w:pPr>
      <w:r>
        <w:rPr>
          <w:rFonts w:ascii="Arial" w:cs="Arial" w:eastAsia="Arial" w:hAnsi="Arial"/>
          <w:sz w:val="16"/>
          <w:szCs w:val="16"/>
          <w:color w:val="auto"/>
        </w:rPr>
        <w:t>million) in 2017 as marketing and promotional activities increased, as we prepared to launch of our first volume manufactured vehicle, the ES8, (iii) a 136.2% increase in rental and related expenses, which increased from RMB91.5 million in 2016 to RMB216.1 million (US$32.7 million) in 2017, as we began to establish our network of NIO Houses and rented additional facilities in relation to our charging network and office space and (iv) increased depreciation and amortization expenses, resulting from our increased depreciable assets, including leasehold improvements, IT equipment and software, among others, as our business expanded. The increase was also due to increased low value consumable expenses, travel expenses and other expenses.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a result of the foregoing, we incurred a loss from operations of RMB4,953.6 million (US$748.6 million) in 2017, as compared to a loss of RMB2,602.5 million in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In 2017, we recorded interest income of RMB19.0 million (US$2.9 million) as compared to RMB27.6 million in 2016, primarily due to a preferred shareholder having delayed its investment payment due in 2016, which resulted in penalties which we recorded as interest income in 2016.</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2017, we recorded interest expense of RMB18.1 million (US$2.7 million), as compared to interest expense of RMB55,000 in 2016, primarily due to the increase in our indebtedness in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We recorded share of losses of equity investee of RMB5.4 million (US$0.8 million) in 2017, consisting of our share of the losses of Suzhou Zenlead XPT New Energy Technologies Co., Ltd. We did not record any share of losses of equity investee in 2016.</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2017, we recorded investment income of RMB3.5 million (US$0.5 million) as compared to RMB2.7 million in 2016, primarily due to a larger size of investment in 2017 as compared to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Income/(Loss)—Net</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recorded other losses of RMB58.7 million (US$8.9 million) in 2017, as compared to other income of RMB3.4 million in 2016, primarily due to the appreciation of RMB against the U.S. dollar. In 2017 we held a significant portion of our cash and cash equivalents in U.S. dollars, while a significant portion of our expenses were incurred in RMB.</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2017, our income tax expense was RMB7.9 million (US$1.2 million), an increase of 83.3% from RMB4.3 million in 2016, primarily due to income taxes paid with respect to transfer pricing compensation to our operations in Germany.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a result of the foregoing, we incurred net loss of RMB5,021.2 million (US$758.8 million) in 2017, as compared to a net loss of RMB2,573.3 million in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70"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Generally, our PRC subsidiaries are subject to enterprise income tax on their taxable income in China at a statutory rate of 25%. The enterprise income tax is calculated based on the entity’s global income as determined under PRC tax laws and accounting standards.</w:t>
      </w:r>
    </w:p>
    <w:p>
      <w:pPr>
        <w:spacing w:after="0" w:line="14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Our products and services are primarily subject to value-added tax at a rate of 16% on the vehicles, repair and maintenance services and charging services as well as 6% on services such as research and development services, in each case less any deductible value-added tax we have already paid or borne. We are also subject to surcharges on value-added tax payments in accordance with PRC law.</w:t>
      </w:r>
    </w:p>
    <w:p>
      <w:pPr>
        <w:spacing w:after="0" w:line="16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Dividends paid by our PRC subsidiaries in China to our Hong Kong subsidiaries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If our Hong Kong subsidiaries satisfy all the requirements under the tax arrangement and receives approval from the relevant tax authority, then the dividends paid to the Hong Kong subsidiaries would be subject to withholding tax at the standard rate of 5%. Effective from November 1, 2015, the above 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w:t>
      </w:r>
    </w:p>
    <w:p>
      <w:pPr>
        <w:spacing w:after="0" w:line="192"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PRC Enterprise Income Tax Law, research and development expenses incurred by an enterprise in the course of carrying out research and development activities that has not formed intangible assets and are included in the profit and loss account for the current year. Besides deducting the actual amount of research and development expenses incurred, an enterprise is allowed an additional 50% deduction of the amount in calculating its taxable income for the relevant year. For research and development expenses that have formed intangible assets, the tax amortization is based on 150% of the costs of the intangible assets.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24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unaudited consolidated selected quarterly results of operations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March 31, 2017</w:t>
            </w:r>
          </w:p>
        </w:tc>
        <w:tc>
          <w:tcPr>
            <w:tcW w:w="11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June 30, 2017</w:t>
            </w:r>
          </w:p>
        </w:tc>
        <w:tc>
          <w:tcPr>
            <w:tcW w:w="15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September 30, 2017</w:t>
            </w:r>
          </w:p>
        </w:tc>
        <w:tc>
          <w:tcPr>
            <w:tcW w:w="14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December 31, 2017</w:t>
            </w:r>
          </w:p>
        </w:tc>
        <w:tc>
          <w:tcPr>
            <w:tcW w:w="12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March 31, 2018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5"/>
          </w:tcPr>
          <w:p>
            <w:pPr>
              <w:jc w:val="right"/>
              <w:ind w:right="1080"/>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Vehicle sales</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44,399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sales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revenues</w:t>
            </w: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Vehicle sales</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(185,531)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sales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(13,648)</w:t>
            </w:r>
          </w:p>
        </w:tc>
        <w:tc>
          <w:tcPr>
            <w:tcW w:w="0" w:type="dxa"/>
            <w:vAlign w:val="bottom"/>
          </w:tcPr>
          <w:p>
            <w:pPr>
              <w:spacing w:after="0"/>
              <w:rPr>
                <w:sz w:val="1"/>
                <w:szCs w:val="1"/>
                <w:color w:val="auto"/>
              </w:rPr>
            </w:pPr>
          </w:p>
        </w:tc>
      </w:t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cost of sales</w:t>
            </w: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Gross loss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(153,188)</w:t>
            </w: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(509,313)</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(521,940)</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(747,209)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(824,427)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(694,139)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(443,262)</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(521,101)</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(540,648)</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(845,696)</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(769,729)</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(956,568)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(952,575)</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(1,043,041)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(1,287,857)</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(1,670,123)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(1,463,868)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(1,874,961)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1,881</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2,849</w:t>
            </w: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4,802</w:t>
            </w:r>
          </w:p>
        </w:tc>
        <w:tc>
          <w:tcPr>
            <w:tcW w:w="1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9,438</w:t>
            </w:r>
          </w:p>
        </w:tc>
        <w:tc>
          <w:tcPr>
            <w:tcW w:w="1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28,437</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(12,681)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(2,304)</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(3,099)</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(5,200)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Share of losses of equity investee</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(2,986)</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(1,900)</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(489)</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(833)</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(6,525)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Other loss, net</w:t>
            </w: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(7,796)</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(3,839)</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(13,667)</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(33,379)</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(87,675)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82,778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income tax expense</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(958,389)</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(1,057,808)</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(1,299,419)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(1,697,652)</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(1,529,139)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(1,792,022)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(2,182)</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(2,143)</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(1,256)</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(2,325)</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(1,883)</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(2,485)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(960,571)</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(1,059,951)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(1,300,675)</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(1,699,977)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(1,531,022)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(1,794,507)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54" w:lineRule="auto"/>
        <w:rPr>
          <w:sz w:val="20"/>
          <w:szCs w:val="20"/>
          <w:color w:val="auto"/>
        </w:rPr>
      </w:pPr>
      <w:r>
        <w:rPr>
          <w:rFonts w:ascii="Arial" w:cs="Arial" w:eastAsia="Arial" w:hAnsi="Arial"/>
          <w:sz w:val="18"/>
          <w:szCs w:val="18"/>
          <w:color w:val="auto"/>
        </w:rPr>
        <w:t>We began making deliveries of our first volume manufactured electric vehicle, the ES8, on June 28, 2018, and recorded revenues of RMB46.0 million (US$7.0 million) in June 2018. Our losses were mainly the result of our research and development expenses and selling, general and administrative expenses. As we ramped up the development and manufacture of ES8 in the fourth quarter of 2017, our research and development expenses increased significantly compared with the first quarter of 2017, which was mainly attributable to increased research and development employee compensation and expenses relating to design and production of the ES8. In line with our business expansion, our selling, general administrative expenses also increased in the fourth quarter of 2017 as we hired additional marketing and sales employees, conducted more marketing and promotional activities to prepare for the launch of ES8, and established and expanded our network of NIO Houses, delivery centers and manufacturing factories.</w:t>
      </w:r>
    </w:p>
    <w:p>
      <w:pPr>
        <w:spacing w:after="0" w:line="19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Because of our limited operating history our business has not yet experienced the effects of seasonality, though we may do so in the future. See “—Seasonality.”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760" w:firstLine="441"/>
        <w:spacing w:after="0" w:line="312" w:lineRule="auto"/>
        <w:rPr>
          <w:sz w:val="20"/>
          <w:szCs w:val="20"/>
          <w:color w:val="auto"/>
        </w:rPr>
      </w:pPr>
      <w:r>
        <w:rPr>
          <w:rFonts w:ascii="Arial" w:cs="Arial" w:eastAsia="Arial" w:hAnsi="Arial"/>
          <w:sz w:val="16"/>
          <w:szCs w:val="16"/>
          <w:color w:val="auto"/>
        </w:rPr>
        <w:t>In addition to experiencing net losses during the periods presented, we had net cash used in operating activities of RMB2,201.6 million, RMB4,574.7 million (US$691.3 million) and RMB3,634.8 million (US$549.3 million) in 2016, 2017 and the six months ended June 30, 2018, respectively. Our principal sources of liquidity have been cash raised from the issuance of preference shares and banking facilities.</w:t>
      </w:r>
    </w:p>
    <w:p>
      <w:pPr>
        <w:spacing w:after="0" w:line="14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As of June 30, 2018, we had a total of RMB4,423.2 million (US$668.5 million) in cash and cash equivalents. As of June 30, 2018, 44% of our cash and cash equivalents were denominated in Renminbi and held in the PRC, and the other cash and cash equivalents and restricted cash were mainly denominated in U.S. dollars or Hong Kong dollars and held in the United States or Hong Kong. Our cash and cash equivalents consist primarily of cash on hand, time deposits and highly-liquid investments placed with banks or other financial institutions, which are unrestricted as to withdrawal and use, and which have original maturities of three months or less.</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of June 30, 2018, we had available banking facilities of RMB4,765.0 million (US$720.1 million), of which RMB872.3 million (US$131.8 million) was utilized for borrowings and RMB61.1 million (US$9.2 million) for letters of credit.</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believe that our current cash and cash equivalents, available banking facilities, anticipated cash receipts from sales of vehicles and provision of services and proceeds from third-party equity investments in certain of our subsidiaries, will be sufficient to meet our anticipated working capital requirements and capital expenditures for the next 12 months. We may, however, decide to enhance our liquidity position or increase our cash reserve for future investments or operations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the Year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jc w:val="center"/>
              <w:ind w:left="655"/>
              <w:spacing w:after="0"/>
              <w:rPr>
                <w:sz w:val="20"/>
                <w:szCs w:val="20"/>
                <w:color w:val="auto"/>
              </w:rPr>
            </w:pPr>
            <w:r>
              <w:rPr>
                <w:rFonts w:ascii="Arial" w:cs="Arial" w:eastAsia="Arial" w:hAnsi="Arial"/>
                <w:sz w:val="14"/>
                <w:szCs w:val="14"/>
                <w:b w:val="1"/>
                <w:bCs w:val="1"/>
                <w:color w:val="auto"/>
                <w:w w:val="93"/>
              </w:rPr>
              <w:t>For the Six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Cash Flow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(2,201,564)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(4,574,719)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(691,349)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(2,132,644)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(3,634,780)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(549,301)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(1,190,273)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(1,721,738)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(1,153,962)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2,292,704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12,867,334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4,694,897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1,897,832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286,808</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(25,407)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(160,219)</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6,934,222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1,047,923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821,948</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(3,051,129)</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(461,098)</w:t>
            </w: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 at beginning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1,138,090</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Cash, cash equivalents and restricted cash at end of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year/period</w:t>
            </w:r>
          </w:p>
        </w:tc>
        <w:tc>
          <w:tcPr>
            <w:tcW w:w="900" w:type="dxa"/>
            <w:vAlign w:val="bottom"/>
          </w:tcPr>
          <w:p>
            <w:pPr>
              <w:jc w:val="right"/>
              <w:spacing w:after="0"/>
              <w:rPr>
                <w:sz w:val="20"/>
                <w:szCs w:val="20"/>
                <w:color w:val="auto"/>
              </w:rPr>
            </w:pPr>
            <w:r>
              <w:rPr>
                <w:rFonts w:ascii="Arial" w:cs="Arial" w:eastAsia="Arial" w:hAnsi="Arial"/>
                <w:sz w:val="18"/>
                <w:szCs w:val="18"/>
                <w:color w:val="auto"/>
              </w:rPr>
              <w:t>596,631</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1,138,090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1,418,579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4,479,724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676,992</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w w:val="89"/>
              </w:rPr>
              <w:t>92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Net cash used in operating activities was RMB3,634.8 million (US$549.3 million) in the six months ended June 30, 2018, primarily attributable to a net loss of RMB3,325.5 million (US$502.6 million), adjusted for (i) non-cash items of RMB267.5 million (US$40.4 million), which primarily consisted of depreciation and amortization of RMB145.1 million (US$21.9 million), share-based compensation expenses of RMB105.6 million (US$16.0 million) and foreign exchange loss of RMB9.4 million (US$1.4 million) and (ii) a net decrease in working capital of RMB576.8 million</w:t>
      </w:r>
    </w:p>
    <w:p>
      <w:pPr>
        <w:spacing w:after="0" w:line="2"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(US$87.2 million). The net decrease in working capital was primarily attributable to an increase in inventories of RMB632.4 million (US$95.6 million), primarily related to purchase of raw materials, works in progress and finished goods, and an increase in prepayments and other current assets of RMB539.4 million (US$81.5 million), consisting primarily of deductible value-added tax and prepaid expenses, partially offset by an increase in trade payable and accruals and other liabilities of RMB610.0 million (US$92.2 million), consisting primarily of reservation and deposit fees from customers and payables to a key management team member, including the repayment in full of a non-recourse loan and payables in connection with the share-based compensation to this key management team member.</w:t>
      </w:r>
    </w:p>
    <w:p>
      <w:pPr>
        <w:spacing w:after="0" w:line="194"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Net cash used in operating activities was RMB4,574.7 million (US$691.3 million) in 2017, primarily attributable to a net loss of RMB5,021.2 million (US$758.8 million), adjusted for (i) non-cash items of RMB315.7 million (US$47.7 million), which primarily consisted of depreciation and amortization of RMB167.9 million (US$25.4 million), foreign exchange losses of RMB49.5 million (US$7.5 million) and share-based compensation expenses of RMB90.3 million (US$13.6 million) and (ii) a net increase in working capital of RMB130.7 million (US$19.8 million). The net increase in working capital was primarily attributable to an increase in accruals and other liabilities of RMB603.4 million (US$91.2 million), consisting primarily of payables for research and development expenses, accrued expenses and salaries and benefits payable, and an increase in other non-current liabilities of RMB78.6 million (US$11.9 million), consisting primarily of rental payable and deferred government grants, offset partially by, among others, an increase in prepayment and other current assets of RMB404.8 million (US$61.2 million), which primarily related to deductible value-added tax, prepaid expenses and deposits; an increase in inventories of RMB89.5 million (US$13.5 million), primarily related to purchases of raw materials, works in progress and finished goods, as we began trial production of the ES8 and; an increase in other non-current assets of RMB66.7 million (US$10.1 million).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operating activities was RMB2,201.6 million in 2016, primarily attributable to a net loss of RMB2,573.3 million, adjusted for</w:t>
      </w:r>
    </w:p>
    <w:p>
      <w:pPr>
        <w:spacing w:after="0" w:line="35" w:lineRule="exact"/>
        <w:rPr>
          <w:sz w:val="20"/>
          <w:szCs w:val="20"/>
          <w:color w:val="auto"/>
        </w:rPr>
      </w:pPr>
    </w:p>
    <w:p>
      <w:pPr>
        <w:ind w:left="200" w:firstLine="4"/>
        <w:spacing w:after="0" w:line="281" w:lineRule="auto"/>
        <w:tabs>
          <w:tab w:leader="none" w:pos="4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non-cash items of RMB114.8 million, which primarily consisted of depreciation and amortization of RMB46.1 million and share based compensation expenses of RMB76.7 million and (ii) a net decrease in working capital of RMB256.9 million. The net decrease in working capital was primarily attributable to an increase in accruals and other liabilities of RMB410.1 million, consisting primarily of payables for research and development expenses, accrued expenses and salaries and benefits payable, and an increase in other non-current liabilities of RMB61.2 million, consisting primarily of deferred rent and deferred government grants, offset partially by, among others, an increase in prepayment and, other current assets of</w:t>
      </w:r>
    </w:p>
    <w:p>
      <w:pPr>
        <w:spacing w:after="0" w:line="3"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RMB209.8 million, primarily related to deductible value-added taxes and an increase in other non-current assets.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was RMB1,154.0 million (US$174.4 million) in the six months ended June 30, 2018, primarily attributable to</w:t>
      </w:r>
    </w:p>
    <w:p>
      <w:pPr>
        <w:spacing w:after="0" w:line="46" w:lineRule="exact"/>
        <w:rPr>
          <w:sz w:val="20"/>
          <w:szCs w:val="20"/>
          <w:color w:val="auto"/>
        </w:rPr>
      </w:pPr>
    </w:p>
    <w:p>
      <w:pPr>
        <w:ind w:left="200" w:right="640" w:firstLine="4"/>
        <w:spacing w:after="0" w:line="261"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of property, plant and equipment and intangible assets of RMB1,079.3 million (US$163.1 million) and (ii) loan to related parties of RMB65.3 million (US$9.9 million).</w:t>
      </w:r>
    </w:p>
    <w:p>
      <w:pPr>
        <w:spacing w:after="0" w:line="18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Net cash used in investing activities was RMB1,190.3 million (US$179.9 million) in 2017, which was primarily attributable to (i) purchases of property, plant and equipment and intangible assets of RMB1,113.9 million (US$168.3 million), relating to the roll-out of our NIO House network and strengthening of research and development capabilities and (ii) purchases of held for trading securities of RMB1,337.4 million (US$202.1 million), consisting of certain short-term liquid investments, which were partially offset by proceeds from sales of securities held for trading of RMB1,340.9 million (US$202.6 million).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Net cash generated from investing activities was RMB117.8 million in 2016, which was primarily attributable to proceeds from sales of held for trading securities of RMB3,118.6 million, consisting of certain short-term liquid investments, partially offset by, among others, purchases of held for trading securities of RMB2,346.3 million and purchases of property, plant and equipment and intangible assets of RMB654.5 million, relating to the expansion of our research and development capabilities.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Net cash provided by financing activities was RMB1,897.8 million (US$286.8 million) in the six months ended June 30, 2018, primarily attributable to the proceeds from the issuance of redeemable non-controlling interests of RMB1,124.9 million (US$170.0 million), and the proceeds from borrowings of RMB613.9 million (US$92.8 million), partially offset by the repayment of borrowings of RMB28.8 million.</w:t>
      </w:r>
    </w:p>
    <w:p>
      <w:pPr>
        <w:spacing w:after="0" w:line="16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Net cash provided by financing activities was RMB12,867.3 million (US$1,944.6 million) in 2017, which was attributable to the net proceeds from the issuance of our series A, series B, series C, and series D preferred shares, with a sum of RMB12,226.5 million (US$1,847.7 million), and to a lesser extent the proceeds from borrowings of RMB633.7 million (US$95.8 million), and capital injections from non-controlling interests of RMB13.4 million (US$2.0 million).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Net cash provided by financing activities was RMB2,292.7 million in 2016, which was attributable to the net proceeds from the issuance of our series A and series B preferred shares of RMB2,263.6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made capital expenditures of RMB654.5 million, RMB1,113.9 million (US$168.3 million) and RMB1,079.3 million (US$163.1 million)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2017 and the six months ended June 30, 2018, respectively. In these periods, our capital expenditures were mainly used for the acquisition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property, plant and equipment and intangible assets which consisted primarily of mould and tooling, IT equipment, research and development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leasehold improvements, consisting primarily of office space, NIO Houses and laboratory improvements as well as the roll-out of our power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solutions. We currently estimate that our capital expenditures for the next three years, including for improvements and installation of equipment at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 manufacturing facility in Shanghai, for research and development and the expansion of our sales and service network, will be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US$1.7 billion, with approximately US$600 million incurred over the twelve months starting from July 2018. Through June 2018, we incurred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expenditures of RMB68.0 million (US$10.3 million) in connection with the roll-out of our network of power solutions, including NIO Power Home,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Power Express and other solutions. We currently plan to have 40 to 80 swap stations and approximately 400 charging trucks in place by the end of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based on our assessment of user demand. With respect to our Shanghai manufacturing facility, pursuant to our arrangements with certain Shanghai</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governmental entities, such entities are constructing the Shanghai manufacturing facility, which we plan to lease in the future and we have not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expenditures in connection with such construction. Once the factory is completed by such entities we plan to purchase and procure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and make improvements to the factory which we expect will involve significant capital expenditures. We currently estimate that such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will be approximately US$650 million, with approximately half financed through proceeds from this offering and cash on hand obtained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prior equity financing and cash from sales of vehicles and the other half financed through interest-free or low-interest debt financing supported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the relevant Shanghai governmental entities. We expect that our level of capital expenditures will be significantly affected by user demand for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and services. The fact that we have a limited operating history means we have limited historical data on the demand for our products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services. As a result, our future capital requirements may be uncertain and actual capital requirements may be different from those we currently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anticipate. To the extent the proceeds of this offering and cash flows from our business activities are insufficient to fund future capital requirements,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need to seek equity or debt financing. We will continue to make capital expenditures to support the expected growth of our business.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As of June 30, 2018, our total borrowings, including current borrowings and non-current borrowings, were RMB1,256.3 million (US$189.9 million), primarily consisting of bank loans and loan from investors of RMB384 million. The table below sets forth certain details of our bank borrowings as of June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34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Facility Size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Date/</w:t>
            </w:r>
          </w:p>
        </w:tc>
        <w:tc>
          <w:tcPr>
            <w:tcW w:w="120" w:type="dxa"/>
            <w:vAlign w:val="bottom"/>
          </w:tcPr>
          <w:p>
            <w:pPr>
              <w:spacing w:after="0"/>
              <w:rPr>
                <w:sz w:val="14"/>
                <w:szCs w:val="14"/>
                <w:color w:val="auto"/>
              </w:rPr>
            </w:pPr>
          </w:p>
        </w:tc>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Bank of Nanjing</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w w:val="96"/>
              </w:rPr>
              <w:t>RMB577.4 million; interest rate from 4.35%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2022</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to 5.795%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RMB35.0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April 3,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April 2,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China Merchants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RMB200.0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28,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5.22%;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27,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January 25, 2021</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RMB500.0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January 26,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RMB30.0 million; interest rate at 4.57%;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January 25,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August 11, 2018</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China CITIC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5.22%;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February 1, 2021</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RMB200.0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October 27,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October 26,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Zhejiang Merchants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21,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20,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Hangzhou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RMB50.0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August 21,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RMB14.8 million; interest rate at 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August 20,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April 1, 2019</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RMB15.2 million; interest rate at 4.79%;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April 24, 2019</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December 21, 2018</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4.57%;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February 8, 2019</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Pudong Development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RMB80.0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March 30,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4.79%;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March 29,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October 23, 2018</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Bank of Shanghai</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RMB1,500.0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February 1,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5.88%;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15, 2025</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June 15, 2020</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 million; interest rate at 5.88%;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December 15, 2020</w:t>
            </w: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36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19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Facility Size</w:t>
            </w: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Date/</w:t>
            </w:r>
          </w:p>
        </w:tc>
        <w:tc>
          <w:tcPr>
            <w:tcW w:w="120" w:type="dxa"/>
            <w:vAlign w:val="bottom"/>
          </w:tcPr>
          <w:p>
            <w:pPr>
              <w:spacing w:after="0"/>
              <w:rPr>
                <w:sz w:val="14"/>
                <w:szCs w:val="14"/>
                <w:color w:val="auto"/>
              </w:rPr>
            </w:pPr>
          </w:p>
        </w:tc>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Bank of Communications</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RMB300.0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4.83%;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16,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June 24, 2019</w:t>
            </w:r>
          </w:p>
        </w:tc>
        <w:tc>
          <w:tcPr>
            <w:tcW w:w="0" w:type="dxa"/>
            <w:vAlign w:val="bottom"/>
          </w:tcPr>
          <w:p>
            <w:pPr>
              <w:spacing w:after="0"/>
              <w:rPr>
                <w:sz w:val="1"/>
                <w:szCs w:val="1"/>
                <w:color w:val="auto"/>
              </w:rPr>
            </w:pP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Xiamen International Bank</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RMB500.0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27,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27,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China Everbright Bank</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RMB200.0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8,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July 5,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Subsequent to June 30, 2018, we entered into a facility agreement with the Bank of Shanghai for up to RMB500.0 million on August 13, 2018, which expires on August 21, 2021. As of the date of this prospectus, no amounts under this facility have been utilized.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subject to any material covenants under the agreements described above.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contractual obligations as of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40" w:type="dxa"/>
            <w:vAlign w:val="bottom"/>
          </w:tcPr>
          <w:p>
            <w:pPr>
              <w:jc w:val="right"/>
              <w:ind w:right="45"/>
              <w:spacing w:after="0" w:line="119" w:lineRule="exact"/>
              <w:rPr>
                <w:sz w:val="20"/>
                <w:szCs w:val="20"/>
                <w:color w:val="auto"/>
              </w:rPr>
            </w:pPr>
            <w:r>
              <w:rPr>
                <w:rFonts w:ascii="Arial" w:cs="Arial" w:eastAsia="Arial" w:hAnsi="Arial"/>
                <w:sz w:val="13"/>
                <w:szCs w:val="13"/>
                <w:b w:val="1"/>
                <w:bCs w:val="1"/>
                <w:color w:val="auto"/>
              </w:rPr>
              <w:t>Less than</w:t>
            </w:r>
          </w:p>
        </w:tc>
        <w:tc>
          <w:tcPr>
            <w:tcW w:w="86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1-2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2-3</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85"/>
              <w:spacing w:after="0"/>
              <w:rPr>
                <w:sz w:val="20"/>
                <w:szCs w:val="20"/>
                <w:color w:val="auto"/>
              </w:rPr>
            </w:pPr>
            <w:r>
              <w:rPr>
                <w:rFonts w:ascii="Arial" w:cs="Arial" w:eastAsia="Arial" w:hAnsi="Arial"/>
                <w:sz w:val="14"/>
                <w:szCs w:val="14"/>
                <w:b w:val="1"/>
                <w:bCs w:val="1"/>
                <w:color w:val="auto"/>
              </w:rPr>
              <w:t>one year</w:t>
            </w:r>
          </w:p>
        </w:tc>
        <w:tc>
          <w:tcPr>
            <w:tcW w:w="16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3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5"/>
          </w:tcPr>
          <w:p>
            <w:pPr>
              <w:jc w:val="center"/>
              <w:ind w:left="585"/>
              <w:spacing w:after="0" w:line="155" w:lineRule="exact"/>
              <w:rPr>
                <w:sz w:val="20"/>
                <w:szCs w:val="20"/>
                <w:color w:val="auto"/>
              </w:rPr>
            </w:pPr>
            <w:r>
              <w:rPr>
                <w:rFonts w:ascii="Arial" w:cs="Arial" w:eastAsia="Arial" w:hAnsi="Arial"/>
                <w:sz w:val="14"/>
                <w:szCs w:val="14"/>
                <w:b w:val="1"/>
                <w:bCs w:val="1"/>
                <w:color w:val="auto"/>
                <w:w w:val="93"/>
              </w:rPr>
              <w:t>(in thousands RMB)</w:t>
            </w: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2,918,143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2,487,805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1,920,754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293,305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348,740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333,798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944,911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and long-term borrowings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1,256,335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on borrowings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38,398</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21,088</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6,188,808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3,143,191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732,585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Capital commitments are commitments in relation to the purchase of property and equipment including leasehold improvements. Operating lease obligations consist of leases in relation to certain offices and buildings, NIO Houses and other property for our sales and after sales network.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internal controls relating to financial reporting have not kept pace with the expansion of our business. Our financial reporting function and system of internal controls are less developed in certain respects than those of similar companies and may not provide our management with as much or as accurate or timely information.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connection with the preparation and external audit of our consolidated financial statements as of and for the years ended December 31, 2016 and 2017, we and our independent registered public accounting firm, identified one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reporting requirements set forth by the SEC. The material weakness resulted in a significant number of adjustments and amendments to our consolidated financial statements and related disclosures under U.S. GAAP.</w:t>
      </w:r>
    </w:p>
    <w:p>
      <w:pPr>
        <w:spacing w:after="0" w:line="17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We have implemented and plan to implement a number of measures to address the material weakness. We have hired additional qualified financial and accounting staff with working experience with U.S. GAAP and SEC reporting requirements. We have also established clear roles and responsibilities for accounting and financial reporting staff to address accounting and financial reporting issues. Furthermore, we plan to expedite and streamline our reporting process and develop our compliance process, including: (i) hiring more qualified personnel equipped with relevant U.S. GAAP and SEC reporting experience and qualifications to strengthen the financial reporting function and setting up a financial and system control framework,</w:t>
      </w:r>
    </w:p>
    <w:p>
      <w:pPr>
        <w:spacing w:after="0" w:line="2" w:lineRule="exact"/>
        <w:rPr>
          <w:sz w:val="20"/>
          <w:szCs w:val="20"/>
          <w:color w:val="auto"/>
        </w:rPr>
      </w:pPr>
    </w:p>
    <w:p>
      <w:pPr>
        <w:ind w:left="200" w:right="100" w:firstLine="4"/>
        <w:spacing w:after="0" w:line="281" w:lineRule="auto"/>
        <w:tabs>
          <w:tab w:leader="none" w:pos="4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implementing regular and consistent U.S. GAAP accounting and financial reporting training programs for our accounting and financial reporting personnel, (iii) establishing effective oversight and clarifying reporting requirements for non-recurring and complex transactions to ensure consolidated financial statements and related disclosures are accurate, complete and in compliance with U.S. GAAP and SEC reporting requirements, and</w:t>
      </w:r>
    </w:p>
    <w:p>
      <w:pPr>
        <w:spacing w:after="0" w:line="2" w:lineRule="exact"/>
        <w:rPr>
          <w:rFonts w:ascii="Arial" w:cs="Arial" w:eastAsia="Arial" w:hAnsi="Arial"/>
          <w:sz w:val="16"/>
          <w:szCs w:val="16"/>
          <w:color w:val="auto"/>
        </w:rPr>
      </w:pPr>
    </w:p>
    <w:p>
      <w:pPr>
        <w:ind w:left="500" w:hanging="296"/>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enhancing our internal audit function as well as engaging an external consulting firm to assist us in assessing our compliance readiness under rule</w:t>
      </w:r>
    </w:p>
    <w:p>
      <w:pPr>
        <w:spacing w:after="0" w:line="32" w:lineRule="exact"/>
        <w:rPr>
          <w:rFonts w:ascii="Arial" w:cs="Arial" w:eastAsia="Arial" w:hAnsi="Arial"/>
          <w:sz w:val="16"/>
          <w:szCs w:val="16"/>
          <w:color w:val="auto"/>
        </w:rPr>
      </w:pPr>
    </w:p>
    <w:p>
      <w:pPr>
        <w:ind w:left="200" w:right="220"/>
        <w:spacing w:after="0" w:line="261" w:lineRule="auto"/>
        <w:rPr>
          <w:rFonts w:ascii="Arial" w:cs="Arial" w:eastAsia="Arial" w:hAnsi="Arial"/>
          <w:sz w:val="16"/>
          <w:szCs w:val="16"/>
          <w:color w:val="auto"/>
        </w:rPr>
      </w:pPr>
      <w:r>
        <w:rPr>
          <w:rFonts w:ascii="Arial" w:cs="Arial" w:eastAsia="Arial" w:hAnsi="Arial"/>
          <w:sz w:val="18"/>
          <w:szCs w:val="18"/>
          <w:color w:val="auto"/>
        </w:rPr>
        <w:t>13a-15 of the Exchange Act and improve overall internal control. However, we cannot assure you that we will be able to continue implementing these measures in the future, or that we will not identify additional material weaknesses in the future.</w:t>
      </w:r>
    </w:p>
    <w:p>
      <w:pPr>
        <w:spacing w:after="0" w:line="18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will continue to implement measures to remediate our internal control deficiencies in order to meet the deadline imposed by Section 404 of the Sarbanes-Oxley Act. We may incur significant costs in the implementation of such measures. However, the implementation of these measures may not fully address the deficiencies in our internal control over financial reporting. See “Risk Factors—Risks Relating to Our Business—If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73"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NIO Inc. is a holding company with no material operations of its own. We conduct a portion of our operations through our PRC subsidiaries, and to a lesser extent, our variable interest entities and their subsidiaries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our variable interest entities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each of our variable interest entities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 Our VIEs did not have any material assets or liabilities as of June 30, 2018, although we expect that our VIEs will hold certain significant assets in the future. In the future we expect that our in-house vehicle manufacturing will be carried out primarily by NIO New Energy, which is controlled by us through Shanghai Anbin and/or its subsidiaries and we expect Beijing</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NIO will focus on value-added telecommunications services, including without limitation, performing internet services, operating our website and mobile application as well as holding certain related licenses.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Once we begin sales of the ES8, we expect that substantially all of our revenues will be denominated in RMB while our expenses are denominated in RMB and other currencies including the U.S. dollar, the pound sterling and the Euro. As a result, we are exposed to risk related to movements between the RMB and such other currencies. In addition, the value of your investment in our ADSs will be affected by the exchange rate between U.S. dollar and RMB because the value of our business is effectively denominated in RMB, while our ADSs will be traded in U.S. dollars.</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announced plans to improve the central parity rate of the Renminbi against the U.S. dollar by authorizing market-makers to provide parity to the China Foreign Exchange Trading Center operated by the People’s Bank of China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Renminbi appreciated approximately 10% against the U.S. dollar in 2017, reversing three consecutive years of depreciation. In the first quarter of 2018, the Renminbi continued to appreciate. However, the RMB has depreciated significantly in the second and third quarter of 2018.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7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To the extent that we need to convert U.S. dollars or other currencies into Renminbi for our operations, appreciation of the Renminbi against the U.S. dollar would have an adverse effect on the RMB amount we receive from the conversion. Conversely, if we decide to convert Renminbi into U.S. dollars or other currency for the purpose of making payments to suppliers or for dividends on our ordinary shares or ADSs or for other business purposes, appreciation of the U.S. dollar against the Renminbi would have a negative effect on the U.S. dollar amounts available to us.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estimate that we will receive net proceeds of approximately US$1,106.9 million from this offering if the underwriters do not exercise their option to purchase additional ADSs, after deducting underwriting discounts and commissions and the estimated offering expenses payable by us, based on the initial offering price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US$7.25 per ADS, the midpoint of the estimated initial public offering price range shown on the cover page of this prospectus. Assuming that we convert the full amount of the net proceeds from this offering into Renminbi, a 10% appreciation of the U.S. dollar against the Renminbi, from the exchange rate of RMB6.6171 for US$1.00 as of June 29, 2018 to a rate of RMB7.2788 to US$1.00, would result in an increase of RMB1,230.6 million in our net proceeds from this offering. Conversely, a 10% depreciation of the U.S. dollar against the RMB, from the exchange rate of RMB6.6171 for US$1.00 as of June 29, 2018 to a rate of RMB5.9553 to US$1.00 would result in a decrease of RMB732.5 million in our net proceeds from this offering.</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have not been exposed to material risks due to changes in market interest rates, and we have not used any derivative financial instruments to manage our interest risk exposure.</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After completion of this offering, 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To date, inflation in the PRC has not materially impacted our results of operations. According to the National Bureau of Statistics of China, the year-over-year percent changes in the consumer price index for December 2015, 2016 and 2017 were increases of 1.4%, 2.0% and 1.6%, respectively. Although we have not been materially affected by inflation in the past, we may be affected in the future by higher rates of inflation in the PRC. For example, certain operating costs and expenses, such as employee compensation and office operating expenses may increase as a result of higher inflation. Additionally, because a substantial portion of our assets consists of cash and cash equivalents and short-term investments, high inflation could significantly reduce the value and purchasing power of these assets. We are not able to hedge our exposure to higher inflation in China.</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Demand for new cars in the automotive industry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consolidated financial statements of us have been prepared in accordance with U.S. GAAP. Significant accounting policies followed by us in the preparation of the accompanying consolidated financial statements are summarized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Revenue is recognized when or as the control of goods or services is transferred to a customer. Depending on the terms of the contract and the laws that apply to the contract, control of the goods and services may be transferred over time or at a certain point in time. Control of the goods and services is transferred over time if our performance:</w:t>
      </w:r>
    </w:p>
    <w:p>
      <w:pPr>
        <w:spacing w:after="0" w:line="87"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provides all of the benefits received and consumed simultaneously by the customer;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creates and enhances an asset that the customer controls as we perform; or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does not create an asset with an alternative use to us and we have an enforceable right to payment for performance completed to date.</w:t>
      </w:r>
    </w:p>
    <w:p>
      <w:pPr>
        <w:spacing w:after="0" w:line="23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of time when the customer obtains control of the goods and services.</w:t>
      </w:r>
    </w:p>
    <w:p>
      <w:pPr>
        <w:spacing w:after="0" w:line="18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judgements on these assumptions and estimates may impact the revenue recognition.</w:t>
      </w:r>
    </w:p>
    <w:p>
      <w:pPr>
        <w:spacing w:after="0" w:line="15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When either party to a contract has performed, we present the contract in the statement of financial position as a contract asset or a contract liability, depending on the relationship between the our performance and the customer’s payment.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 contract asset is our right to consideration in exchange for goods and services that we have transferred to a customer. A receivable is recorded when we have an unconditional right to consideration. A right to consideration is unconditional if only the passage of time is required before payment of that consideration is due.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If a customer pays consideration or we have a right to an amount of consideration that is unconditional, before we transfer a good or service to the customer, we present the contract liability when the payment is made or a receivable is recorded (whichever is earlier). A contract liability is our obligation to transfer goods or services to a customer for which we have received consideration (or an amount of consideration is due) from the customer. Our contract liabilities were mainly resulted from the multiple performance obligations identified in the vehicle sales contract and the sales of energy and service packages, which is recorded as deferred revenue and advances from customers.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 sales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generate revenue from sales of electric vehicles, currently the ES8, together with a number of embedded products and services through a series of contracts. We identify the users who purchase the ES8 as our customers. Multiple distinct performance obligations are explicitly stated in a series of contracts including sales of ES8s, charging piles, vehicle internet connection services and extended warranty which are accounted for in accordance with ASC 606. The standard warranty provided by us is accounted for in accordance with ASC 460, Guarantees, and the estimated costs are recorded as a liability when we transfer the control of ES8 to a user.</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Customers only pay the amount after deducting the government subsidies to which they are entitled for the purchase of electric vehicles, which is applied on their behalf and collected by us or JAC, from the government. We have concluded the government subsidies should be considered as a part of the transaction price we charge the customers for the electric vehicle, as the subsidy is granted to the buyers of the electric vehicle and the buyers remain liable for such amount in the event the subsidies are not ultimately received by us. For efficiency reasons, we or JAC applies and collects the payments on customers’ behalf. Where our customers participate in the battery payment installment arrangement, we believe such arrangement contains a significant financing component and as a result adjust the amount considering the impact of time value on the transaction price using an appropriate discount rate (i.e. the interest rates of the loan reflecting the credit risk of the borrower). Interest income resulting from a significant financing component will be presented separately from revenue from contracts with customers as this is not considered to be our ordinary business.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use a cost plus margin approach to determine the estimated standalone selling price for each individual distinct performance obligation identified, considering our pricing policies and practices, and the data utilized in making pricing decisions. The overall contract price is then allocated to each distinct performance obligation based on the relative estimated standalone selling price in accordance with ASC 606. The revenue for ES8 sales and the charging pile are recognized at a point in time when the control of the product is transferred to the customer. For vehicle internet connection services, we recognize revenue using a straight-line method. As for the extended warranty, given our limited operating history and lack of historical data, we recognize revenue over time based on a straight-line method initially, and will continue monitoring the cost pattern periodically and adjust the revenue recognition pattern to reflect the actual cost pattern as it becomes available with more data.</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As the consideration for the vehicle and all embedded services must be paid in advance, which means the payments received are prior to the</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transfer of goods or services by us, we record a contract liability (deferred revenue) for the allocated amount regarding to those unperformed obligations.</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Energy and Service Packages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provide an energy package and service package to users for consideration. Through the energy package, we offer users with a comprehensive range of charging solutions, including charging and battery swapping. Users request charging solutions through our mobile application based on their needs. We select the most appropriate charging solutions based on our customer’s needs and availability of charging solutions in the area. Through the service package, we offer ES8 users with a “worry free” vehicle ownership experience (including, among others, free repair service with certain limitations, routine maintenance service and enhanced data package), which can be accessed by our users via mobile application.</w:t>
      </w:r>
    </w:p>
    <w:p>
      <w:pPr>
        <w:spacing w:after="0" w:line="15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consider the users who purchase energy package and service package to be customers. Energy package and service package contracts may be cancelled at anytime without penalty and are therefore only considered binding on a monthly basis. We have concluded that each energy package or service package only contains one performance obligation on our part. Revenue is recognized on a monthly basis as the customers simultaneously receive and consume the benefits of our energy package and service package.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offer NIO Credits, which represent our points provided through our self-managed customer loyalty program. Such credits can be used in our online store and at NIO houses to redeem merchandise offered through NIO Life. We have currently determined that the value of our NIO Credits to RMB0.1 per credit based on cost of the merchandise that can be redeemed with points. Customers and NIO fans have a variety of ways to receive the points. The accounting policy for our points program is described as follows:</w:t>
      </w:r>
    </w:p>
    <w:p>
      <w:pPr>
        <w:spacing w:after="0" w:line="33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 Sales of ES8 vehicles</w:t>
      </w:r>
    </w:p>
    <w:p>
      <w:pPr>
        <w:spacing w:after="0" w:line="11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Credits provided along with the purchase of the ES8 are considered to be a material right and accordingly a separate performance obligation according to ASC 606, and therefore these are taken into consideration when allocating the transaction price of ES8 sales. We also estimate the probability of points redemption when performing the allocation. Since historical information does not yet exist for us to determine any potential points forfeitures and most merchandise can be redeemed without requiring a significant amount of points compared with the amount of points provided to users, we believe it is reasonable to assume all points will be redeemed and no forfeiture is estimated currently. The amount allocated to the points as separate performance obligation is recorded as contract liability (deferred revenue) and revenue should be recognized when goods or services are transferred. We will continue to monitor when and if forfeiture rate date becomes available and will apply and update the estimated forfeiture rate at each reporting period.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(ii) Sales of Energy Package and Service Packages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Energy Package—When the customers charge their ES8 without using our charging network, we grant points based on the actual cost the customers incur. We record the value of the points as a reduction of revenue from the Energy Package. Since historical information does not yet exist for us to determine any potential points forfeiture and most merchandise can be redeemed without requiring a significant amount of points compared with the amount of points provided to our users, we do not expect points forfeiture.</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(iii) Other scenarios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Customers or users of our mobile application can also obtain points through other ways such as frequent sign-ins to our mobile application, sharing articles from the application to users’ own social media. We believe these points encourage user engagement and generate market awareness. As a result, we account for such credits as selling and marketing expenses with a corresponding liability recorded under other current liabilities of our consolidated balance sheet upon the points offering. We estimate liabilities under the customer loyalty program based on cost of the merchandise that can be redeemed, and our estimate of probability of redemption. At the time of redemption, we record a reduction of inventory and other current liabilities. In certain cases where merchandise is sold for cash in addition to points, we record other income.</w:t>
      </w:r>
    </w:p>
    <w:p>
      <w:pPr>
        <w:spacing w:after="0" w:line="178"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Since historical information does not yet exist for us to determine any potential points forfeiture and most merchandise can be redeemed without requiring a significant amount of points compared with the amount of points provided to our users, we do not expect points forfeiture. We continue to assess when and if a forfeiture rate should be applied.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follow guidance on immaterial promises when identifying performance obligations for vehicle sales contracts and have concluded that lifetime roadside assistance and out-of-town charging services are not performance obligations considering these two services are value-added services to enhance user experience rather than critical items for ES8 driving and we have forecasted that usage of these two services will be very limited. We also estimate the stand-alone fair value of each promise, applying a cost plus margin approach and concluded that the standalone fair value of roadside assistance and out-of-town charging services are insignificant individually and in aggregate, representing less than 1% of the ES8’s gross selling price and aggregate fair value of each individual promise.</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Considering the qualitative assessment and the result of the quantitative estimate, we have concluded not to assess whether promises are performance obligations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Stock-Based Awards and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We grant restricted share units, or RSUs, and share options to eligible employees and nonemployee consultants and account for share-based compensation in accordance with ASC 718, Compensation—Stock Compensation and ASC 505-50 Equity-Based Payments to Non-Employees.</w:t>
      </w:r>
    </w:p>
    <w:p>
      <w:pPr>
        <w:spacing w:after="0" w:line="124"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Employees’ share-based compensation awards are measured at the grant date fair value of the awards and recognized as expenses (i) immediately at grant date if no vesting conditions are required to be met; or (ii) for share options or restricted shares granted with only service conditions, using the straight-line vesting method, net of estimated forfeitures, over the vesting period; or (iii) for share options granted with service conditions and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occurrence of an initial public offering as a performance condition, cumulative share-based compensation expenses for the options that have satisfied the service condition will be recorded upon the completion of the initial public offering, using the graded-vesting method.</w:t>
      </w:r>
    </w:p>
    <w:p>
      <w:pPr>
        <w:spacing w:after="0" w:line="17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We apply the guidance in ASC 505-50 to measure share options and restricted shares granted to non-employees based on the then-current fair value at each reporting date.</w:t>
      </w:r>
    </w:p>
    <w:p>
      <w:pPr>
        <w:spacing w:after="0" w:line="18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Forfeitures are estimated at the time of grant and revised in subsequent periods if actual forfeitures differ from those estimates. We use historical data to estimate pre-vesting options and record share-based compensation expenses only for those awards that are expected to vest.</w:t>
      </w:r>
    </w:p>
    <w:p>
      <w:pPr>
        <w:spacing w:after="0" w:line="14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Binomial option-pricing model with the following weighted-average assumptions.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 half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 of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0.10-0.61</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0.10-3.38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Fair value of the ordinary shares on the date of option grant (USD)</w:t>
            </w:r>
          </w:p>
        </w:tc>
        <w:tc>
          <w:tcPr>
            <w:tcW w:w="920" w:type="dxa"/>
            <w:vAlign w:val="bottom"/>
          </w:tcPr>
          <w:p>
            <w:pPr>
              <w:jc w:val="right"/>
              <w:spacing w:after="0"/>
              <w:rPr>
                <w:sz w:val="20"/>
                <w:szCs w:val="20"/>
                <w:color w:val="auto"/>
              </w:rPr>
            </w:pPr>
            <w:r>
              <w:rPr>
                <w:rFonts w:ascii="Arial" w:cs="Arial" w:eastAsia="Arial" w:hAnsi="Arial"/>
                <w:sz w:val="18"/>
                <w:szCs w:val="18"/>
                <w:color w:val="auto"/>
              </w:rPr>
              <w:t>0.96-1.30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1.30-2.55</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1.46%-1.78%</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2.31%-2.40%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51%-52%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If in the future we determine that another method for calculating the fair value of our stock options is more reasonable, or if another method for calculating the above input assumptions is prescribed by authoritative guidance, the fair value calculated for our employee stock options could change significantly.</w:t>
      </w:r>
    </w:p>
    <w:p>
      <w:pPr>
        <w:spacing w:after="0" w:line="18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Binomial option-pricing model requires inputs such as the risk-free interest rate, expected term and expected volatility. Further, the forfeiture rate also affects the amount of aggregate compensation. These inputs are subjective and generally require significant judgment.</w:t>
      </w:r>
    </w:p>
    <w:p>
      <w:pPr>
        <w:spacing w:after="0" w:line="147" w:lineRule="exact"/>
        <w:rPr>
          <w:sz w:val="20"/>
          <w:szCs w:val="20"/>
          <w:color w:val="auto"/>
        </w:rPr>
      </w:pPr>
    </w:p>
    <w:p>
      <w:pPr>
        <w:ind w:left="200" w:right="240" w:firstLine="441"/>
        <w:spacing w:after="0" w:line="269" w:lineRule="auto"/>
        <w:rPr>
          <w:sz w:val="20"/>
          <w:szCs w:val="20"/>
          <w:color w:val="auto"/>
        </w:rPr>
      </w:pPr>
      <w:r>
        <w:rPr>
          <w:rFonts w:ascii="Arial" w:cs="Arial" w:eastAsia="Arial" w:hAnsi="Arial"/>
          <w:sz w:val="17"/>
          <w:szCs w:val="17"/>
          <w:color w:val="auto"/>
        </w:rPr>
        <w:t>We recorded stock-based compensation of RMB76.7 million, RMB90.3 million and RMB105.6 million during the years ended December 31, 2016 and 2017 and the six months ended June 30, 2018, respectively. As of June 30, 2018, we had (1) RMB26.1 million of unrecognized share-based compensation expenses related to the employee restricted shares granted under the Prime Hubs Plan, which is expected to be recognized over a weighted-average period of 1.44 years; (2) RMB79.7 million of unrecognized compensation expenses related to the stock options granted to the employees of NIO US, which is expected to be recognized over a weighted-average period of 2.62 years; (3) RMB626.5 million of unrecognized compensation expenses related to the stock options granted to our non-NIO US employees with a performance condition of an IPO, out of which unrecognized compensation expenses of RMB234.1 million related to options for which the service condition had been met and are expected to be recognized when the performance target of an IPO is achieved; and (4) RMB3.5 million of unrecognized compensation expenses related to restricted shares granted to the employees of NIO US, which is expected to be recognized over a weighted-average period of 1.25 years. In future periods, our stock-based compensation expense is expected to increase materially as we issue additional stock-based awards to continue to attract and retain employees and nonemployee directors.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account for stock options issued to nonemployees also based on their estimated fair value determined using the Binomial option-pricing model. However, the fair value of the equity awards granted to nonemployees is remeasured each period until the awards vest, and the resulting increase in value, if any, is recognized as expense during the period the related services are rendered.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Stock Valuation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After our initial public offering, in determining the fair value of the non-vested ordinary shares and restricted share units granted, the closing market price of the underlying shares on the last trading date prior to the grant dates will be applied. Prior to our initial public offering, because there has been no public market for our common stock, our Board of Directors determined the fair value of our common stock by considering a number of objective and subjective factors, including the following:</w:t>
      </w:r>
    </w:p>
    <w:p>
      <w:pPr>
        <w:spacing w:after="0" w:line="92"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sales of convertible preferred stock to unrelated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liquidity of our capital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trends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arm’s length, third-party sales of our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w:t>
      </w:r>
    </w:p>
    <w:p>
      <w:pPr>
        <w:spacing w:after="0" w:line="225"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There is inherent uncertainty in these estimates and if we had made different assumptions than those used, the amount of our stock-based compensation expense, net loss and net loss per share amounts could have been significantly different. The following table summarizes, by grant date, the number of stock options granted since January 1, 2016 through June 30, 2018, and the associated per share exercise price.</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46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 Share of</w:t>
            </w:r>
          </w:p>
        </w:tc>
        <w:tc>
          <w:tcPr>
            <w:tcW w:w="4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at</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49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4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the Grant</w:t>
            </w:r>
          </w:p>
        </w:tc>
        <w:tc>
          <w:tcPr>
            <w:tcW w:w="0" w:type="dxa"/>
            <w:vAlign w:val="bottom"/>
          </w:tcPr>
          <w:p>
            <w:pPr>
              <w:spacing w:after="0"/>
              <w:rPr>
                <w:sz w:val="1"/>
                <w:szCs w:val="1"/>
                <w:color w:val="auto"/>
              </w:rPr>
            </w:pPr>
          </w:p>
        </w:tc>
      </w:tr>
      <w:tr>
        <w:trPr>
          <w:trHeight w:val="178"/>
        </w:trPr>
        <w:tc>
          <w:tcPr>
            <w:tcW w:w="720" w:type="dxa"/>
            <w:vAlign w:val="bottom"/>
            <w:gridSpan w:val="2"/>
            <w:vMerge w:val="continue"/>
          </w:tcPr>
          <w:p>
            <w:pPr>
              <w:spacing w:after="0"/>
              <w:rPr>
                <w:sz w:val="15"/>
                <w:szCs w:val="15"/>
                <w:color w:val="auto"/>
              </w:rPr>
            </w:pPr>
          </w:p>
        </w:tc>
        <w:tc>
          <w:tcPr>
            <w:tcW w:w="4980" w:type="dxa"/>
            <w:vAlign w:val="bottom"/>
          </w:tcPr>
          <w:p>
            <w:pPr>
              <w:spacing w:after="0"/>
              <w:rPr>
                <w:sz w:val="15"/>
                <w:szCs w:val="15"/>
                <w:color w:val="auto"/>
              </w:rPr>
            </w:pPr>
          </w:p>
        </w:tc>
        <w:tc>
          <w:tcPr>
            <w:tcW w:w="13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Granted</w:t>
            </w: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Price(US$)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Stock(US$)</w:t>
            </w:r>
          </w:p>
        </w:tc>
        <w:tc>
          <w:tcPr>
            <w:tcW w:w="1840" w:type="dxa"/>
            <w:vAlign w:val="bottom"/>
            <w:gridSpan w:val="3"/>
          </w:tcPr>
          <w:p>
            <w:pPr>
              <w:jc w:val="center"/>
              <w:ind w:left="292"/>
              <w:spacing w:after="0" w:line="158" w:lineRule="exact"/>
              <w:rPr>
                <w:sz w:val="20"/>
                <w:szCs w:val="20"/>
                <w:color w:val="auto"/>
              </w:rPr>
            </w:pPr>
            <w:r>
              <w:rPr>
                <w:rFonts w:ascii="Arial" w:cs="Arial" w:eastAsia="Arial" w:hAnsi="Arial"/>
                <w:sz w:val="14"/>
                <w:szCs w:val="14"/>
                <w:b w:val="1"/>
                <w:bCs w:val="1"/>
                <w:u w:val="single" w:color="auto"/>
                <w:color w:val="auto"/>
                <w:w w:val="91"/>
              </w:rPr>
              <w:t>Date(US</w:t>
            </w:r>
            <w:r>
              <w:rPr>
                <w:rFonts w:ascii="Arial" w:cs="Arial" w:eastAsia="Arial" w:hAnsi="Arial"/>
                <w:sz w:val="14"/>
                <w:szCs w:val="14"/>
                <w:b w:val="1"/>
                <w:bCs w:val="1"/>
                <w:color w:val="auto"/>
                <w:w w:val="91"/>
              </w:rPr>
              <w:t>$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2016 Q1</w:t>
            </w:r>
          </w:p>
        </w:tc>
        <w:tc>
          <w:tcPr>
            <w:tcW w:w="49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24,117,750</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0.10 - 0.50</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0.96 - 0.99</w:t>
            </w:r>
          </w:p>
        </w:tc>
        <w:tc>
          <w:tcPr>
            <w:tcW w:w="4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2016 Q2</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5,399,000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0.99 - 1.15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2016 Q4</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24,059,856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0.27 - 0.61</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1.25 - 1.30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2017 Q1</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1,059,000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0.61 - 2.55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1.30 - 1.32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2017 Q2</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3,390,700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2017 Q3</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1,971,277</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0.61 - 1.32</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1.80 - 2.05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2017 Q4</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7,039,500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0.61 - 1.80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2.05 - 2.55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2018 Q1</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35,890,683</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0.10 - 2.55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2.55 - 3.38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2018 Q2</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2,722,183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1.32 - 3.38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3.38 - 4.62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Prior to our initial public offering, our Board of Directors taking into account independent valuer advice, performed valuations of our common stock for purposes of granting stock options in a manner consistent with the methods outlined in the American Institute of Certified Public Accountants Practice Aid, Valuation of Privately-Held-Company Equity Securities Issued as Compensation. The enterprise value input of our common stock valuations were derived either using fundamental analysis (income and market approaches) or based on a recent round of financing (option pricing approach). The income approach estimates the enterprise value of the company by discounting the expected future cash flows of the company to present value. We have applied discount rates that reflect the risks associated with our cash flow projections and have used venture capital rates of return for companies at a similar stage of development as us, as a proxy for our cost of capital. Our discounted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cash flow calculations are sensitive to highly subjective assumptions that we were required to make at each valuation date relating to appropriate discount rates for various components of our business.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Date</w:t>
            </w:r>
          </w:p>
        </w:tc>
        <w:tc>
          <w:tcPr>
            <w:tcW w:w="328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212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rPr>
              <w:t>Discount Rates</w:t>
            </w:r>
          </w:p>
        </w:tc>
        <w:tc>
          <w:tcPr>
            <w:tcW w:w="0" w:type="dxa"/>
            <w:vAlign w:val="bottom"/>
          </w:tcPr>
          <w:p>
            <w:pPr>
              <w:spacing w:after="0"/>
              <w:rPr>
                <w:sz w:val="1"/>
                <w:szCs w:val="1"/>
                <w:color w:val="auto"/>
              </w:rPr>
            </w:pPr>
          </w:p>
        </w:tc>
      </w:tr>
      <w:tr>
        <w:trPr>
          <w:trHeight w:val="158"/>
        </w:trPr>
        <w:tc>
          <w:tcPr>
            <w:tcW w:w="4720" w:type="dxa"/>
            <w:vAlign w:val="bottom"/>
            <w:gridSpan w:val="3"/>
            <w:vMerge w:val="continue"/>
          </w:tcPr>
          <w:p>
            <w:pPr>
              <w:spacing w:after="0"/>
              <w:rPr>
                <w:sz w:val="13"/>
                <w:szCs w:val="13"/>
                <w:color w:val="auto"/>
              </w:rPr>
            </w:pPr>
          </w:p>
        </w:tc>
        <w:tc>
          <w:tcPr>
            <w:tcW w:w="42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per </w:t>
            </w:r>
            <w:r>
              <w:rPr>
                <w:rFonts w:ascii="Arial" w:cs="Arial" w:eastAsia="Arial" w:hAnsi="Arial"/>
                <w:sz w:val="14"/>
                <w:szCs w:val="14"/>
                <w:b w:val="1"/>
                <w:bCs w:val="1"/>
                <w:u w:val="single" w:color="auto"/>
                <w:color w:val="auto"/>
              </w:rPr>
              <w:t>share(US$</w:t>
            </w:r>
            <w:r>
              <w:rPr>
                <w:rFonts w:ascii="Arial" w:cs="Arial" w:eastAsia="Arial" w:hAnsi="Arial"/>
                <w:sz w:val="14"/>
                <w:szCs w:val="14"/>
                <w:b w:val="1"/>
                <w:bCs w:val="1"/>
                <w:color w:val="auto"/>
              </w:rPr>
              <w:t>)</w:t>
            </w:r>
          </w:p>
        </w:tc>
        <w:tc>
          <w:tcPr>
            <w:tcW w:w="2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2015</w:t>
            </w:r>
          </w:p>
        </w:tc>
        <w:tc>
          <w:tcPr>
            <w:tcW w:w="3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0.79</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ind w:left="740"/>
              <w:spacing w:after="0" w:line="203" w:lineRule="exact"/>
              <w:rPr>
                <w:sz w:val="20"/>
                <w:szCs w:val="20"/>
                <w:color w:val="auto"/>
              </w:rPr>
            </w:pPr>
            <w:r>
              <w:rPr>
                <w:rFonts w:ascii="Arial" w:cs="Arial" w:eastAsia="Arial" w:hAnsi="Arial"/>
                <w:sz w:val="18"/>
                <w:szCs w:val="18"/>
                <w:b w:val="1"/>
                <w:bCs w:val="1"/>
                <w:color w:val="auto"/>
                <w:w w:val="88"/>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March 10,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January 31,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120" w:type="dxa"/>
            <w:vAlign w:val="bottom"/>
            <w:gridSpan w:val="3"/>
          </w:tcPr>
          <w:p>
            <w:pPr>
              <w:ind w:left="17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120" w:type="dxa"/>
            <w:vAlign w:val="bottom"/>
            <w:gridSpan w:val="3"/>
          </w:tcPr>
          <w:p>
            <w:pPr>
              <w:ind w:left="17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increases in our fair value share from 2015 to June 30, 2018 were primarily the result of the increased equity value of our company as the development of our vehicles advanced and additional funding was received through equity financing.</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Our projected cash flows have been primarily derived from our projected ES8 and ES6 revenue streams. In more recent valuations, these cash flow projections take into account the fact that we plan to start selling the ES8 since 2018, and our anticipation of launch of the ES6 in 2018 and commencing deliveries in 2019.</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Under the market approach, the total enterprise value of the company is estimated by comparing our business to similar businesses whose securities are actively traded in public markets, or businesses that are involved in a public or private transaction. Prior transactions in our stock are also considered as part of the market approach methodology.</w:t>
      </w:r>
    </w:p>
    <w:p>
      <w:pPr>
        <w:spacing w:after="0" w:line="181" w:lineRule="exact"/>
        <w:rPr>
          <w:sz w:val="20"/>
          <w:szCs w:val="20"/>
          <w:color w:val="auto"/>
        </w:rPr>
      </w:pPr>
    </w:p>
    <w:p>
      <w:pPr>
        <w:jc w:val="center"/>
        <w:ind w:left="260" w:right="180"/>
        <w:spacing w:after="0" w:line="312" w:lineRule="auto"/>
        <w:rPr>
          <w:sz w:val="20"/>
          <w:szCs w:val="20"/>
          <w:color w:val="auto"/>
        </w:rPr>
      </w:pPr>
      <w:r>
        <w:rPr>
          <w:rFonts w:ascii="Arial" w:cs="Arial" w:eastAsia="Arial" w:hAnsi="Arial"/>
          <w:sz w:val="16"/>
          <w:szCs w:val="16"/>
          <w:color w:val="auto"/>
        </w:rPr>
        <w:t>We have selected revenue valuation multiples derived from trading multiples of public companies that participate in the automotive OEM, automotive retail, automotive parts and battery technology industries. These valuation multiples were then applied to the equivalent financial metric of our business, giving consideration to differences between our company and similar companies for such factors as company size and growth prospects.</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For those reports that relied on the fundamental analysis, we prepared a financial forecast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As discussed below, there is inherent uncertainty in these estimates. Second, we allocated the resulting equity value among the securities that comprise our capital structure using the Option-Pricing Method. The aggregate value of the common stock derived from the Option-Pricing Method was then divided by the number of common shares outstanding to arrive at the per common share value. For those reports before our initial public offering that relied on the recent round of financing, we back-solved for the total equity value such that the value of the instrument sold in the recent round as calculated by the option pricing model was consistent with the observed transaction price.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Valuations that we have performed require significant use of estimates and assumptions. If different estimates and assumptions had been used, our common stock valuations could be significantly different and related stock-based compensation expense may be materially impacted.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list of recently issued accounting pronouncements that are relevant to us is included in Note 3 to our consolidated financial statements included elsewhere in this prospectus.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China is the largest passenger vehicle and NEV market in the world and continues to account for more than half of global BEV sales. China’s BEV sales are expected to experience more than 40% annualized growth until 2022, according to Frost &amp; Sullivan. Our first two vehicles, ES8 and ES6, target the premium SUV segment, as within the China passenger car market, the premium and the SUV segments are expected to achieve the highest growth during the period from 2017 to 2022 respectively. Currently we believe no premium BEV is available to Chinese consumers at competitive pricing and the ES8 is expected to face limited competition initially from premium BEVs.</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In particular, China’s BEV SUV market is currently dominated by domestic players positioned in the entry segment except for the Tesla Model X. As the below chart indicates, although a number of BEV SUV models will be launched to the market in the future in the premium segment, we enjoy cost advantages resulting in a lower manufacturer suggested retail price, or MSRP, as compared to other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5986145" cy="22726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8614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tabs>
          <w:tab w:leader="none" w:pos="640" w:val="left"/>
          <w:tab w:leader="none" w:pos="1040" w:val="left"/>
        </w:tabs>
        <w:rPr>
          <w:sz w:val="20"/>
          <w:szCs w:val="20"/>
          <w:color w:val="auto"/>
        </w:rPr>
      </w:pPr>
      <w:r>
        <w:rPr>
          <w:rFonts w:ascii="Arial" w:cs="Arial" w:eastAsia="Arial" w:hAnsi="Arial"/>
          <w:sz w:val="14"/>
          <w:szCs w:val="14"/>
          <w:color w:val="auto"/>
        </w:rPr>
        <w:t>Note:</w:t>
        <w:tab/>
        <w:t>(1)</w:t>
      </w:r>
      <w:r>
        <w:rPr>
          <w:sz w:val="20"/>
          <w:szCs w:val="20"/>
          <w:color w:val="auto"/>
        </w:rPr>
        <w:tab/>
      </w:r>
      <w:r>
        <w:rPr>
          <w:rFonts w:ascii="Arial" w:cs="Arial" w:eastAsia="Arial" w:hAnsi="Arial"/>
          <w:sz w:val="12"/>
          <w:szCs w:val="12"/>
          <w:color w:val="auto"/>
        </w:rPr>
        <w:t>Manufacturer suggested retail price pre subsidies</w:t>
      </w: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Trends in China’s Automotive Industry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the world’s largest passenger vehicle market and the largest growth contributor to global growth</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China is the world’s largest automobile market as measured by sales volume. Driven by economic growth and increasing urbanization, the passenger vehicle industry has grown from 19.1 million sales units in 2013 to 25.7 million units in 2017, representing a CAGR of 7.8%, more than three times of the global market’s CAGR of 2.5% for that period. According to Frost &amp; Sullivan, China’s passenger vehicle sales volume is expected to grow at a CAGR of 5.2% from 2017 to 2022, reaching 33.1 million units in 2022, accounting for 37.4% of the global market as of 2022. China’s expected incremental sales volume of 7.4 million units from 2017 to 2022 represent 86% of the 8.6 million incremental units expected to be sold globally during the same period. Although China is already the largest automobile market in the world, the penetration rate of passenger vehicles as a proportion of its population is still low compared to that in developed countries. In 2017, China’s passenger vehicle penetration was 136 units per 1,000 persons, as compared to 745 units per 1,000 persons in the U.S., which presents significant further growth potential in China’s passenger vehicle market in the future, according to Frost &amp; Sullivan.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premium segment continues to outgrow the broader China passenger vehicle market</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Passenger vehicles can be categorized into three segments, including entry, mid-end, and premium, based on, among others, performance, brand recognition and pricing. The premium segment in China continues to take market share from the entry and mid-range segments, growing at a CAGR of 15.7% from 2013 to 2017. The premium segment is expected to continue to grow at a CAGR of 12.4% from 2017 to 2022, driven by continued expansion of middle class and upper middle class in China, with annual incomes of US$10,000 to US$60,000 and over US$60,000 respectively. According to Frost &amp; Sullivan, the population in the middle class and upper middle class is expected to expand to approximately 502 million in aggregate by 2022. The chart below sets forth the sales volume of passenger vehicles in China categorized by brand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054725" cy="2306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472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240" w:top="459"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SUV segment has witnessed the fastest growth among passenger vehicle segments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the SUV segment has witnessed the fastest growth among all passenger vehicle segments in China. SUV sales volume grew from 3.7 million units in 2013 to 10.8 million units in 2017, representing a CAGR of 30.7%. The SUV segment is expected to continue to outpace industry growth for the next five years, reaching 16.9 million units in 2022, representing a CAGR of 9.4%. This rapid growth reflects consumers’ increasing preference for SUVs which offer a larger interior space, better driving performance under different road conditions. In addition, the lifting of the one-child policy in China is expected to boost family size and the demand for vehicles with more seats, leading to increased demand for SUVs. The chart below sets forth the historical and forecasted sales volume of passenger vehicles in China categorized by model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037580" cy="2255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758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global and especially China’s NEV markets are expected to continue to experience very high growth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a clear leader in the global NEV market</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Chinese NEV market benefits from favorable policies and strong support from the Chinese government. China’s NEV market has outperformed the global NEV market significantly, growing at a CAGR of 141.5% from 22 thousand units in 2013 to 742 thousand units in 2017. During the same period, global NEV sales recorded a CAGR of 16.2%. China is expected to continue to lead the growth of the global NEV market, reaching 3.6 million units in 2022, growing at a CAGR of 37.1% from 2017 to 2022.</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China’s NEV penetration rate (calculated as NEV sales volume as a percentage of total passenger vehicle sales volume) is projected to almost quadruple, increasing from 2.9% in 2017 to 10.9% in 2022. The Chinese government is targeting annual sales volume of 2 million units, and an aggregate of 5 million units of NEVs on the road by 2020.</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notably skewed to BEVs over HEVs and PHEVs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NEVs generally include three types: battery electric vehicles, or BEVs, hybrid electric vehicles, or HEVs and plug-in hybrid electric vehicles or PHEVs. Among these, the BEV is considered the most eco-friendly as a zero emission solution. Recognizing these benefits, the Chinese government favors BEVs to other NEVs and provides BEVs greater incentives. With battery technology improving and charging network expansion, consumer concern over range has also lessened, another factor contributing to BEV growth. In the last five years, BEVs witnessed fast growth, growing from</w:t>
      </w:r>
    </w:p>
    <w:p>
      <w:pPr>
        <w:spacing w:after="0" w:line="2"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13 thousand units in 2013 to 476 thousand units in 2017 at a CAGR of 147.9% in China as compared to 68.2% in the global market. The chart below sets forth the historical and forecasted NEV sales volume in China categorized by power type.</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24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089015" cy="2435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8901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20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Chinese government’s current policy is designed to promote BEVs and its related technologies. China had the highest share of BEVs as percentage of NEVs at 64.1% as compared to 27.3% for the global market in 2017. China has become the largest BEV market globally, accounting for approximately 54.3% of the overall global BEV market in 2017. Frost &amp; Sullivan predicts that over 2.6 million BEVs are expected to be sold in China in 2022, accounting for 64.6% of the global BEV market. During the period from 2017 to 2022, the sales volume of BEVs is expected to grow at a CAGR of 40.8% in China as compared to 36.0% in global market. The chart below illustrates global BEV sales volume in 2017 and 2022 by major geographic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080125" cy="2280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8012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Smart &amp; connected vehicles rapidly penetrate the automotive industry</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Increasing connectivity has accelerated the development and adoption of new services and infotainment inside vehicles. Frost &amp; Sullivan estimates vehicles connectivity penetration globally has doubled in the last five years from 5% in 2013 to 10% in 2017 and is expected to double in the next five years to 20% by 2022. Vehicle connectivity is categorized into four types, namely vehicle to vehicle, or V2V, vehicle to infrastructure, or V2I</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240" w:top="459" w:right="5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vehicle to pedestrian, V2P, and vehicle to cloud, or V2C. According to Frost &amp; Sullivan, the global vehicle connectivity market was a US$38.4 billion market in 2017, with the potential to grow to US$100.2 billion in 2022, representing a CAGR of 21.1%, driven by advancements in autonomous driving and 5G communication technologies. This market includes hardware, telecommunications, telematics services and related services.</w:t>
      </w:r>
    </w:p>
    <w:p>
      <w:pPr>
        <w:spacing w:after="0" w:line="14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Among new vehicle features, autonomous driving currently receives the most attention from traditional OEMs, suppliers and global technology companies who are all competing for leadership in autonomous driving technology. These parties have made significant investments in autonomous driving, all trying to become the first to deliver full autonomous driving where human attention is no longer needed for vehicle operation. Between August 2014 and June 2017, an aggregate of approximately US$80 billion has been raised in over 160 autonomous driving-related fundraising activities. According to Frost &amp; Sullivan, the market size of autonomous driving including sales of related hardware and software products is approximately US37.2 billion in 2017 and is expected to grow significantly to US$285.3 billion in 2022, representing a CAGR of 50.3%. According to Society of Automotive Engineers, or SAE’s autonomous driving level definitions, there are six levels of classification of automation levels with Level 5 being completely autonomous with no human intervention and Level 0 having no autonomous vehicle controls. In terms of penetration, autonomous driving systems at Level 2 (considered as partially self-driving with driving mode-specific execution by a driver assistance system of both steering and acceleration and deceleration) or above is forecasted to be over 14% of the automotive market in 2022 according to Frost &amp; Sullivan.</w:t>
      </w:r>
    </w:p>
    <w:p>
      <w:pPr>
        <w:spacing w:after="0" w:line="169"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Artificial intelligence, or AI, is another area that has received a lot of attention. AI is being applied in many different areas, including voice control, gesture recognition, natural language processing and decision-making. The market for AI for automobiles is expected to grow from US$1.1 billion in 2017 to US$6.0 billion by 2022, representing a CAGR of 39.7%.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Landscape of China’s NEV Market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Largely unserved premium EV market in China</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According to Frost &amp; Sullivan, 476 thousand BEVs were sold to Chinese consumers in 2017. Among the top 10 BEV brands with the highest sales volumes in 2017, only Tesla is in the premium segment, while the other nine brands are in the entry segment, and the average prices post subsidies of those other nine brands were all below RMB 170,000. The top 10 best-selling BEV brands in China in 2017 are listed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097270" cy="2418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9727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ES8 has best-in-class specifications outperforming its competitors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Frost &amp; Sullivan compared the ES8 to its competitors in the premium BEV SUV category in China in several different categories. Currently, competition in the premium BEV SUV category is concentrated to only a small number of participants, including imported premium models while local models are targeting the mass market.</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comparison also includes a PHEV SUV model which is a premium vehicle similar in size to the ES8. Among the vehicles set forth below, the ES8 has the fastest acceleration time from 0 to 100km/h and the highest maximum power output, and it also features the highest autonomous driving level. In terms of electric motors, maximum torque, NEDC driving range and other core features, the ES8 also delivers the best performance, compared to the competition.</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SUV Models</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Audi Q7 45</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Tesla –</w:t>
            </w: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e-tron</w:t>
            </w:r>
          </w:p>
        </w:tc>
        <w:tc>
          <w:tcPr>
            <w:tcW w:w="10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8"/>
              </w:rPr>
              <w:t>Mercedes-Benz</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SAIC Roewe</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BYD SONG</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SAIC Roewe</w:t>
            </w:r>
          </w:p>
        </w:tc>
      </w:t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40" w:type="dxa"/>
            <w:vAlign w:val="bottom"/>
            <w:gridSpan w:val="2"/>
          </w:tcPr>
          <w:p>
            <w:pPr>
              <w:ind w:left="620"/>
              <w:spacing w:after="0"/>
              <w:rPr>
                <w:sz w:val="20"/>
                <w:szCs w:val="20"/>
                <w:color w:val="auto"/>
              </w:rPr>
            </w:pPr>
            <w:r>
              <w:rPr>
                <w:rFonts w:ascii="Arial" w:cs="Arial" w:eastAsia="Arial" w:hAnsi="Arial"/>
                <w:sz w:val="13"/>
                <w:szCs w:val="13"/>
                <w:b w:val="1"/>
                <w:bCs w:val="1"/>
                <w:color w:val="auto"/>
              </w:rPr>
              <w:t>NIO – ES8</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Model X 75D</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(PHEV)</w:t>
            </w:r>
            <w:r>
              <w:rPr>
                <w:rFonts w:ascii="Arial" w:cs="Arial" w:eastAsia="Arial" w:hAnsi="Arial"/>
                <w:sz w:val="10"/>
                <w:szCs w:val="10"/>
                <w:b w:val="1"/>
                <w:bCs w:val="1"/>
                <w:color w:val="auto"/>
              </w:rPr>
              <w:t>(6)</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AMG GLS 63</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ERX5</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EV300 SUV</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Marvel X</w:t>
            </w: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Type</w:t>
            </w:r>
          </w:p>
        </w:tc>
        <w:tc>
          <w:tcPr>
            <w:tcW w:w="6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PHEV(2.0L)</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ICE</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Launch Time</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2016</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2018</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MSRP (RMB)</w:t>
            </w:r>
            <w:r>
              <w:rPr>
                <w:rFonts w:ascii="Arial" w:cs="Arial" w:eastAsia="Arial" w:hAnsi="Arial"/>
                <w:sz w:val="12"/>
                <w:szCs w:val="12"/>
                <w:color w:val="auto"/>
              </w:rPr>
              <w:t>(1)</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448,000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964,900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875,000</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1,981,800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271,800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265,900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382,500</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Average Consumer Cost (RMB)</w:t>
            </w:r>
            <w:r>
              <w:rPr>
                <w:rFonts w:ascii="Arial" w:cs="Arial" w:eastAsia="Arial" w:hAnsi="Arial"/>
                <w:sz w:val="12"/>
                <w:szCs w:val="12"/>
                <w:color w:val="auto"/>
              </w:rPr>
              <w:t>(2)</w:t>
            </w:r>
          </w:p>
        </w:tc>
        <w:tc>
          <w:tcPr>
            <w:tcW w:w="1640" w:type="dxa"/>
            <w:vAlign w:val="bottom"/>
            <w:gridSpan w:val="2"/>
          </w:tcPr>
          <w:p>
            <w:pPr>
              <w:ind w:left="620"/>
              <w:spacing w:after="0" w:line="162" w:lineRule="exact"/>
              <w:rPr>
                <w:sz w:val="20"/>
                <w:szCs w:val="20"/>
                <w:color w:val="auto"/>
              </w:rPr>
            </w:pPr>
            <w:r>
              <w:rPr>
                <w:rFonts w:ascii="Arial" w:cs="Arial" w:eastAsia="Arial" w:hAnsi="Arial"/>
                <w:sz w:val="15"/>
                <w:szCs w:val="15"/>
                <w:color w:val="auto"/>
              </w:rPr>
              <w:t>373,933</w:t>
            </w:r>
          </w:p>
        </w:tc>
        <w:tc>
          <w:tcPr>
            <w:tcW w:w="11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1,048,081</w:t>
            </w:r>
          </w:p>
        </w:tc>
        <w:tc>
          <w:tcPr>
            <w:tcW w:w="11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875,000</w:t>
            </w:r>
          </w:p>
        </w:tc>
        <w:tc>
          <w:tcPr>
            <w:tcW w:w="10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2,157,390</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197,733</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225,400</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300,000</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Length/Width/Height (mm)</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5,022/</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5,037/</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5,071/</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5,162/</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4,554/</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4,565/</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4,678/</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1,962/</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2,070/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1,968/</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1,982/</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1,855/</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1,870/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1,919/</w:t>
            </w: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1,756</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1,684</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1,716</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1,851</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1,716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1,618</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Max No. of Seats</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Electric Motor</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AC</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AC</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asynchronous</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asynchronous</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motor</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motor</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Horse Power (hp)</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650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525</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367</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585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218</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185</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Acceleration time from 0 to</w:t>
            </w: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100km/h (s)</w:t>
            </w: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4.4</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5.2</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5.9</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7.8</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8.9</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7.9</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Top Speed (km/h)</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228</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250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135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140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Capacity of Battery (kWh)</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70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75</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17.3</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52.5</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Maximum Torque (N.m)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840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660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760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255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310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410</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Maximum Power (kw)</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480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386</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270</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430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160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NEDC Driving Range (km)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355</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406</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56</w:t>
            </w:r>
            <w:r>
              <w:rPr>
                <w:rFonts w:ascii="Arial" w:cs="Arial" w:eastAsia="Arial" w:hAnsi="Arial"/>
                <w:sz w:val="12"/>
                <w:szCs w:val="12"/>
                <w:color w:val="auto"/>
              </w:rPr>
              <w:t>(3)</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320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300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403</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Charging Time</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10h</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8h</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10.8h</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7h</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6h</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8h</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(AC Charging)</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1.1h</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75min</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2.5h</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40min 80%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1.2h</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40min 80%</w:t>
            </w: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(DC Charging)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Electricity Consumption (kWh/km)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0.20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0.22</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0.31</w:t>
            </w:r>
            <w:r>
              <w:rPr>
                <w:rFonts w:ascii="Arial" w:cs="Arial" w:eastAsia="Arial" w:hAnsi="Arial"/>
                <w:sz w:val="12"/>
                <w:szCs w:val="12"/>
                <w:color w:val="auto"/>
              </w:rPr>
              <w:t>(4)</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0.18</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0.19</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0.142</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Battery Swap Service</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Ö</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Autonomous Driving</w:t>
            </w:r>
          </w:p>
        </w:tc>
        <w:tc>
          <w:tcPr>
            <w:tcW w:w="1640" w:type="dxa"/>
            <w:vAlign w:val="bottom"/>
            <w:gridSpan w:val="2"/>
          </w:tcPr>
          <w:p>
            <w:pPr>
              <w:ind w:left="620"/>
              <w:spacing w:after="0"/>
              <w:rPr>
                <w:sz w:val="20"/>
                <w:szCs w:val="20"/>
                <w:color w:val="auto"/>
              </w:rPr>
            </w:pPr>
            <w:r>
              <w:rPr>
                <w:rFonts w:ascii="Arial" w:cs="Arial" w:eastAsia="Arial" w:hAnsi="Arial"/>
                <w:sz w:val="14"/>
                <w:szCs w:val="14"/>
                <w:color w:val="auto"/>
              </w:rPr>
              <w:t>Level 2+</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2</w:t>
            </w:r>
            <w:r>
              <w:rPr>
                <w:rFonts w:ascii="Arial" w:cs="Arial" w:eastAsia="Arial" w:hAnsi="Arial"/>
                <w:sz w:val="12"/>
                <w:szCs w:val="12"/>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ind w:left="200"/>
        <w:spacing w:after="0" w:line="221" w:lineRule="auto"/>
        <w:rPr>
          <w:sz w:val="20"/>
          <w:szCs w:val="20"/>
          <w:color w:val="auto"/>
        </w:rPr>
      </w:pPr>
      <w:r>
        <w:rPr>
          <w:rFonts w:ascii="Arial" w:cs="Arial" w:eastAsia="Arial" w:hAnsi="Arial"/>
          <w:sz w:val="14"/>
          <w:szCs w:val="14"/>
          <w:color w:val="auto"/>
        </w:rPr>
        <w:t>Notes:</w:t>
      </w:r>
    </w:p>
    <w:p>
      <w:pPr>
        <w:ind w:left="520" w:right="44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Customs duty calculated as Ex-Factory Price * 15%; in the second half of 2018, the Chinese government applied an additional 25% customs duty to certain categories of vehicles, among other products, imported from the US.</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consumer cost for buyers in Beijing, Shanghai, Guangzhou and Shenzhen.</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At electric-only mode.</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Estimated by dividing the power capacity by the NEDC driving range at electric-only mode.</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Estimated by Frost &amp; Sullivan.</w:t>
      </w:r>
    </w:p>
    <w:p>
      <w:pPr>
        <w:ind w:left="520" w:hanging="316"/>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Audi Q7 45 e-tron is only produced in Europe, thus such tariff change has no impact on its price, it applies the customs duty of 15%.</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Clear price advantage enjoyed by locally manufactured NEVs</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Locally manufactured NEVs have several structural advantages in the marketplace over imported models due to the absence of customs duty, lower manufacturing costs and the availability of government subsidies. A comparison of the ES8, Tesla Model X, Audi Q7 45 e-tron, and Mercedes-Benz AMG GLS 63, inclusive of government subsidies and taxes is set forth below. The ES8 boasts significant price advantages over the other models due to local manufacturing subsidies and the absence of customs duties and purchasing taxes.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NIO ES8</w:t>
            </w:r>
          </w:p>
        </w:tc>
        <w:tc>
          <w:tcPr>
            <w:tcW w:w="18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Tesla</w:t>
            </w:r>
          </w:p>
        </w:tc>
        <w:tc>
          <w:tcPr>
            <w:tcW w:w="3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rPr>
              <w:t>Audi Q7</w:t>
            </w:r>
          </w:p>
        </w:tc>
        <w:tc>
          <w:tcPr>
            <w:tcW w:w="138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1"/>
              </w:rPr>
              <w:t>Mercedes-Benz</w:t>
            </w:r>
          </w:p>
        </w:tc>
        <w:tc>
          <w:tcPr>
            <w:tcW w:w="0" w:type="dxa"/>
            <w:vAlign w:val="bottom"/>
          </w:tcPr>
          <w:p>
            <w:pPr>
              <w:spacing w:after="0"/>
              <w:rPr>
                <w:sz w:val="1"/>
                <w:szCs w:val="1"/>
                <w:color w:val="auto"/>
              </w:rPr>
            </w:pPr>
          </w:p>
        </w:tc>
      </w:tr>
      <w:tr>
        <w:trPr>
          <w:trHeight w:val="17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Costs (RMB)</w:t>
            </w:r>
          </w:p>
        </w:tc>
        <w:tc>
          <w:tcPr>
            <w:tcW w:w="900" w:type="dxa"/>
            <w:vAlign w:val="bottom"/>
            <w:gridSpan w:val="2"/>
            <w:vMerge w:val="continue"/>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Model X 75D</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 e-tron</w:t>
            </w: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AMG GLS 63</w:t>
            </w:r>
          </w:p>
        </w:tc>
        <w:tc>
          <w:tcPr>
            <w:tcW w:w="0" w:type="dxa"/>
            <w:vAlign w:val="bottom"/>
          </w:tcPr>
          <w:p>
            <w:pPr>
              <w:spacing w:after="0"/>
              <w:rPr>
                <w:sz w:val="1"/>
                <w:szCs w:val="1"/>
                <w:color w:val="auto"/>
              </w:rPr>
            </w:pPr>
          </w:p>
        </w:tc>
      </w:tr>
      <w:tr>
        <w:trPr>
          <w:trHeight w:val="129"/>
        </w:trPr>
        <w:tc>
          <w:tcPr>
            <w:tcW w:w="6660" w:type="dxa"/>
            <w:vAlign w:val="bottom"/>
            <w:gridSpan w:val="3"/>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Ex-Factory Price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386,207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Customs Duty</w:t>
            </w:r>
            <w:r>
              <w:rPr>
                <w:rFonts w:ascii="Arial" w:cs="Arial" w:eastAsia="Arial" w:hAnsi="Arial"/>
                <w:sz w:val="15"/>
                <w:szCs w:val="15"/>
                <w:color w:val="auto"/>
              </w:rPr>
              <w:t>(1)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237,660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98,388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292,877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Consumption Tax (&gt;4L, (Ex-Factory Price + Customs Duty) / (1-40%) * 40%)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VAT ((Ex-Factory Price + Customs Duty + Consumption Tax)*16%)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133,090</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120,690</w:t>
            </w: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MSRP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448,000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964,900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color w:val="auto"/>
              </w:rPr>
              <w:t>Purchasing Tax (Tesla is excluded in the EV White List, MSRP/(1+VAT 16%)*10%)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83,181</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and Vessel Use Tax</w:t>
            </w:r>
            <w:r>
              <w:rPr>
                <w:rFonts w:ascii="Arial" w:cs="Arial" w:eastAsia="Arial" w:hAnsi="Arial"/>
                <w:sz w:val="15"/>
                <w:szCs w:val="15"/>
                <w:color w:val="auto"/>
              </w:rPr>
              <w:t>(2)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Plate Fee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 National and Local Subsidies</w:t>
            </w:r>
            <w:r>
              <w:rPr>
                <w:rFonts w:ascii="Arial" w:cs="Arial" w:eastAsia="Arial" w:hAnsi="Arial"/>
                <w:sz w:val="15"/>
                <w:szCs w:val="15"/>
                <w:color w:val="auto"/>
              </w:rPr>
              <w:t>(3)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(74,067)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Total Consumer Cost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373,933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1,048,081</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875,000</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2,157,390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40" w:hanging="316"/>
        <w:spacing w:after="0" w:line="22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Customs duty calculated as Ex-Factory Price *15%; in the second half of 2018, the Chinese government applied an additional 25% customs duty to certain categories of vehicles, among other products, imported from the US.</w:t>
      </w:r>
    </w:p>
    <w:p>
      <w:pPr>
        <w:ind w:left="520" w:hanging="316"/>
        <w:spacing w:after="0"/>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 there is no nationwide uniform vehicle and vessel tax standard, the information above uses the average vehicle and vessel use tax in Beijing, Shanghai, Guangzhou and Shenzhen.</w:t>
      </w:r>
    </w:p>
    <w:p>
      <w:pPr>
        <w:ind w:left="520" w:hanging="316"/>
        <w:spacing w:after="0" w:line="22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Average NEV national and local subsidies in Beijing, Shanghai, Guangzhou and Shenzhen.</w:t>
      </w:r>
    </w:p>
    <w:p>
      <w:pPr>
        <w:ind w:left="520" w:hanging="31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Audi Q7 45 e-tron is only produced in Europe, thus such tariff change has no impact on its price, it applies the customs duty of 15%.</w:t>
      </w:r>
    </w:p>
    <w:p>
      <w:pPr>
        <w:spacing w:after="0" w:line="19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local NEV manufacturers benefit from ample manufacturing capacity, faster launch time, better understanding of Chinese consumers as well as low-interest government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Drivers for Global and China’s NEV Market Growth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Increasing environmental awareness and tightening emission regulations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Environmental concerns and in particular the “dieselgate” incident which refers to the Volkswagen emissions scandal uncovered in September 2015 have resulted in tightening emission regulations globally and there is a broad consensus that further emission reduction will require higher electrification of the automotive industry. The cost of regulatory compliance for ICE powertrains is rising sharply due to the natural limitations of traditional ICE technologies. In response, global OEMs are aggressively shifting their strategies toward NEVs. Meanwhile, consumers have become more concerned about the impact of goods purchased, both on their personal health as well as on the environment. With more consumers realizing these benefits, zero emission transportation is becoming a popular and widely advocated urban lifestyle, which in turn is driving further development in the NEV market.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Decreasing battery and NEV ownership costs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Improvements in battery technology, coupled with economies of scale by battery suppliers continue to reduce battery production costs. The average cost of lithium-ion batteries has fallen from over US$1,000 per kWh when first developed 20 years ago to below US$270 per kWh today. Such cost is expected to further decrease to around US$150 per kWh by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5925820" cy="19812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2582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ind w:left="200"/>
        <w:spacing w:after="0" w:line="221" w:lineRule="auto"/>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lithium-ion battery pack price includes battery cells, BMS and battery cooling system.</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Assuming continued ownership after 6 years and no resale values are considered.</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Samples of ICE SUV include Audi Q5, Mercedes-Benz GLC-Class, Buick Envision, Volkswagen Tiguan, GAC Trumpchi GS8. Samples of BEV SUV include BYD Song EV300, SAIC ERX5, BYD e6, Tesla Model X, BAIC EX260.</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Including taxes, insurance, and other fees.</w:t>
      </w:r>
    </w:p>
    <w:p>
      <w:pPr>
        <w:ind w:left="520" w:hanging="316"/>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Including energy cost and maintenance cost.</w:t>
      </w:r>
    </w:p>
    <w:p>
      <w:pPr>
        <w:spacing w:after="0" w:line="19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From the perspective of total cost of ownership, BEVs enjoy significant running cost advantages. ICE vehicles may appear to be cheaper with a lower upfront purchase price. However, according to Frost &amp; Sullivan, BEVs’ battery charging cost is approximately 75% lower than ICE cars’ fuel cost, and their repair and maintenance costs are also significantly lower due to BEV simpler structure and lower maintenance frequency. Based on the total cost of ownership comparison of the selected samples as illustrated in the above chart, Frost &amp; Sullivan concluded that the total cost of ownership of BEVs is generally lower than that of ICEs over a six-year period (taking into account subsidies provided with respect to BEVs).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Unique Drivers of NEV penetration in China: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Strong Regulatory Push from the Chinese Central Government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China’s strong regulatory push has been one of the strongest drivers of NEV penetration. Since the publication of </w:t>
      </w:r>
      <w:r>
        <w:rPr>
          <w:rFonts w:ascii="Arial" w:cs="Arial" w:eastAsia="Arial" w:hAnsi="Arial"/>
          <w:sz w:val="18"/>
          <w:szCs w:val="18"/>
          <w:i w:val="1"/>
          <w:iCs w:val="1"/>
          <w:color w:val="auto"/>
        </w:rPr>
        <w:t>New Energy Automobile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Production Enterprises And Product Access Management Rules </w:t>
      </w:r>
      <w:r>
        <w:rPr>
          <w:rFonts w:ascii="Arial" w:cs="Arial" w:eastAsia="Arial" w:hAnsi="Arial"/>
          <w:sz w:val="18"/>
          <w:szCs w:val="18"/>
          <w:color w:val="auto"/>
        </w:rPr>
        <w:t>by the Ministry of Industry and Information Technology (“MIIT”) in 2009, which</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officially announced the promotion of the technical development of NEVs and encouragement of automobile manufacturers to invest in developing NEVs, the national government has issued and implemented a series of policies and incentives to drive the NEV market growth including national and local subsidies, taxation benefits and charging infrastructure construction.</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the Chinese government has set ambitious targets for EV adoption with NEV annual sales volume of 2 million units and 5 million NEVs being on the road by 2020. Under the temporary regime proposed by MIIT in September 2017, the NEV credits for companies whose annual production capacity or import volume of traditional energy passenger vehicles exceeds 30,000 will be implemented from 2019 and NEV credit ratio will be required to be achieved 10% in 2019 and 12% in 2020.</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NEV industry’s strategic importance to China</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automotive industry has been recognized as a strategically important industry to China. It is expected to continue to be a significant contributor to China’s GDP (more than 4%), employment (approximately 4.7 million automotive related workers), taxation (approximately 4.5%) and national retail sales (nearly 25%). However, in the traditional ICE Chinese technology automotive market, foreign brands have dominated and Chinese players have lagged behind global leading peers in terms of, for example, powertrain technologies. However, the incoming NEV market is expected to create a level playing field and allow Chinese companies to play a greater role.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Car Plate Restrictions in Major Cities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Due to severe traffic congestion and air pollution, seven cities in China, namely Beijing, Shanghai, Guangzhou, Shenzhen, Tianjin, Hangzhou and Guiyang, limit the number of car plates issued to ICE vehicles each year through a lottery or auction process. As such, the probability of obtaining car plates in those cities is very low. The total number of car plate applicants from those cities reached 6.1 million by the end of 2017, representing a huge unmet demand for car ownership. These could potentially be converted to EV prospective buyers given that there are either no limitations on NEV car plates or a much higher probability of obtaining a car plate. In addition, according to Frost &amp; Sullivan, by 2025, over 17 cities in aggregate are expected to restrict the number of car plates for ICE vehicles issued annually. The below table sets forth the average probabilities of obtaining car plates and the number of applicants by the end of 2017 in the aforementioned cities (except Guiyang):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0" w:type="dxa"/>
            <w:vAlign w:val="bottom"/>
            <w:gridSpan w:val="3"/>
          </w:tcPr>
          <w:p>
            <w:pPr>
              <w:jc w:val="center"/>
              <w:ind w:left="1413"/>
              <w:spacing w:after="0"/>
              <w:rPr>
                <w:sz w:val="20"/>
                <w:szCs w:val="20"/>
                <w:color w:val="auto"/>
              </w:rPr>
            </w:pPr>
            <w:r>
              <w:rPr>
                <w:rFonts w:ascii="Arial" w:cs="Arial" w:eastAsia="Arial" w:hAnsi="Arial"/>
                <w:sz w:val="14"/>
                <w:szCs w:val="14"/>
                <w:b w:val="1"/>
                <w:bCs w:val="1"/>
                <w:color w:val="auto"/>
                <w:w w:val="92"/>
              </w:rPr>
              <w:t>Average Probability</w:t>
            </w:r>
          </w:p>
        </w:tc>
        <w:tc>
          <w:tcPr>
            <w:tcW w:w="3180" w:type="dxa"/>
            <w:vAlign w:val="bottom"/>
            <w:gridSpan w:val="3"/>
            <w:vMerge w:val="restart"/>
          </w:tcPr>
          <w:p>
            <w:pPr>
              <w:jc w:val="center"/>
              <w:ind w:left="613"/>
              <w:spacing w:after="0"/>
              <w:rPr>
                <w:sz w:val="20"/>
                <w:szCs w:val="20"/>
                <w:color w:val="auto"/>
              </w:rPr>
            </w:pPr>
            <w:r>
              <w:rPr>
                <w:rFonts w:ascii="Arial" w:cs="Arial" w:eastAsia="Arial" w:hAnsi="Arial"/>
                <w:sz w:val="14"/>
                <w:szCs w:val="14"/>
                <w:b w:val="1"/>
                <w:bCs w:val="1"/>
                <w:color w:val="auto"/>
                <w:w w:val="92"/>
              </w:rPr>
              <w:t>Number of Applicants By End of 2017</w:t>
            </w:r>
          </w:p>
        </w:tc>
        <w:tc>
          <w:tcPr>
            <w:tcW w:w="0" w:type="dxa"/>
            <w:vAlign w:val="bottom"/>
          </w:tcPr>
          <w:p>
            <w:pPr>
              <w:spacing w:after="0"/>
              <w:rPr>
                <w:sz w:val="1"/>
                <w:szCs w:val="1"/>
                <w:color w:val="auto"/>
              </w:rPr>
            </w:pPr>
          </w:p>
        </w:tc>
      </w:tr>
      <w:tr>
        <w:trPr>
          <w:trHeight w:val="149"/>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City</w:t>
            </w:r>
          </w:p>
        </w:tc>
        <w:tc>
          <w:tcPr>
            <w:tcW w:w="2440" w:type="dxa"/>
            <w:vAlign w:val="bottom"/>
          </w:tcPr>
          <w:p>
            <w:pPr>
              <w:spacing w:after="0"/>
              <w:rPr>
                <w:sz w:val="12"/>
                <w:szCs w:val="12"/>
                <w:color w:val="auto"/>
              </w:rPr>
            </w:pPr>
          </w:p>
        </w:tc>
        <w:tc>
          <w:tcPr>
            <w:tcW w:w="21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of Obtaining Car</w:t>
            </w:r>
          </w:p>
        </w:tc>
        <w:tc>
          <w:tcPr>
            <w:tcW w:w="3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216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89"/>
              </w:rPr>
              <w:t>Plate</w:t>
            </w:r>
          </w:p>
        </w:tc>
        <w:tc>
          <w:tcPr>
            <w:tcW w:w="780" w:type="dxa"/>
            <w:vAlign w:val="bottom"/>
          </w:tcPr>
          <w:p>
            <w:pPr>
              <w:spacing w:after="0"/>
              <w:rPr>
                <w:sz w:val="13"/>
                <w:szCs w:val="13"/>
                <w:color w:val="auto"/>
              </w:rPr>
            </w:pPr>
          </w:p>
        </w:tc>
        <w:tc>
          <w:tcPr>
            <w:tcW w:w="24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(‘000 persons)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Beijing</w:t>
            </w:r>
          </w:p>
        </w:tc>
        <w:tc>
          <w:tcPr>
            <w:tcW w:w="24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0.12%</w:t>
            </w:r>
          </w:p>
        </w:tc>
        <w:tc>
          <w:tcPr>
            <w:tcW w:w="78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4.49%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4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1.46%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0.81%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w:t>
            </w:r>
          </w:p>
        </w:tc>
        <w:tc>
          <w:tcPr>
            <w:tcW w:w="4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0.78%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Hangzhou</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0.92%</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Currently Underdeveloped Charging Infrastructure in China Being Targeted for Rapid Improvement</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Despite prominent growth during the past five years, the charging network in China is still seen as generally inadequate, not providing enough convenience to potential NEV users. By the end of 2017, there were only 446 thousand public and private charging piles in China of which 214,000 charging piles were publicly accessible, 59.6% of which are superchargers. Although home charging is the most commonly used charging solution in most developed countries, due to electricity wiring system constraints at most residential buildings in China, home charger installment is not feasible for many Chinese users. The map below sets forth the number of public chargers by province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135890</wp:posOffset>
            </wp:positionV>
            <wp:extent cx="4613910" cy="3413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1391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the lack of standardized charging output power, plugs and other specifications as well as incompatibility makes charging more difficult. As a result, approximately 41% of consumers are not willing to purchase BEVs due to the inconvenient charging solutions available, according to a survey by Frost &amp; Sullivan in March 2018. Therefore, building sufficient charging infrastructure and providing convenient charging services are critical to attracting prospective NEV purchasers.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To solve this problem, parties in both public and private sectors, including state-owned electricity companies and automotive OEMs, are heavily investing in building a nationwide charging network to alleviate potential customer concerns. The Chinese government has also targeted constructing over 12,000 charging stations and over 4.8 million charging piles by 2020, according to </w:t>
      </w:r>
      <w:r>
        <w:rPr>
          <w:rFonts w:ascii="Arial" w:cs="Arial" w:eastAsia="Arial" w:hAnsi="Arial"/>
          <w:sz w:val="17"/>
          <w:szCs w:val="17"/>
          <w:i w:val="1"/>
          <w:iCs w:val="1"/>
          <w:color w:val="auto"/>
        </w:rPr>
        <w:t>The Guidelines on EV Charging Infrastructure, 2015-2020</w:t>
      </w:r>
      <w:r>
        <w:rPr>
          <w:rFonts w:ascii="Arial" w:cs="Arial" w:eastAsia="Arial" w:hAnsi="Arial"/>
          <w:sz w:val="17"/>
          <w:szCs w:val="17"/>
          <w:color w:val="auto"/>
        </w:rPr>
        <w:t xml:space="preserve"> issued by the National Energy Administration. Driven by joint efforts to establish a charging infrastructure system to meet charging demand, the total number of charging piles in China is projected to reach approximately 5.0 million units by 2022, growing at a CAGR of 62.6% and the number of public charging piles is expected to reach 2.1 million by 2022, according to Frost &amp;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139700</wp:posOffset>
            </wp:positionV>
            <wp:extent cx="6062980" cy="2126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6298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In-Car E-commerce Disruptive Market Opportunity</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Inside the vehicle, consumers are increasingly enjoying an in-car e-commerce offering. In-car e-commerce refers to the Internet based connected services consisting of information, entertainment, in-car content and online-to-offline, or O2O, service in the vehicle through connectivity among mobile phones, vehicles and service providers. Catering to changing consumption behavior in the digitization age, in-car e-commerce is underpinned by increasing processing capabilities of vehicle processors as well as more advanced infotainment systems installed in the vehicles.</w:t>
      </w:r>
    </w:p>
    <w:p>
      <w:pPr>
        <w:spacing w:after="0" w:line="17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Various internet services have been announced to be launched to accommodate in-car entertainment, information and other O2O demands. In-car O2O services are more convenient and flexible due to significant advantages of mobility. For instance, consumers may do online shopping, online streaming and use other internet services in the car or have merchandise delivered to the trunk. Cross-sector collaborations and partnerships for example between Chinese automobile manufacturers and internet companies serve as an opportunity for the market to grow and develop into new areas.</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Given the significant time spent in cars and given increasing autonomous capabilities the ability of the driver to focus on things other than driving in the car, although the current global in-car ecommerce market size is still relatively small at around US$1.4 billion in 2017, it is expected to grow to US$2.9 billion in 2022.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shape a joyful lifestyle by offering premium smart electric vehicles and being the best user enterprise.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 Our Chinese name,</w:t>
      </w:r>
    </w:p>
    <w:p>
      <w:pPr>
        <w:ind w:left="200"/>
        <w:spacing w:after="0"/>
        <w:rPr>
          <w:sz w:val="20"/>
          <w:szCs w:val="20"/>
          <w:color w:val="auto"/>
        </w:rPr>
      </w:pPr>
      <w:r>
        <w:rPr>
          <w:rFonts w:ascii="Arial" w:cs="Arial" w:eastAsia="Arial" w:hAnsi="Arial"/>
          <w:sz w:val="18"/>
          <w:szCs w:val="18"/>
          <w:color w:val="auto"/>
        </w:rPr>
        <w:t xml:space="preserve">Weilai ( </w:t>
      </w:r>
      <w:r>
        <w:rPr>
          <w:sz w:val="1"/>
          <w:szCs w:val="1"/>
          <w:color w:val="auto"/>
        </w:rPr>
        <w:drawing>
          <wp:inline distT="0" distB="0" distL="0" distR="0">
            <wp:extent cx="197485" cy="946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485" cy="94615"/>
                    </a:xfrm>
                    <a:prstGeom prst="rect">
                      <a:avLst/>
                    </a:prstGeom>
                    <a:noFill/>
                    <a:ln>
                      <a:noFill/>
                    </a:ln>
                  </pic:spPr>
                </pic:pic>
              </a:graphicData>
            </a:graphic>
          </wp:inline>
        </w:drawing>
      </w:r>
      <w:r>
        <w:rPr>
          <w:rFonts w:ascii="Arial" w:cs="Arial" w:eastAsia="Arial" w:hAnsi="Arial"/>
          <w:sz w:val="18"/>
          <w:szCs w:val="18"/>
          <w:color w:val="auto"/>
        </w:rPr>
        <w:t xml:space="preserve"> ), which means Blue Sky Coming, reflects our commitment to a more environmentally friendly future.</w:t>
      </w:r>
    </w:p>
    <w:p>
      <w:pPr>
        <w:spacing w:after="0" w:line="21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It is equipped with our proprietary e-propulsion system which is capable of accelerating from zero to 100 km per hour in 4.4 seconds and delivering a New European Driving Cycle driving range of up to 355 km and a maximum range of up to 500 km in a single charge. As of August 31, 2018, we had delivered 1,602 ES8s and had unfulfilled reservations for 15,778 ES8s with deposits. Of these reservations, 6,201 consisted of reservations for which non-refundable RMB45,000 deposits had been made and 9,577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plan to launch our second volume manufactured electric vehicle, the ES6, by the end of 2018 and start initial deliveries in the first half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The ES6 is a 5-seater, high-performance premium electric SUV, set at a lower price point than the ES8 to reach out to a broader customer base.</w:t>
      </w:r>
    </w:p>
    <w:p>
      <w:pPr>
        <w:spacing w:after="0" w:line="23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include Power Home, our home charging 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over 214,000 charging piles, 59.6% of which are superchargers. Beyond charging solutions, we offer comprehensive value-added services to our users, such as statutory and third-party liability insurance and car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8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electric powertrain technologies we developed for the EP9 set the technological foundation for the development of our vehicles, from the ES8, to the planned ES6 and to other future models. Our e-propulsion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system consists of three key sub-systems: an electric drive system, or EDS, an energy storage system, or ESS, and a vehicle intelligence control system, or VIS. Our e-propulsion system reflects our cutting-edge proprietary technologies and visionary engineering in our EV design.</w:t>
      </w:r>
    </w:p>
    <w:p>
      <w:pPr>
        <w:spacing w:after="0" w:line="14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ADAS system, is enabled by 23 sensors and equipped with the Mobileye EyeQ</w:t>
      </w:r>
      <w:r>
        <w:rPr>
          <w:rFonts w:ascii="Arial" w:cs="Arial" w:eastAsia="Arial" w:hAnsi="Arial"/>
          <w:sz w:val="15"/>
          <w:szCs w:val="15"/>
          <w:color w:val="auto"/>
        </w:rPr>
        <w:t>®</w:t>
      </w:r>
      <w:r>
        <w:rPr>
          <w:rFonts w:ascii="Arial" w:cs="Arial" w:eastAsia="Arial" w:hAnsi="Arial"/>
          <w:sz w:val="18"/>
          <w:szCs w:val="18"/>
          <w:color w:val="auto"/>
        </w:rPr>
        <w:t>4 ADAS processor, which is eight times more powerful than its predecessor.</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began making deliveries of our first volume manufactured vehicle, the ES8, to users on June 28, 2018. The table below sets forth certain operating data up to August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August</w:t>
            </w:r>
          </w:p>
        </w:tc>
      </w:tr>
      <w:tr>
        <w:trPr>
          <w:trHeight w:val="17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Unfulfilled reservations with non-refundable deposits (total as of the end of the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ES8s produced for the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ES8s delivered for the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280" w:hanging="316"/>
        <w:spacing w:after="0" w:line="237"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Reservation data is provided as of the month end for June, July and August 2018. Deliveries for June represent deliveries for the period from June 28, 2018 (being the date we began making deliveries of the ES8 to the public) through June 30,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are focusing on providing smart and connected premium electric vehicles as part of a user-centric mobility lifestyle and we believe the following strengths contribute to our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Pioneer in China’s premium EV market</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are strategically positioned in China’s premium EV market, an attractive market segment in which we currently face very limited competition. According to Frost &amp; Sullivan, China’s NEV market is expected to grow from 0.7 million units in 2017 to 3.6 million units in 2022, at a CAGR of</w:t>
      </w:r>
    </w:p>
    <w:p>
      <w:pPr>
        <w:ind w:left="200" w:right="100"/>
        <w:spacing w:after="0" w:line="254" w:lineRule="auto"/>
        <w:rPr>
          <w:sz w:val="20"/>
          <w:szCs w:val="20"/>
          <w:color w:val="auto"/>
        </w:rPr>
      </w:pPr>
      <w:r>
        <w:rPr>
          <w:rFonts w:ascii="Arial" w:cs="Arial" w:eastAsia="Arial" w:hAnsi="Arial"/>
          <w:sz w:val="18"/>
          <w:szCs w:val="18"/>
          <w:color w:val="auto"/>
        </w:rPr>
        <w:t>37.1%, driven by favorable government policies, technological advancement and increased consumer spending. Our first volume manufactured vehicle, the ES8, is positioned at the intersection of China’s fastest growing SUV and premium segments. The ES8 boasts best-in-class performance across multiple dimensions including top speed, acceleration, battery range and advanced ADAS and autonomous driving features, all of which clearly differentiate us from our competitors.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In addition, the ES8 is more affordable than the EVs of other imported premium brands as a result of the absence of import and purchasing taxes, lower manufacturing costs, other tax benefits as well as national and local subsidies. As of August 31, 2018, we had received over 15,778 unfulfilled ES8 reservations with deposits.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Redefining EV experience with cutting-edge proprietary technology, visionary engineering and smart connectivity</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We design EVs that feature cutting-edge proprietary technology and visionary engineering. Our ES8 is a 7-seater, all-wheel-drive SUV equipped with our in-house developed, 480kW dual motor powertrain system, consisting of high performance e-drive system, high energy density battery pack and highly effective battery management system. The ES8 also uses an aerospace grade full-body aluminum architecture making it light weight. Its innovative, luxurious and spacious interior further improves the driver and passenger experience. The ES8 was designed in accordance with the 5-star rating standards under C-NCAP safety standards and passed numerous strict safety tests. We plan to apply our cutting-edge technology and extensive engineering capabilities to our future models as well. Our technological leadership has also been demonstrated by our well-known EP9 supercar, the world’s fastest electric vehicle, which has set five world records to date.</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a pioneer in smart connectivity, artificial intelligence, or AI, and enhanced Level 2 autonomous driving functionality. The ES8 is equipped with NIO Pilot, which enables highway pilot, traffic jam pilot and automatic emergency braking. We have the ability to analyze large quantities of driving data to accelerate our autonomous driving technologies and algorithms.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we believe we have China’s most advanced in-car AI connected assistant, NOMI, which is capable of deep learning and benefits from our cloud computing network. Through NOMI, users are able to use voice control to make phone calls, play music and control systems including navigation, opening and closing windows, climate control, controlling the seat massage function, operating in-car media, controlling the in-car camera (including taking pictures), among others, the mobility experience. Furthermore, we plan to offer over-the-air updates to our users which allow periodic software and driving solution improvements, leading to better user experience during the EV lifecycle.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Revolutionary and comprehensive charging solutions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provide our users with a comprehensive range of charging solutions, alleviating the most critical challenge to EV adoption. We aim to provide charging services in most major cities in China. Our innovative “Power Express”, is expected to provide users with 24-hour on-demand charging services including car pick-up and drop-off. We offer users an energy package where these services are accessible for a fixed monthly subscription fee. Our charging solutions include:</w:t>
      </w:r>
    </w:p>
    <w:p>
      <w:pPr>
        <w:spacing w:after="0" w:line="92" w:lineRule="exact"/>
        <w:rPr>
          <w:sz w:val="20"/>
          <w:szCs w:val="20"/>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Home”—home chargers where practicable for users;</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Access to the nationwide charging network consisting of approximately 214,000 publicly accessible charging piles as of December 31, 2017, 59.6% of which are superchargers. Fees for the usage of these are included in our energy package and we are able to make use of these when providing our valet power express services;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Mobile”—charging trucks offering rapid charging for 100km range within 10 minutes;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Swap”—battery swapping stations offering battery swapping service within minutes.</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Powered by NIO Cloud, real-time data synchronization of our charging and battery swapping network enables us to deploy and deliver charging services faster and more efficiently. In addition, centralized, diagnostics and remote management of batteries allows our users to enjoy better battery performance.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User enterprise advocating a unique and holistic mobility lifestyle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“One-click for Service” and “One-click for Power” solutions through a subscription model offer a wide variety of value-added services including 24-hour customer service, technical support advisors, valet charging,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car pick-up/drop-off delivery as well as more traditional services such as repair and maintenance and courtesy car. We believe these service offerings provide one-touch convenience and create a seamless experience for our users throughout the vehicle lifecycle. We directly sell our vehicles to users, which we believe allows us to deliver a more consistent, differentiated and compelling user experience, compared to the traditional franchised distribution model used by our competitors in China.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9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building an integrated online and offline community, creating, we believe, a unique and interactive mobility lifestyle where users can interact to provide an experience that goes beyond the car. Our mobile application, featuring moment sharing and an online fan shop, has become an active online community. Our mobile application had over 520,000 registered users as of August 28, 2018. We believe that our NIO Houses will help to cultivate brand loyalty and promote user engagement, serving as an exclusive user club with multiple social functions. Furthermore, our annual NIO Day with new product launches increases our media exposure and attracts prospective users. On 2017 NIO Day, there were 110 million views and we observed over 7,000 media articles covering the NIO Day which we believe makes it one of the largest electric vehicle launches.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partnerships with global best-in-class technology and industrial leaders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position as a pioneer in our market has attracted global leaders across our supply chain, autonomous driving, infotainment and various value-added services, creating an extensive industry alliance network for us. Our key partners include Tencent, Baidu, Mobileye and CATL. We believe their expertise and know-how broaden our service offering and solidify our technological leadership. For example, we are closely collaborating with Mobileye to develop next generation autonomous driving technology to be used in our vehicles.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these leading suppliers and partners also allow us to manufacture and deliver our products with high quality standards. In particular, our alliance with JAC to manufacture our ES8 and ES6 models provides us with flexibility, scalability and speed to market, cementing our first mover advantage in the China market, while product design, supply chain management and quality control are managed by us with our engineering team onsite.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World-class management, global talent pool and tech savvy investor base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success is led by a visionary management team with a unique combination of internet and automotive experience with a start-up mindset. Our founder and Chairman, Mr. Bin Li, is an experienced entrepreneur in China with extensive expertise and a proven track record of creating innovative and disruptive business models in the mobility and internet space.</w:t>
      </w:r>
    </w:p>
    <w:p>
      <w:pPr>
        <w:spacing w:after="0" w:line="18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reputation has enabled us to recruit a global talent pool with specialists in China for user interface development and engineering tailored to Chinese users, in Silicon Valley for software and autonomous driving, and in Munich and the UK for vehicle design and engineering. Our global footprint echoes our premium proposition customized for Chinese consumers and delivers best-in-class standards in respective areas.</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addition, our tech savvy investors provide us with strategic support and long-term funding. For instance, we work with Baidu and Tencent on mapping and cloud services,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pursuing the following strategies to achieve our mission:</w:t>
      </w:r>
    </w:p>
    <w:p>
      <w:pPr>
        <w:spacing w:after="0" w:line="333" w:lineRule="exact"/>
        <w:rPr>
          <w:sz w:val="20"/>
          <w:szCs w:val="20"/>
          <w:color w:val="auto"/>
        </w:rPr>
      </w:pPr>
    </w:p>
    <w:p>
      <w:pPr>
        <w:ind w:left="640" w:right="620"/>
        <w:spacing w:after="0" w:line="385" w:lineRule="auto"/>
        <w:rPr>
          <w:sz w:val="20"/>
          <w:szCs w:val="20"/>
          <w:color w:val="auto"/>
        </w:rPr>
      </w:pPr>
      <w:r>
        <w:rPr>
          <w:rFonts w:ascii="Arial" w:cs="Arial" w:eastAsia="Arial" w:hAnsi="Arial"/>
          <w:sz w:val="15"/>
          <w:szCs w:val="15"/>
          <w:b w:val="1"/>
          <w:bCs w:val="1"/>
          <w:i w:val="1"/>
          <w:iCs w:val="1"/>
          <w:color w:val="auto"/>
        </w:rPr>
        <w:t xml:space="preserve">Successfully launch future models such as the ES6 and ET7 timely to target a broader customer base and expand our product lineup </w:t>
      </w:r>
      <w:r>
        <w:rPr>
          <w:rFonts w:ascii="Arial" w:cs="Arial" w:eastAsia="Arial" w:hAnsi="Arial"/>
          <w:sz w:val="15"/>
          <w:szCs w:val="15"/>
          <w:color w:val="auto"/>
        </w:rPr>
        <w:t>The successful launches of our planned 5-seater SUV ES6, our ET7 sedan and future models are critical in capitalizing on our first mover</w:t>
      </w:r>
    </w:p>
    <w:p>
      <w:pPr>
        <w:spacing w:after="0" w:line="1"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advantage and capturing electric vehicle market opportunities in China. We are currently on track to complete the design, engineering and component sourcing of ES6 by the end of 2018 and target initial delivery during the first half of 2019. In addition, we are generally targeting to launch a new model every year. At the same time, we intend to launch mid-cycle facelifts on existing models more frequently than industry standards to meet latest user preferences and drive innovations.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Build our own manufacturing capacity and continue to optimize manufacturing costs by leveraging a common platform and production flexibility</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Construction has started on our own manufacturing facility in Shanghai in order to expand manufacturing capacity for the ET7 and future models, complementing our JAC manufacturing alliance supplying the ES8 and ES6. We expect that this facility will also facilitate our ability to obtain our own EV manufacturing license and potentially benefit from the NEV credit score system in the future. We aim to obtain our EV manufacturing license within two to three years following the date of this prospectus. We intend to design different models with adaptable platform architecture and electric powertrain systems and maintain standard high-quality control standards across our facilities and achieve cost effectiveness.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infrastructure and service coverage nationwide to improve user experience</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expand our users’ access to charging infrastructure nationwide and provide more convenient charging solutions to our users. We plan to offer real-time data on the availability of charging piles by uploading and synchronizing data from our own and third party charging networks to our cloud. We plan to continue to build our service network mostly through authorized service centers across China and broaden the service coverage and further enhance user experience.</w:t>
      </w:r>
    </w:p>
    <w:p>
      <w:pPr>
        <w:spacing w:after="0" w:line="187"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We plan to expand our distribution network by building more NIO Houses and delivery centers, supported by nationwide logistic network and regional warehousing facilities, in order to meet increasing demand from prospective buyers, particularly in non-tier-one cities.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Continue to focus on technological innovations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intend to continue to attract talent from the world’s top universities, institutions, technology and automotive companies to expand our talent pool and help us drive technological innovation. Meanwhile, we aim to further advance our proprietary E-powertrain system to achieve better battery performance to increase the driving range and shorten the charging time for our cars. We expect to equip our next model ES6 with a higher density battery pack, delivering an over 450-kilometer driving range. We are also developing our next generation of E-powertrain system with higher output EDS as well as higher capacity fast charging battery packs. In addition, we intend to leverage our cyber-security technology and FOTA platform to build seamless vehicle network and create a mobile living space featuring artificial intelligence and a next-generation digital cockpit and user interface.</w:t>
      </w:r>
    </w:p>
    <w:p>
      <w:pPr>
        <w:spacing w:after="0" w:line="16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Moreover, we plan to develop ADAS with more comprehensive active automated driving, driving support, and alerts and warnings features. We are aiming to launch a model equipped with Level 4 autonomous driving capabilities in the coming years. We intend to further enhance safety and technology features to drive customer satisfaction and interest, which in turn helps expand our market share.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Create more monetization opportunities during the lifetime ownership</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offer an innovative subscription service in the automotive industry consisting of a service package and an energy package to generate recurring revenues beyond the initial car purchase and promote user engagement. We expect to increase the user adoption of these packages by providing more convenient and user-centric services.</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we plan to continue to focus on users’ lifetime engagement to create additional monetization opportunities in every aspect of car ownership, including financing, insurance, repair and maintenance, charging and infotainment. We also plan to establish and develop strategic partnerships with Tencent, JD.com and other technology leaders in our ecosystem to explore more value-added services empowered by big-data and our cloud architecture, such as “mailbox” service, or last mile express delivery service into the car trunk, and in-car entertainment.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Core Values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is set up around the following core values and commitments:</w:t>
      </w:r>
    </w:p>
    <w:p>
      <w:pPr>
        <w:spacing w:after="0" w:line="131" w:lineRule="exact"/>
        <w:rPr>
          <w:sz w:val="20"/>
          <w:szCs w:val="20"/>
          <w:color w:val="auto"/>
        </w:rPr>
      </w:pPr>
    </w:p>
    <w:p>
      <w:pPr>
        <w:ind w:left="1060" w:right="20" w:hanging="424"/>
        <w:spacing w:after="0" w:line="27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Our Vehicles</w:t>
      </w:r>
      <w:r>
        <w:rPr>
          <w:rFonts w:ascii="Arial" w:cs="Arial" w:eastAsia="Arial" w:hAnsi="Arial"/>
          <w:sz w:val="17"/>
          <w:szCs w:val="17"/>
          <w:color w:val="auto"/>
        </w:rPr>
        <w:t>: We aim to provide our users with high-performance vehicles, with design, engineering, manufacturing and delivery performed</w:t>
      </w:r>
      <w:r>
        <w:rPr>
          <w:rFonts w:ascii="Arial" w:cs="Arial" w:eastAsia="Arial" w:hAnsi="Arial"/>
          <w:sz w:val="17"/>
          <w:szCs w:val="17"/>
          <w:i w:val="1"/>
          <w:iCs w:val="1"/>
          <w:color w:val="auto"/>
        </w:rPr>
        <w:t xml:space="preserve"> </w:t>
      </w:r>
      <w:r>
        <w:rPr>
          <w:rFonts w:ascii="Arial" w:cs="Arial" w:eastAsia="Arial" w:hAnsi="Arial"/>
          <w:sz w:val="17"/>
          <w:szCs w:val="17"/>
          <w:color w:val="auto"/>
        </w:rPr>
        <w:t>to our high-quality standards at a reasonable price point. Our ES8 and other vehicles contain cutting edge technology, including our e-propulsion system which enables the ES8 to accelerate from zero to 100 kilometers per hour (kph) in just 4.4 seconds, all-aluminum alloy body and chassis, enabling high vehicle torsional stiffness and innovative luxury interior. The ES8 is designed to meet the 5-star C-NCAP safety standards set by the China Automotive Technology and Research Center.</w:t>
      </w:r>
    </w:p>
    <w:p>
      <w:pPr>
        <w:spacing w:after="0" w:line="77" w:lineRule="exact"/>
        <w:rPr>
          <w:rFonts w:ascii="Arial" w:cs="Arial" w:eastAsia="Arial" w:hAnsi="Arial"/>
          <w:sz w:val="17"/>
          <w:szCs w:val="17"/>
          <w:color w:val="auto"/>
        </w:rPr>
      </w:pPr>
    </w:p>
    <w:p>
      <w:pPr>
        <w:ind w:left="1060" w:right="6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Our High-Quality Service</w:t>
      </w:r>
      <w:r>
        <w:rPr>
          <w:rFonts w:ascii="Arial" w:cs="Arial" w:eastAsia="Arial" w:hAnsi="Arial"/>
          <w:sz w:val="16"/>
          <w:szCs w:val="16"/>
          <w:color w:val="auto"/>
        </w:rPr>
        <w:t>: Through one click using our mobile application, our users are able to access an innovative full suite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redefining the user experience for car buyers. Our services include our comprehensive and innovative full range of energy solutions, including, among others, home chargers, charging trucks and battery swapping, our service package, through which we aim to provide users with “worry free” vehicle servicing, repair and roadside assistance, in each case, through one click using our mobile application.</w:t>
      </w:r>
    </w:p>
    <w:p>
      <w:pPr>
        <w:spacing w:after="0" w:line="59" w:lineRule="exact"/>
        <w:rPr>
          <w:rFonts w:ascii="Arial" w:cs="Arial" w:eastAsia="Arial" w:hAnsi="Arial"/>
          <w:sz w:val="16"/>
          <w:szCs w:val="16"/>
          <w:color w:val="auto"/>
        </w:rPr>
      </w:pPr>
    </w:p>
    <w:p>
      <w:pPr>
        <w:ind w:left="106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Smart Connectivity and Autonomous Driving</w:t>
      </w:r>
      <w:r>
        <w:rPr>
          <w:rFonts w:ascii="Arial" w:cs="Arial" w:eastAsia="Arial" w:hAnsi="Arial"/>
          <w:sz w:val="16"/>
          <w:szCs w:val="16"/>
          <w:color w:val="auto"/>
        </w:rPr>
        <w:t>: Our vehicles are designed with user experience at the forefront. Our ES8 and future vehicles</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artificial intelligence, or AI, using our NOMI system, which is an in-car AI connected assistant capable of deep learning and which is powered by in-car and cloud computing. We also provide a comprehensive ADAS package with NIO Pilot. As we improve our autonomous driving algorithms through research and development, we expect to update existing in-vehicle technology through FOTA upgrades.</w:t>
      </w:r>
    </w:p>
    <w:p>
      <w:pPr>
        <w:spacing w:after="0" w:line="59" w:lineRule="exact"/>
        <w:rPr>
          <w:rFonts w:ascii="Arial" w:cs="Arial" w:eastAsia="Arial" w:hAnsi="Arial"/>
          <w:sz w:val="16"/>
          <w:szCs w:val="16"/>
          <w:color w:val="auto"/>
        </w:rPr>
      </w:pPr>
    </w:p>
    <w:p>
      <w:pPr>
        <w:ind w:left="1060" w:right="200" w:hanging="424"/>
        <w:spacing w:after="0" w:line="28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User Engagement Beyond the Car</w:t>
      </w:r>
      <w:r>
        <w:rPr>
          <w:rFonts w:ascii="Arial" w:cs="Arial" w:eastAsia="Arial" w:hAnsi="Arial"/>
          <w:sz w:val="17"/>
          <w:szCs w:val="17"/>
          <w:color w:val="auto"/>
        </w:rPr>
        <w:t>: We aim to engage with users and create an environment conducive for user interaction both online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By leveraging our annual NIO Day, our mobile application and our NIO Houses, we aim to cultivate the users’ emotional attachment, retain user engagement and build a community of users, fostering loyalty and brand awareness.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Vehicles</w:t>
      </w:r>
    </w:p>
    <w:p>
      <w:pPr>
        <w:spacing w:after="0" w:line="121"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7"/>
          <w:szCs w:val="17"/>
          <w:color w:val="auto"/>
        </w:rPr>
        <w:t>We design, jointly manufacture and sell our vehicles in China’s premium electric vehicle segment. We began making deliveries to the public of our first volume manufactured car, the 7-seater ES8 SUV on June 28, 2018 and plan to begin deliveries of our second car, the 5-seater ES6 in the first half of 2019. Following the launch of the ES6, we plan to launch our first sedan, the ET7 in 2020. The ET7 is expected to leverage the platform technologies from the ES8 and ES6 to create an all-wheel drive sedan. As of August 31, 2018, we had delivered 1,602 ES8s and had unfulfilled reservations for 15,778 ES8s with deposits. Of these reservations, 6,201 consisted of reservations for which non-refundable RMB45,000 deposits had been made and 9,577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79"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Our goal is to launch a new vehicle model each year for the near future as we plan to offer our users more choices to suit their preferences and target different segments within the premium electric vehicle market in China. We also plan to upgrade our existing models on an ongoing basis with facelifts for each model around every one or two years and do a major model redesign or upgrade every three years.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plan to exclusively sell our vehicles in China for the near future.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ES8</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ES8, our first volume manufactured vehicle, is a spacious 7-seater high-performance premium electric SUV. The ES8 was officially launched at our NIO Day event on December 16, 2017, following which we began taking reservations. We started making deliveries to the public of the ES8 on June 28, 2018 and have ramped up deliveries during the summer of 2018.</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With both front and rear motors (240 kW each), the ES8 delivers 480 kilowatts of power and 840 Newton meters of torque to all four wheels. The ES8’s e-propulsion system enables the ES8 to accelerate from zero to 100 km per hour (kph) in just 4.4 seconds. The ES8 is equipped with a</w:t>
      </w:r>
    </w:p>
    <w:p>
      <w:pPr>
        <w:ind w:left="200" w:right="220"/>
        <w:spacing w:after="0" w:line="277" w:lineRule="auto"/>
        <w:rPr>
          <w:sz w:val="20"/>
          <w:szCs w:val="20"/>
          <w:color w:val="auto"/>
        </w:rPr>
      </w:pPr>
      <w:r>
        <w:rPr>
          <w:rFonts w:ascii="Arial" w:cs="Arial" w:eastAsia="Arial" w:hAnsi="Arial"/>
          <w:sz w:val="17"/>
          <w:szCs w:val="17"/>
          <w:color w:val="auto"/>
        </w:rPr>
        <w:t>70-kilowatt-hour liquid-cooled battery pack comprised of cutting-edge square cell batteries. The battery pack features an energy density of 135wh/kg and provides an approximately 1,200-charge-discharge lifecycle with an 87% capacity retention. The ES8 achieves 500 kilometers of range when constantly running at 60 kph, and the car achieves a New European Driving Cycle, or NEDC, range of 355 kilometers.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With 21 active safety features, the ES8 is designed to meet five-star C-NCAP safety standards. In addition to standard safety features for a vehicle in its class, ES8 also features or will feature driver drowsiness detection, lane departure warning, lane change assistance, automatic emergency braking, side door opening warning, and 360-degree high definition surround vision, among other advanced safety measures. The ES8 is also designed to include safety features such as electric stability program, electric traction control, cornering brake control, hill descent control, hill start assist, rear view camera, front and rear parking sensors, side distance indication system, direct-tire pressure monitoring system, blind spot detection, dynamic wheel torque by brake and roll stability control. In addition, the braking distance of the ES8 from 100 km per hour to a complete stop is 33.8 meters.</w:t>
      </w:r>
    </w:p>
    <w:p>
      <w:pPr>
        <w:spacing w:after="0" w:line="16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ES8 is the first car in China to have an all-aluminum alloy body and chassis featuring aerospace grade 7003 series aluminum alloy, enabling torsional stiffness of 44,140 Nm/Deg, and also features the highest amount of aluminum for any mass production car yet. The active air suspension on the ES8 creates, we believe, a comfortable riding experience. The ES8 has a 3,010 millimeter long wheelbase, to create a truly mobile living space. The three-row, seven-seat layout makes full use of the interior space. The innovative “lounge seat” and “child-care mode”, together with the Nappa leather wrap, create, we believe, a comfortable atmosphere, redefining the riding experience. The smart air quality system includes an activated carbon and high-efficiency particulate air, or HEPA, filter and negative ion generator.</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Together with the launch of the ES8 in 2017, we launched our NIO Pilot system which we expect to be activated on our ES8 in the near future. Our NIO Pilot advanced driver assistance system, or ADAS, with comprehensive enhanced Level 2 autonomous driving features, is enabled by 23 sensors, including a trifocal front-facing camera, four surround exterior cameras, five millimeter-wave radars, 12 ultrasonic sensors and a driver monitor camera. The ES8 comes equipped with the Mobileye EyeQ</w:t>
      </w:r>
      <w:r>
        <w:rPr>
          <w:rFonts w:ascii="Arial" w:cs="Arial" w:eastAsia="Arial" w:hAnsi="Arial"/>
          <w:sz w:val="15"/>
          <w:szCs w:val="15"/>
          <w:color w:val="auto"/>
        </w:rPr>
        <w:t>®</w:t>
      </w:r>
      <w:r>
        <w:rPr>
          <w:rFonts w:ascii="Arial" w:cs="Arial" w:eastAsia="Arial" w:hAnsi="Arial"/>
          <w:sz w:val="18"/>
          <w:szCs w:val="18"/>
          <w:color w:val="auto"/>
        </w:rPr>
        <w:t>4 ADAS chip which has a computation capacity eight-times more powerful than its predecessor, the Mobileye EyeQ</w:t>
      </w:r>
      <w:r>
        <w:rPr>
          <w:rFonts w:ascii="Arial" w:cs="Arial" w:eastAsia="Arial" w:hAnsi="Arial"/>
          <w:sz w:val="15"/>
          <w:szCs w:val="15"/>
          <w:color w:val="auto"/>
        </w:rPr>
        <w:t>®</w:t>
      </w:r>
      <w:r>
        <w:rPr>
          <w:rFonts w:ascii="Arial" w:cs="Arial" w:eastAsia="Arial" w:hAnsi="Arial"/>
          <w:sz w:val="18"/>
          <w:szCs w:val="18"/>
          <w:color w:val="auto"/>
        </w:rPr>
        <w:t>3.</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the ES8’s sophisticated 4G support and software and hardware suite enables subscribers to enjoy upgraded services through FOTA updates. Each vehicle comes standard with eight gigabytes per month of data. Our remote updates are driven by our centralized connected vehicle gateway which controls all electric control units, or ECUs. The ES8 provides high-speed parallel over-the-air updates, allowing the ES8 to acquire new features from time to time while minimizing downtime.</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Together with the launch of the ES8, we also launched our NOMI system, an optional feature, which we believe is one of the most advanced in-car AI assistants developed by a Chinese company. Our goal is to provide users with a more natural interaction with the in-car AI system and also provide enhanced safety by further removing the need for users to keep looking at the screen while driving. NOMI combines the ES8’s intelligence and car connectivity functionalities to turn the ES8 into an intuitive companion that can listen to, talk with, and help drivers and passengers along the way. Through NOMI, users are able to use shortcuts and voice control to</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make phone calls, play music and control systems including navigation, air-conditioning, opening and closing windows, climate control, controlling the seat massage function, operating in-car media, controlling the in-car camera (including taking pictures), among others. We intend to improve the system and add additional functions through FOTA upgrades.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ES8 has a base price of RMB448,000 before subsidies. Purchasers can purchase additional options including different wheel styles, certain exterior colors, NIO Pilot and NOMI, among others. We are also producing approximately 10,000 “Founder’s Edition” vehicles, available for RMB548,000 before subsidies, which comes standard with additional features such as the nappa luxury interior package (consisting of nappa leather perforated seats, a nappa leather interior wrap and front massage seats), all-season comfort package (heated steering wheel, second row heated seats, front row ventilated seat), a premium audio system, an enhanced head unit display and additional NIO Pilot functions. Such features can also be added based on user preferences to our standard ES8. The ES8 also comes equipped with a wireless charging board. A battery payment option is available to buyers, which provides an RMB100,000 reduction in the purchase price of the ES8 and costs RMB1,280 per month for 78 months. To purchase an ES8, a customer is first required to pay a refundable deposit reserving the car, which for the ES8 is RMB5,000, and prior to the user’s ES8 entering into production, a non-refundable deposit of RMB45,000 must be made (which can include the initial RMB5,000 reservation deposit) and is applied towards the purchase price of the vehicle.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ES6</w:t>
      </w:r>
    </w:p>
    <w:p>
      <w:pPr>
        <w:spacing w:after="0" w:line="11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The ES6 is a planned 5-seater high-performance electric premium SUV currently under development and planned for delivery in the first half of 2019. The ES6 is being developed based on the same advanced electric vehicle platform as the ES8. The ES6 will be smaller and more affordable than the ES8, with pricing expected to be approximately RMB80,000 to RMB100,000 less than the ES8. We believe that the ES6 will allow us to target a broader market in the premium SUV segment.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ES6 is expected to provide both front and rear motors in different combinations and provide similarly attractive performance features as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ES8.</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expect to deploy a new e-propulsion system for the ES6 in the second half of 2019, which will have all-new dual permanent magnet, or PM, motors, which are more energy efficient.</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Most of the features and options currently available for the ES8 will be available on the ES6, and we expect that the ES6 will include additional features and increased optionality, allowing users more options with respect to pricing.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Power Solutions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Through our NIO Power power solutions, we offer a comprehensive and innovative suite of power solutions to address the battery charging needs of our users. We aim to provide power services in most major cities in China, with our solutions being easily accessible through our mobile application. We also offer our users our valet service where we pick-up, charge and then return the vehicle. Our goal is to provide the most convenient power solutions to our users. Using our mobile application, our users will be able to monitor battery levels and charging status. The charging status of batteries and the charging solutions are available to users are all connected through our cloud, enabling us to assist users in finding the most convenient charging solution available in a given area.</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Home Charging (Power Home)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Through NIO Power Home, we install chargers at our customers’ homes after the purchase of a new vehicle based on customer request where installation at the customer’s home is feasible. Given the convenience of having a home charger installed, we aim to install a home charger for our users whenever practicable. Our home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charger is expected to be the first to have an auto-identification function which enables a vehicle to automatically pair with its exclusively compatible home charger. Charging takes place by simply inserting the charging gun into the vehicle’s charging port. The first NIO Power Home device and basic installation are initially included in the price of the vehicle though there may be charges in certain circumstances. Users have the option of postponing such installation if installation is not feasible at his or her residence at the time of purchase. Any subsequent installation is subject to charge on a case-by-case basis. Installation is performed by professional third party contractors engaged by us. Our charging pile design won the “best of best” reddot award in 2018. Under normal temperatures and battery conditions, the battery of the ES8 would be charged from approximately 20% to 90% power level in seven to eight hours using our home charger.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 Express and Other Power Solutions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have tailored our charging solutions to serve the needs of Chinese users. We anticipate that many of our users are likely to live in condominiums or apartment buildings where they are unable to install a home charger. We aim to provide such users with a level of convenience and service with our other power solutions so that they can enjoy a similar level of convenience as our users with home chargers installed. We are also committed to ensuring the high standard of quality and performance of our charging solutions.</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To that end, we offer our users our Power Express valet service and other charging solutions, including access to public charging, access to our Power Mobile charging trucks, and battery swapping.</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Using our mobile application, a user is able to arrange to have our team pick up his or her vehicle at the user’s designated parking location. The vehicle is driven to a nearby battery charging station or battery swap station or a charging truck is driven to the parking location. The vehicle is returned to the user once battery charging or swapping is completed. Users are able to select “immediate service” which provides the fastest charging option to meet a more urgent charging demand, “reservation service” for scheduled charging services. We also plan to provide “idle charging” which allows users to set an anticipated start time and end time when their vehicle is expected to remain idle, such as overnight, and the threshold of the vehicle’s cruising range when the service will be triggered, as well as a specific location where the vehicle is parked during specific periods. Our one-click charging service will be automatically triggered when the vehicle is idle and parked at the specified location during the specified period. Users are able to monitor their vehicle charging status in real time using our mobile application. We aim to provide users with the fastest charging experience, optimizing convenience to users by identifying the most appropriate charging solution based on the user’s and travel habits through cloud-based smart scheduling.</w:t>
      </w:r>
    </w:p>
    <w:p>
      <w:pPr>
        <w:spacing w:after="0" w:line="16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offer our users our energy package, which provides them with access to our Power Express services and charging solutions, including public charging, access to our Power Mobile charging trucks, and battery swapping for a fixed monthly fee, which is initially set at RMB980 per month if paid monthly, or RMB10,800 annually, for up to 15 charges per month. We currently anticipate that our Energy Package and Power Express services will primarily be utilized by users without home chargers installed. However, users who do not purchase our energy package are able to access our Power Express services and charging solutions on a pay-per-use basis, and the initial price for such services is set at RMB180 per charge.</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Access to Public Charging</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users have access to a network of public chargers, which as of December 31, 2017 consisted of over 214,000 publicly accessible charging piles, 59.6% of which are superchargers. These chargers have been installed by both public and private sectors, including state-owned electricity companies and automotive OEMs. Data from over 62,000 public chargers as of August 28, 2018, installed by the third parties, including the China Southern Grid, is synchronized to our cloud so that users can access real time information on the availability and location of these chargers. We plan to increase the number of chargers with data synchronized to our cloud. The Chinese government has also set a target of more than 4.8 million charging piles in 2020. Access to these chargers is included in our energy package or can be provided on a pay-per-use basis. Under normal temperatures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and battery conditions, the battery of the ES8 would be charged from approximately 20% to 90% power (or battery) level in seven to eight hours using a normal charger or in approximately 75 minutes using a supercharger.</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addition, we have entered into a framework agreement with the State Grid Corporation of China with the aim of expanding the network of publicly accessible charging piles through technology and business model innovations in a collaborative way.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Fast Charging Trucks (Power Mobile)</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Through NIO Power Mobile, we provide charging through charging trucks. We plan to use these charging trucks to supplement our charging network. Users are able to book NIO Power Mobile services in advance conveniently through our mobile application. We own fast charging trucks, which have installed our proprietary fast-charging technology.</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NIO Power Mobile enables an ES8 to run approximately 100 kilometers after charging for ten minutes. We currently plan to have approximately 400 to 500 NIO Power Mobile trucks in operation based on user demand by the end of 2018. We plan to initially deploy these trucks in major cities including Beijing, Shanghai, Guangzhou, Shenzhen, Chengdu, Hangzhou, Nanjing and Suzhou, among others. However we may redeploy based on user demand.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Battery Swapping (Power Swap)</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offer our users the ability to arrange for a battery swap for the ES8. Our swap stations are compact stations located in parking lots and other locations. The typical size of a swap station is approximately three parking spaces, or 45 square meters. Swap stations are designed to be fully automated, but for the first and second years of operation we plan to have one staff member at each location to ensure reliability for the initial roll-out. Once a vehicle is parked in the swap station and the driver activates the swap function, battery swapping will take place automatically. Charging of the batteries at swap stations takes place while the batteries are stored at the swap station and their charging status information is sent to our cloud. Our battery swap stations were developed in-house and use chassis replacement technology and apply more than 300 patented technologies to provide precise positioning, rapid disassembly, compact integration, and flexible deployment, allowing battery replacement within minutes.</w:t>
      </w:r>
    </w:p>
    <w:p>
      <w:pPr>
        <w:spacing w:after="0" w:line="16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rolled out our battery swapping stations in Beijing, Shanghai, Guangzhou, Shenzhen, Hefei, Chengdu, Nanjing, Suzhou and Hangzhou by the first half of 2018. We plan to add additional cities during the second half of 2018, significantly increasing our number of battery swapping stations by the end of the year.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Other Value-Added Service Offerings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Through one click using our mobile application, our users can access a full suite of innovative services, as part of our strategy of redefining user experience. In addition to our NIO Power solutions described above, we offer our users our NIO Service, being other value-added services primarily through our service package, which can be ordered conveniently through our mobile application.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 Package</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offer our users a service package, which, at a price initially set at RMB14,800 per year, will provide statutory, third-party liability and vehicle damage insurance through third-party insurers, repair and routine maintenance services, courtesy car during repair and maintenance lasting more than 24 hours, roadside assistance and an enhanced data package, among other services.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Through our service package, we aim to provide users with a “worry free” vehicle ownership experience. Using their mobile application, users are able to arrange for vehicle service with a few clicks. At a user’s request, we pick up the car, arrange for maintenance and repair services, and then return the car to users once the services are done. As long as the maintenance and repair is covered under our service package, no additional fee will be invoiced to the service package subscriber. If the user has a car accident, we will also assist the user in engaging with the insurance company and providing any necessary repairs.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provide users who subscribe to this service package with an enhanced Internet data package with an additional 7GB of data per month. We also have agreements with China Taiping Insurance, pursuant to which we will procure basic mandatory automobile insurance and vehicle damage insurance for our users as part of the service package. Users are also be able to supplement this basic insurance coverage with China Taiping Insurance at an additional cost, which will be paid to the insurance provider. We are currently seeking to enter into arrangements with additional insurance providers.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Battery Payment Arrangement</w:t>
      </w:r>
    </w:p>
    <w:p>
      <w:pPr>
        <w:spacing w:after="0" w:line="117"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We currently provide our users with the option of a battery payment arrangement, where users can make battery payments in installments. This reduces the initial purchase price for our vehicles making the pricing more attractive. For the ES8, there is an RMB100,000 reduction in the purchase price. The battery payment plan initially costs RMB1,280 per month. The monthly installments are payable over 78 months.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Vehicle Financing and License Plate Registration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currently have agreements with three banks, namely, Bank of China, China Industrial Bank and China Merchants Bank, pursuant to which we assist users in procuring financing when they purchase our vehicles. We assist our users in their application for financing, making the buying process easier. Through our arrangements with our partner banks, we believe we are able to assist our users in procuring financing on attractive terms. We also apply for license plate registration on behalf of our users at the time of purchase.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Vehicle Engineering and Design</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have significant in-house vehicle engineering capabilities, which cover all areas of vehicle engineering starting from concept to completion. Our vehicle engineering group consists of (i) four design groups, namely: body and exterior; chassis; interior, heating and cooling; and electrical and electronics; (ii) two integration groups, namely mechanical and electrical, which are together responsible for integrating components and systems into a complete vehicle and work with the design groups; and (iii) two advanced engineering groups, vehicle concepts and system concepts, which focus on future products and longer term innovation. We aim to implement industry best practices throughout the engineering and design process.</w:t>
      </w:r>
    </w:p>
    <w:p>
      <w:pPr>
        <w:spacing w:after="0" w:line="1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strategically located our vehicle engineering teams based on where we believe the right talent is located. As of July 31, 2018, our vehicle engineering group had 730 employees worldwide, with 631 located in Shanghai, 56 in San Jose, 33 in Oxford and 10 in Munich. We have significant engineering capabilities at our Shanghai headquarters, which was selected due to its status as a global automotive hub, providing us with a significant talent pool. Our international offices provide us with deeper capabilities in certain areas. Our San Jose and Oxford teams are focused on advanced development work with our Oxford team also works on complex computer-aided engineering and our Munich team focuses on light-weight material development and vehicle design. Our engineering teams in Munich focus on lightweight and e-powertrain engineering and work on the challenges of energy and resource efficiency and design our vehicles, including interior and exterior.</w:t>
      </w:r>
    </w:p>
    <w:p>
      <w:pPr>
        <w:spacing w:after="0" w:line="17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Our engineering team also emphasizes crash safety. We have run more than 8,400 computer simulations and conducted more than 1,100 physical tests, including three million kilometers of road tests across four continents. Such tests have included performance testing of approximately 140,000 kilometers, durability testing of approximately 1,840,000 kilometers and reliability testing of approximately 2,495,000 kilometers.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believe one of our core technology competencies is our proprietary e-propulsion system. It also has a modular design, allowing future models to incorporate a significant portion of this technology. Our technologies, including battery management system, electric driving system, vehicle control system, autonomous driving</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among others, are cutting-edge and differentiating from our competitors. The ES8 integrates many of these industry-leading technology modules including proprietary e-propulsion system, digital cockpit, enhanced level 2 ADAS System, smart data router, security architecture and cloud data platform to create a comprehensive interactive system for optimal user experience.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Electric Powertrain (E-propulsion System)</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developed our own e-propulsion system. The e-propulsion system consists of primarily of an electric drive system, or EDS, an energy storage system, or ESS, and a vehicle intelligence control system, or VIS.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integrated EDS has a copper rotor induction motor, a motor controller with a unique topology design, and a high-torque gearbox. The combination of high-power and high-torque is expected to provide users with powerful driving force. We possess dual technologies for induction motors and permanent magnet motors. Our first volume manufactured vehicle, ES8 is equipped with integrated EDS, delivering 480 kilowatts of power. We are also developing new EDS in smaller power of 150 kilowatts installed with permanent magnet motors.</w:t>
      </w:r>
    </w:p>
    <w:p>
      <w:pPr>
        <w:spacing w:after="0" w:line="18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lightweight ESS uses high-energy density battery cells and high-strength housing. ES8 is equipped with our proprietary 70-kilowatt-hour liquid cooled battery pack developed and packaged in house, bringing a high energy density of 135wh/kg. Our ESS is high-capacity and has industry-leading thermal management technology and a safety structure design. In addition, our ESS is equipped with state-of-art battery management system, a high-efficiency liquid-cooled design and swapping technology to achieve long-lasting, stable and new energy solutions. In particular, our battery management system provides real-time monitoring of the vehicle insulation status, a comprehensive fault diagnosis mechanism to ensure the safety and reliability of battery pack use. We are able to upgrade the software of our battery management units and cell supervising circuits and switch-boxes through FOTA updates. We conduct extensive testing to ensure safety, performance, durability and reliability. We also possess the module capability of prismatic, pouch and cylindrical cells, with a planned annual production capacity of over seven Gwh.</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advanced VIS includes a vehicle control unit, or VCU, electric vehicle controller and ADAS system. A VCU is an intelligent controller, which can control the torque output according to different driver behavior and control region torque according to best energy recovery. The vehicle control system’s network architecture also takes into account functional safety and network security. The intelligent high- and low-voltage energy management system can monitor and adjust the optimized pure electric cruising range in real time and the adaptive cruise control system, or ACC, automatic parking and other functions can meet the requirements of automatic assisted driving. Our VCUs and ADAS have passed software testing and vehicle calibration and verification, thus bringing a new experience of smart and safe driving.</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Immersive Experiences Powered by Artificial Intelligence</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Our digital cockpit is an AI driven, scalable and flexible architecture that presents the user with an intelligent and immersive interface which provides, we believe, an industry leading integrated user experience. The ES8 uses NVIDIA DRIVE</w:t>
      </w:r>
      <w:r>
        <w:rPr>
          <w:rFonts w:ascii="Arial" w:cs="Arial" w:eastAsia="Arial" w:hAnsi="Arial"/>
          <w:sz w:val="13"/>
          <w:szCs w:val="13"/>
          <w:color w:val="auto"/>
        </w:rPr>
        <w:t>TM</w:t>
      </w:r>
      <w:r>
        <w:rPr>
          <w:rFonts w:ascii="Arial" w:cs="Arial" w:eastAsia="Arial" w:hAnsi="Arial"/>
          <w:sz w:val="16"/>
          <w:szCs w:val="16"/>
          <w:color w:val="auto"/>
        </w:rPr>
        <w:t xml:space="preserve"> for its in-car digital cockpit. It adopts a single highly advanced proprietary controller, supporting a flexible multiple-operating system environment running Android, QNX, and Linux. This in-cabin technology enables a unified user experience across all four interior displays and advanced user interaction through our AI connected assistant, NOMI.</w:t>
      </w:r>
    </w:p>
    <w:p>
      <w:pPr>
        <w:spacing w:after="0" w:line="15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NOMI is designed to be one of the most advanced AI systems in a production vehicle and through NOMI we aim to revolutionize the relationship between users and their vehicles. NOMI continuously learns the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Vehicle Control and Connectivity</w:t>
      </w:r>
    </w:p>
    <w:p>
      <w:pPr>
        <w:spacing w:after="0" w:line="11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Our vehicles are equipped with our proprietary software and hardware, enabling us to control the vehicles’ ECU and BCU modules, including core electric powertrain control software, which allows for an integrated and optimized control over vehicle performance.</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FOTA firmware management technology will allow the operating firmware of ECUs in vehicles to be wirelessly updated and upgraded. The vehicle will be connected to our information cloud at all times, and when there is a firmware or software update available, our cloud will push an update message to the vehicle which triggers an update. Upgrades will be wirelessly downloaded to the vehicle, installed, and launched, including updates for firmware, software, operating systems and applications. FOTA updates will enable us to upgrade the operating firmware down to the individual programmable ECU level across the vehicle’s core systems such as powertrain and ADAS. We expect this technology will allow us to fix bugs and remotely install new features and services after a vehicle has already been delivered to customers. As a result, we expect to be able to reduce the cost and time to market of new feature rollouts.</w:t>
      </w:r>
    </w:p>
    <w:p>
      <w:pPr>
        <w:spacing w:after="0" w:line="189"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proprietary software leverages Linux, QNX and Android systems and control systems such as the central digital cockpit, connected gateway, ADAS and cyber security systems. We believe our highly-integrated design allows us to reduce the development time and cost of new technologies and creates an upgradable and flexible system for our next generation of products. The ES8’s smart data router, or SDR, has, we believe, industry leading connectivity and remote service capabilities with a comprehensive end-to-end security framework. The SDR enables a superior driver experience by tracking vehicle settings, user preferences and offering instant remote vehicle diagnostics with respect to faults, alerts and logs to our service and maintenance team. The SDR’s high speed Ethernet accelerates our autonomous driving development by uploading relevant video and driving metadata. The SDR also offers a completely integrated vehicle security system enabled by a firewall, an intrusion detection system and machine learning for continuous improvement.</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Autonomous Driving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ES8’s ADAS system is built for advanced processing and learning capabilities.</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Our ES8 is equipped with NIO Pilot, a comprehensive enhanced level 2 ADAS system that will update with new features over time through high-speed FOTA updates. The ES8 is the world’s first vehicle to come equipped with the Mobileye’s EyeQ</w:t>
      </w:r>
      <w:r>
        <w:rPr>
          <w:rFonts w:ascii="Arial" w:cs="Arial" w:eastAsia="Arial" w:hAnsi="Arial"/>
          <w:sz w:val="13"/>
          <w:szCs w:val="13"/>
          <w:color w:val="auto"/>
        </w:rPr>
        <w:t>®</w:t>
      </w:r>
      <w:r>
        <w:rPr>
          <w:rFonts w:ascii="Arial" w:cs="Arial" w:eastAsia="Arial" w:hAnsi="Arial"/>
          <w:sz w:val="16"/>
          <w:szCs w:val="16"/>
          <w:color w:val="auto"/>
        </w:rPr>
        <w:t>4 ADAS processor. The NIO Pilot hardware consists of 23 sensors, including a front-facing trifocal camera, four exterior surround cameras, five millimeter-wave radars, 12 ultrasonic sensors, and an interior driver monitor camera. Our multi-sensor ADAS solution has a reaction time that is many times faster than the average human reaction time.</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NIO Pilot also has an built-in algorithm that we expect to source driving data across the entire vehicle fleet of ES8s. This allows us to accelerate the enhancement of autonomous driving solutions, without materially impacting driver safety or vehicle operation, before activating these features for users. Our autonomous and assisted driving algorithm development is accelerated by our smart data management system which flags and uploads unusual events (false positives and negative events as well as corner cases) for in-house analysis. We anticipate that as we increase the scale of business and more of our vehicles are on the road, this functionality is expected to enable us to validate algorithms against millions of miles of empirical data in a short period of time.</w:t>
      </w:r>
    </w:p>
    <w:p>
      <w:pPr>
        <w:spacing w:after="0" w:line="19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plan to roll out our ADAS features through FOTA updates after undergoing a rigorous and thorough testing of the features. NIO Pilot features under development include: (i) active ADAS features, such as automatic emergency breaking and collision warning, park assist, adaptive cruise control including traffic jam pilot and lane keeping assistant, highway autopilot for lateral and longitudinal support in certain conditions, and summon for limited automated parking scenarios (ii) driving support, including automatic high-beam control and lane keeping assistance, intelligent speed, side collision and lane changing assistance; and (iii) alerts and warnings, including lane departure warning, blind spot detection, front and rear cross-traffic alerts, side distance indication, door opening warning, and driver alert.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established autonomous driving research and development centers in Shanghai and San Jose. As of July 31, 2018, we had 215 full-time specialized engineers carrying out smart driving system technology projects such as custom production hardware and sensors, environment awareness, data fusion, route planning, vehicle control, deep learning and car networking, with the aim of developing an intelligent driving system for electric vehicles.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July 2016, our self-driving car completed a start-function test at the National Autonomous Vehicle Testing Center in Shanghai. The test was intended to improve reliability, detection accuracy, and application scenarios through the deployment of a sensor configuration scheme suitable for mass production, multi-sensor data fusion and target detection tracking technology.</w:t>
      </w:r>
    </w:p>
    <w:p>
      <w:pPr>
        <w:spacing w:after="0" w:line="18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October 2016, we obtained an autonomous vehicle testing permit issued by the State of California and became among the first group of businesses to obtain such a permit. In March 2018, we were in the first batch of companies to obtain a Shanghai Intelligent Connected Vehicle Test Permit to test seventeen items including, among others, obstacles identification and response and automatic emergency braking on the testing roads. 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5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December 2016, we established a cross functional team for ADAS system management with core members from project management, autonomous driving development, supply chain, product quality, product planning, manufacturing, logistics and finance. Our ADAS system management team is committed to deploying technology to products tailored for the Chinese market. It collaborates closely with vehicle integration, electric architecture and other engineering teams to ensure successful product rollout. To date, our ADAS and automated driving programs have driven over 3,600 hours (over 72,000 miles) to collect data as well as validate features and functionality and continue to add more miles every week.</w:t>
      </w:r>
    </w:p>
    <w:p>
      <w:pPr>
        <w:spacing w:after="0" w:line="158"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In February 2017, we set a world record by completing the fastest autonomous lap at the Circuit of the Americas Race Track in Austin, Texas. The NIO EP9 drove autonomously without any interventions, recording a time of two minutes 40.33 seconds at a top speed of 160 mph.</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Cloud Data Platform and Integrated Vehicle Security Solution</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cloud data platform stores vehicle, sensor and user data in a single data lake to minimize data duplication and cost. We can easily access fleet level data and analytics for diagnostic purposes and autonomous driving development. The NIO cloud data platform is designed to enable rapid development and deployment of new applications across fleet and users.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While other OEMs must use multiple vendors to build their security solutions, we have one comprehensive end-to-end security framework. Our integrated security framework protects vehicle data from end-of-assembly to end-of-life. All external and critical internal communications are protected by on-the-fly encryption. Our cloud-based developer suite for maintenance and analytics enables us to continue improving our security and stay ahead of future threats.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Worldwide Research and Development Footprint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strategically located our teams in locations where we believe we will have access to the best talent. Our global engineering office is located at our Shanghai, China headquarters. Our vehicle design headquarters is in Munich, Germany and our software and autonomous driving technology is designed and developed at our North American headquarters in San Jose, U.S. Our Formula E headquarters and advanced vehicle concepts team are stationed across two United Kingdom offices in London and Oxford.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Shanghai</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engineering research and development headquarters is in Shanghai, where we had a team of 2,328 research and development personnel as of July 31, 2018. Our team in Shanghai coordinates between each of our other research and development teams globally while also focusing on vehicle integration, electrical engineering and integration, body and interior engineering, chassis engineering and engineering quality and support. In Shanghai we have an advanced research and development center, which provides comprehensive testing and research and development services related to electric and smart vehicles, including vehicle integration, electric engineering and integration, battery, motor, and electrical control, power management and charging devices, customer service and spare parts management. More than half of the patents obtained globally by us originated from our team in Shanghai.</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Silicon Valley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San Jose office, located in the heart of Silicon Valley, is our North American headquarters and global advanced technology center. As of July 31, 2018, the San Jose team consisted of 546 employees, 56 of which are focused on vehicle engineering. We also have a smaller studio in San Francisco with 16 employees focused on user experience and interface. Our teams in San Jose and San Francisco focus on innovation in the areas of: autonomous systems, artificial intelligence, electric powertrain technology, digital systems, cloud architecture, digital cockpit security, user experience, user interface and vehicle engineering.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Munich</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Munich office is primarily responsible for our product and brand design. As of July 31, 2018, in Munich we had a team with approximately 176 employees, 148 of which are focused on vehicle engineering, vehicle interior and exterior design, user experience and user interface design, and brand design.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U.K. we have a London office which is our performance product research and development center and our Formula E team headquarters. The office is responsible for our cooperation with the FIA Formula E program and U.K. market operations. Our Centre for Innovation and Enterprise is located at the Begbroke Science Park near Oxford and houses our performance program, advanced engineering group and our Formula-E team technical offices. The Formula-E team’s operational base is at Donington Park. We had 33 employees focused on vehicle engineering in the U.K. as of July 31,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Vehicle Servicing and Warranty Terms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 Service Centers and Service Vans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currently provide servicing primarily through authorized third party service centers, which provide repair, maintenance and bodywork services. We have a network management team, which is responsible for bringing authorized service centers into our network. Our team selects service centers based on the following criteria: (i) capability of repairing the aluminum alloy body of our vehicles, (ii) experience with servicing high-end branded vehicles, as these typically have more complex features requiring more technical training which would also be useful in servicing our vehicles, and (iii) service-related operational capabilities as determined by our field team during on-site inspections. We enter into agreements with the service centers, pursuant to which a service center first becomes a candidate. Following the purchase of certain required equipment by the candidate service center, including diagnostic equipment and tools and training by our staff, we conduct a review and provided that the review is successful, we certify the service center as an authorized center which will be available to our users through our mobile application. As of July 31, 2018, we had 53 authorized service centers across 32 cities, including Beijing, Shanghai, Shenzhen, Chengdu, Hefei, Hangzhou, Wuhan, Nanjing, Suzhou and Guangzhou.</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By July 31, 2018, we have deployed 25 vans in 21 cities which we selected based on user demand. We also plan to increase coverage thereafter based on user demand.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Vehicle Limited Warranty Policy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the initial owner of each ES8, we are providing an extended warranty subject to certain conditions, among others, including that the extended warranty only applies for the original owner of the vehicle and not for any subsequent buyers of the vehicle, that the user must service the vehicle only with us or one of our authorized service centers and that the vehicle must not have experienced any major accident. As required under relevant PRC law, we also provide (i) a bumper to bumper three-year or 120,000-kilometer warranty, (ii) for critical EV components (battery pack, electrical motors, power electrical unit and vehicle control unit) an eight-year or 120,000-kilometer warranty, and (iii) a two-year, 50,000-kilometer warranty covering vehicle repair, replacement and refund. See “Risk Factors—Our warranty reserves may be insufficient to cover future warranty claims which could adversely affect our financial performance”.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User Development and Branding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User Development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aim to engage with users and create an environment conducive for user interaction both online and offline. Our mobile application had over 520,000 registered users as of August 28,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Mobile Application</w:t>
      </w:r>
    </w:p>
    <w:p>
      <w:pPr>
        <w:spacing w:after="0" w:line="11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Our mobile application is designed to be a portal not only for selling cars where users can make reservations for the ES8 and in the future our other vehicles, but also for accessing our other services including those under our energy package and service package.</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layout of products offered on our mobile application is designed to be intuitive and easy to use. Our mobile application allows customers to order an ES8 and easily check the latest status of an order. Users can also use our mobile application to find charging stations or arrange for charging or battery swap services through NIO Power. Users are also able to monitor battery and charging status using our mobile application.</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foster community building our application allows our users to engage with other users through moment sharing and users can shop for our merchandise and earn NIO Credits. Users have shared more than 270,000 photos using our mobile application. We also notify users of our events through our mobile application.</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Our mobile application also has our product information and information on locations of NIO Houses. Customers can also shop in our online shop for items such as NIO apparel, accessories, games and children’s items. Using the friend function, our customers can connect with other NIO customers. Our mobile application also keeps our users updated on our latest announcements and activities.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NIO House</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aim to provide our users with experiences that go beyond the car with our NIO Houses. NIO Houses are intended to function not just as showrooms for our vehicles and services, but also as a living space for our customers and their friends. Potential users can browse our cars and products and go for test drives and interact with our team of user development specialists. If a new user decides to purchase a car, our team walks them through the process and assists the user in completing his or her order through our mobile application.</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November 2017 we opened our first NIO House in Beijing, and as of August 28, 2018 had two in Shanghai, two in Beijing, one in Nanjing, one in Guangzhou, one in Shenzhen and one in Hangzhou. We plan to open at least four more NIO Houses in Xi’an, Hefei, Suzhou and Chengdu, and several pop-up NIO Houses in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first NIO House, which occupies over 32,000 square feet, has two floors and seven main areas and is Beijing’s largest brand experience center. The features and design of each NIO House may vary based on what we believe to be user preferences in the relevant city or area and we may include larger flagship NIO Houses as well as other types such as NIO House “light” in smaller cities and pop-up NIO Houses. Each NIO House features a gallery showcasing our brand and products, and may also feature a lounge for our users to relax and socialize, forums which consist of a theater and which we intend to be a place for gatherings, meetings or presentations, “labs” which are bookable meeting rooms and workspaces, a library, an open kitchen and a kids joy camp. Although we charge (through cash or NIO Credits) small amounts for the use of certain services at NIO Houses or for certain items, we mainly intend to use NIO Houses to support our vehicle sales and user development activities.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Branding</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focus on promoting awareness of our brand generally and in particular as a premium brand with high-quality vehicles and services in China. We aim to engage in cost-effective branding activities taking advantage of social media and to build an online and offline ecosystem of users that will promote awareness of our brand. To a lesser extent, we engage in limited mass-marketing, such as through billboard advertising in airports. Our branding efforts include the following: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NIO Day</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held our first “NIO Day” in December 2017 at the Beijing Wukesong Arena, where we introduced the ES8. We plan to hold NIO Day each year on which we introduce our new vehicles and products to users. Our first NIO Day consisted of a presentation by our CEO, Bin Li, who introduced our ES8, charging solutions and other services. The event had 110 million views and produced a significant increase in our social media followers as well as over 7,000 Chinese media reports. We believe that NIO Day gives us an opportunity to interact with our current and prospective users while providing us with more publicity and brand awareness.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Formula 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have a Formula E team, which is a racing team that competes in the Fédération Internationale de l’Automobile, or FIA, Formula E championship electric racing series, which helps increase brand awareness. We were the title sponsor for the Drivers’ Championship winning team in the inaugural FIA Formula E season in 2015.</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EP9</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development of the EP9 was part of our brand-building efforts. Through its achievements it brings attention to our capabilities and to our brand. The EP9 is an electric two-seat sports car developed by us. The EP9 has four high-performance inboard motors and four individual gearboxes, the EP9 delivers 1-MegaWatt of power, equivalent to 1,360PS. The EP9 accelerates from zero to 200 kph in 7.1 seconds and has a top speed of 313 kph. With an interchangeable battery system, the EP9 is designed to be charged in 45 minutes. The EP9 achieved a new lap record at the Nürburgring Nordschliefe where on October 12, 2016, the EP9 lapped the 20.8 kilometer ‘Green Hell’ in 7 minutes and 5.12 seconds, beating the previous electric vehicle lap record held, marking it out as one of the fastest electric cars in the world. On May 12, 2017, the EP9 lapped the 20.8 kilometer ‘Green Hell’ in 6 minutes and 45.90 seconds, breaking its own record. Additionally, in November 2016, it set a new electric vehicle record at Circuit Paul Ricard in France, recording a time of 1 minute 52.78 seconds, surpassing the previous record of 2 minutes and 40 seconds. We believe these achievements along with the media attention we have received have boosted our reputation and awareness of our brand.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Branding Activities</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also participate in events, including displaying our cars and technology at autoshows, such as Shanghai’s 17</w:t>
      </w:r>
      <w:r>
        <w:rPr>
          <w:rFonts w:ascii="Arial" w:cs="Arial" w:eastAsia="Arial" w:hAnsi="Arial"/>
          <w:sz w:val="15"/>
          <w:szCs w:val="15"/>
          <w:color w:val="auto"/>
        </w:rPr>
        <w:t>th</w:t>
      </w:r>
      <w:r>
        <w:rPr>
          <w:rFonts w:ascii="Arial" w:cs="Arial" w:eastAsia="Arial" w:hAnsi="Arial"/>
          <w:sz w:val="18"/>
          <w:szCs w:val="18"/>
          <w:color w:val="auto"/>
        </w:rPr>
        <w:t xml:space="preserve"> International Automobile Industry Exhibition, where we unveiled the ES8 and showcased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EP9 as well as our vision concept car, the NIO EVE. We also showcased the NIO EVE at the South by Southwest festival in Austin, Texas. We have conducted over 1,000 smaller events since May 2017. We also have NIO Life, which includes an online store where users, using our mobile application, can purchase NIO merchandise, including NIO sweaters, miniature cars, phone cases, tote bags and calendars, among others. Since we launched our online store in December, 2016, over 500,000 pieces of merchandise have been sold or awarded to our users online and offline. We also provide users with NIO Credits to encourage user engagement and for certain positive behavior including a clean safety record for the year. Credits are earned, among other things, through frequent sign-ins to our mobile application, sharing articles from the application to users’ own social media, a welcome pack upon the purchase of a vehicle, and referrals of new vehicle purchasers. Credits can be used both at our online store and at our NIO Houses to purchase merchandise. As of July 31, 2018 approximately 432 million NIO Credits had been used in total.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Chain and Quality Control</w:t>
      </w:r>
    </w:p>
    <w:p>
      <w:pPr>
        <w:spacing w:after="0" w:line="12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We view the manufacturers and suppliers we work with as key partners through our vehicle development process. We aim to leverage our partners’ industry expertise to ensure that each vehicle we produce meets our strict quality standards.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Nanjing Advanced Manufacturing Engineering Center</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Nanjing Advanced Manufacturing Engineering Center, or Nanjing AMTEC, houses our trial production, or pilot line, which is mainly used to test engineering prototypes and is also used by our research and development department to develop and verify new processes, materials and products. We believe that our use of this line advances production time by six months to eight months. All of our new models are first tested at the Nanjing AMTEC. The Nanjing AMTEC pilot line covers the three processes of bodywork, painting and general assembly.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use our Nanjing Advanced Manufacturing Engineering Center to train employees for the JAC-NIO manufacturing base.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with JAC</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entered into an arrangement with Jianghuai Automobile Group Co., Ltd., or JAC, for the manufacture of the ES8 for five years starting from May 2016, which may be renewed as agreed by JAC and us. JAC is a major state-owned automobile manufacturer in China, with a 50 year history of automotive manufacturing and annual sales of nearly 700,000 vehicles including passenger and commercial vehicles. JAC has in-house development, manufacturing, and testing systems for new energy vehicles, and is an established player in China’s new energy vehicle market. In addition, JAC has a joint venture partnership with Volkswagen for the manufacturing of electric cars. We also expect our partnership with JAC will allow us to bring our vehicles to the market at an accelerated pace by taking advantage of JAC’s capacity and through its capital investment and support. JAC has invested more than RMB2.2 billion to the construction of a brand-new world-class factory for the production of the ES8 and potentially other future vehicles with us. This factory has the capability of conducting stamping, welding, painting and assembly, and is equipped with testing tracks, a quality inspection center and a utility power and sewage treatment center. Given its advances in new energy vehicle manufacturing, JAC has contributed to our ability to bring the ES8 to the market more quickly and helps us to meet our production requirements.</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exercise significant control in the manufacturing partnership with JAC to ensure high quality standards. We conduct product development, provide supply chain systems, set production technique standards, and put in place quality management systems. We take a number of steps throughout the entire manufacturing process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ensure that our vehicles are manufactured in accordance with our standards. These steps include: at the procurement stage, we are responsible for procuring all third party components for our vehicles and apply our quality assurance procedures with respect to suppliers; at the manufacturing stage, we have taken several measures, including: (i) the key tooling equipment, including stamping equipment, body connection equipment and inspection tools at the factory is procured and owned by us, (ii) we have trained certain key supervisory personnel at our Nanjing Advanced Manufacturing Engineering Center. We have implemented operational policies and guidelines as well as quality inspection measures, conducting inspections of both parts and completed vehicles.</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Pursuant to our agreement with JAC, we pay JAC on a per-vehicle basis monthly for the first three years, which allows us greater cost flexibility as we ramp up our operations. The factory covers an area of 138 acres. The factory has pressing facilities which include a high-speed, fully automated, five-sequence pressing line. It uses fully automated operation, real-time monitoring and alarm connection parameters to ensure reliable connection quality, while a total body laser detector is also equipped on the line to monitor the dimensional accuracy of the vehicle body. The factory has state-of-art production facilities and techniques, and also applies environmentally friendly techniques and uses renewable energies. Photovoltaic panels on top of the factory are expected to be installed to make use of solar energy and ground-source heat pumps have been used in the assembly area to provide a temperate working environment. We along with JAC have also put together a high-quality workforce, consisting of experienced management and supervisors from us and JAC and thousands of front-line employees selected from JAC, providing what we believe to be sufficient manpower for an annual production capacity of 120,000 vehicles based on running three shifts per day.</w:t>
      </w:r>
    </w:p>
    <w:p>
      <w:pPr>
        <w:spacing w:after="0" w:line="182"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As of July 31, 2018, the factory had approximately 2,056 employees, of which approximately 150 were employed by us and the remainder were employed by JAC. Our employees at the factory take on key management and supervisory roles in production, quality control and training.</w:t>
      </w:r>
    </w:p>
    <w:p>
      <w:pPr>
        <w:spacing w:after="0" w:line="14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estimate that if all our current unfulfilled reservations, for 15,778 ES8s as of August 31, 2018, are ultimately converted into orders, we would fulfill such orders within approximately six months following the date of this prospectus. Our aim is in the future to manufacture vehicles within 21-28 days from the order date.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Powertrain and Battery Pack</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manufacture our powertrain, or e-propulsion system, our battery pack and engine driving system. We established our Advanced Manufacturing Technology Centers, or AMTECs, in Nanjing for pilot production, motors and EDSs, Kunshan for inverters and Changshu for energy storage systems.</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Nanjing AMTEC is located in the Nanjing Economic and Technological Development Zone. Its first phase was completed in August 2016. Its plant and ancillary facilities have a building area of 64,000 square meters and mainly produce motor and electric drive products with a planned capacity to make up to 300,000 motors annually. It is equipped with an intelligent information management system which is able to trace real-time performance of labor, equipment and materials, and technique parameters, quality and final products. Nanjing AMTEC has advanced equipment sourced from reputable international suppliers including ABB, DMG, and TRUMF.</w:t>
      </w:r>
    </w:p>
    <w:p>
      <w:pPr>
        <w:spacing w:after="0" w:line="188"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A second phase of Nanjing AMTEC is under construction, with planned production bases and power centers for PM motors, ESS, EDS and inverters, and additional highly automated lines which are expected to be put into operation by the end of 2018. Meanwhile, Nanjing AMTEC has passed the ISO 16949 audit.</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Changshu we have a joint venture with Zhengli Investment Co., Ltd. for the production of pure electric automobile energy storage systems for the ES8. In Kunshan we have our manufacturing base for inverters.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Future Manufacturing Plant</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own manufacturing facility in Shanghai is currently under construction by certain Shanghai government entities. We expect that this facility will expand our manufacturing capacity for the ET7 and future models, complementing our JAC manufacturing alliance supplying the ES8 and ES6. We expect that this facility will be ready by 2020 and will facilitate our ability to obtain our own EV manufacturing license. To encourage and facilitate our establishment of this factory, we have entered into arrangements with the Shanghai governmental authority and an authorized investment entity pursuant to which such parties have agreed to provide us with certain financing, tax incentives and other support, including constructing the factory.</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Pursuant to such arrangements, we have entered into a framework agreement with relevant authorized investment entity of the Shanghai authority, under which we expect to obtain a leasehold interest in the property on which the facility is located and such lease is expected to have a term of no less than 10 years. The first five years will be rent-free and the following five years will have a discounted rental fee with reference to local market rates, the construction cost of the factory and our contribution to the local economy each as determined by the Shanghai authority. We expect to finalize the terms of the leasehold interest, including any renewal terms and enter into the relevant lease agreement prior to completion of construction of the factory.</w:t>
      </w:r>
    </w:p>
    <w:p>
      <w:pPr>
        <w:spacing w:after="0" w:line="15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expect to make significant capital expenditures in connection with the establishment of our own manufacturing facility. See “Management’s Discussion and Analysis of Results of Operations and Financial Condition—Capital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Suppliers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 “global brand, locally build” strategy where, to the extent practicable, we seek to partner with reputable international brands which have operations in China. The ES8 uses over 1,700 purchased parts which we source from over 160 suppliers. The majority of our supply base is located in China (including a significant portion of our suppliers which are global suppliers with a Chinese footprint), which we believe is beneficial as it enables us to acquire supplies more quickly and reduces risk of delays related to shipping and importing. For the ES6, we intend to use most of the same core suppliers as those for the ES8, but for certain parts we are still in the process of sourcing suppliers. We expect that as our scale increases we will be able to better take advantage of economies of scale with respect to pricing.</w:t>
      </w:r>
    </w:p>
    <w:p>
      <w:pPr>
        <w:spacing w:after="0" w:line="17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developed close relationships with several key suppliers. These include Mobileye B.V., which provides its Mobileye EyeQ</w:t>
      </w:r>
      <w:r>
        <w:rPr>
          <w:rFonts w:ascii="Arial" w:cs="Arial" w:eastAsia="Arial" w:hAnsi="Arial"/>
          <w:sz w:val="13"/>
          <w:szCs w:val="13"/>
          <w:color w:val="auto"/>
        </w:rPr>
        <w:t>®</w:t>
      </w:r>
      <w:r>
        <w:rPr>
          <w:rFonts w:ascii="Arial" w:cs="Arial" w:eastAsia="Arial" w:hAnsi="Arial"/>
          <w:sz w:val="16"/>
          <w:szCs w:val="16"/>
          <w:color w:val="auto"/>
        </w:rPr>
        <w:t>4 ADAS processor used in the ES8, CATL, which provides battery cells used in the battery pack of the ES8, Continental, which provides its Air Suspension system, Bosch, which provides its iBooster (vacuum-independent electromechanical brake booster which is a key component for electromobility and driver assistance systems) and ADAS hardware (sensors and radars) used in the ES8, ThyssenKrupp, for steering systems, Novelis, for aluminum coils used in the aluminum body panel of the ES8. Our electric driving systems and energy storage systems are developed in-house. We believe we have strong relationships with our suppliers, despite our limited operating history, many of our suppliers have been willing to support our business. For example, we believe we are one of the first brands using the Bosch iBooster braking system in China.</w:t>
      </w:r>
    </w:p>
    <w:p>
      <w:pPr>
        <w:spacing w:after="0" w:line="16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obtain systems, components, raw materials, parts, manufacturing equipment and other supplies and services from suppliers which we believe to be reputable and reliable. Similar to other global major automobile manufacturers, we follow our internal process to source suppliers taking into account quality, cost and timing. We have a part quality management team which is responsible for managing and ensuring that supplies meet quality standards. Our quality standards are guided by industry standards, including AIAG (Automotive Industry Action Group) APQP (Advanced Product Quality Planning) and PPAP (Production Part Approval Process) procedures, which were developed by the U.S. auto industry.</w:t>
      </w:r>
    </w:p>
    <w:p>
      <w:pPr>
        <w:spacing w:after="0" w:line="15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method for sourcing suppliers depends on the nature of the supplies needed. For general parts which are widely available, we seek proposals from multiple suppliers and choose based on quality and price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competitiveness, among other factors. For parts requiring special designs, we solicit design proposals and choose largely based on design-related factors. However, in certain cases we have limited choices given our scale, such as for aluminum and battery cell packages, so in such circumstances we typically partner with suppliers that we believe to be well-positioned to meet our needs.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enter into strategic framework agreements with key suppliers. These agreements typically cover the life-cycle of a particular model of vehicle. We use various raw materials in our business including aluminum, steel, carbon fiber, other non-ferrous metals such as copper, as well as cobalt. The prices for these raw materials fluctuate depending on market conditions and global demand for these materials. For certain raw materials, such as aluminum, our pricing is set within pricing bands which shift with respect to market prices.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While we obtain components from multiple sources whenever possible, similar to other automobile manufacturers, many of the components used in our vehicles are purchased by us from a single source. Eventually we plan to implement a multi-source volume purchasing strategy in order to reduce our reliance on sole source suppliers. We believe that will also help us to increase our ability to obtain quality components with better cost competitiveness.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strongly emphasize quality management across all business functions including product development, manufacturing, supplier quality management, procurement, charging solutions, user experience, servicing and logistics. Our quality management groups are responsible for our overall quality strategy, quality systems and processes, quality culture, and general quality management implementation.</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During the product development, many phases of testing vehicles are built to verify our design and production processes. For example, we built more than 250 ES8 testing vehicles in order to conduct a wide range of function and durability tests. The durability test runs for more than an aggregate of three million kilometers.</w:t>
      </w:r>
    </w:p>
    <w:p>
      <w:pPr>
        <w:spacing w:after="0" w:line="181"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color w:val="auto"/>
        </w:rPr>
        <w:t>Our first volume manufactured vehicle, the ES8, is manufactured at a new plant which is operated jointly by JAC and us with quality standards implemented by our team. All lines including stamping, body-in-white, painting, and general assembly are developed in accordance with industry standards with a higher degree of automation. The manufacturing process performance failure mode effect analysis, control plans, and standard operation procedures are developed and audited carefully by us. We apply advanced product quality planning (APQP), which is a framework of procedures and techniques utilized in the global automotive industry, across all phases of product development and supplier quality management. Through our factory automated system, we monitor manufacturing process parameters and parts information for process control and traceability.</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Partnerships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partnered with other strategic partners including Baidu for its iQIYI online video streaming, search engine, and map data and technology; Tencent for its Tencent Cloud, QQ music, and Keen Lab for NOMI text to speech function.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Other Cooperation Arrangements</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entered into arrangements with Guangzhou Automobile Group Co., Ltd, or GAC, and Chongqing Changan Automobile Co Ltd, or Changan in order to take advantage of market opportunities in the entry and mid-range segments of the Chinese EV market, reduce supply chain costs through potential joint procurement and jointly conduct research and development activities. Any vehicles developed and sold under these arrangements will be marketed and sold using GAC’s, Changan’s, or other jointly developed brands.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GAC</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April 2018, (i) we, (ii) an entity associated with our founder Bin Li, Hubei Changjiang Weilai New Energy Industry Development Fund Partnership (Limited Partnership), or NIO Capital, (iii) Guangqi New Energy Automobile Co., Ltd., and (iv) GAC, jointly established a joint venture company, GAC-NIO New Energy Vehicle Technology Co., Ltd., or GAC JV, to mainly engage in electric vehicle and parts development, sales and services. GAC is a Chinese state-owned automaker headquartered in Guangzhou, Guangdong and listed on the Hong Kong Stock Exchange and the Shanghai Stock Exchange. Pursuant to the joint venture agreement entered into on December 28, 2017, we have agreed to invest 22.5% of the registered capital of the joint venture and unless otherwise unanimously approved by the board of directors of GAC JV, no dividend distribution will be made among shareholders prior to a qualified initial public offering of GAC JV. Pursuant to the joint venture agreement, a qualified initial public offering refers to the listing of the GAC JV on any of China’s stock exchanges approved by its board of directors by means of initial public offering, reverse takeover or a merger or acquisition with a similar effect. As of the date of this prospectus, no specific timing has been set for such initial public offering, though it remains a medium to long-term goal. The joint venture agreement is valid for 20 years and can be renewed as agreed by the joint venture parties. The total registered capital of the joint venture is RMB500 million. With respect to governance rights, the parties have agreed that the board of directors will have five directors, with one appointed by each party and the remaining director appointed by all the parties together.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January 2018, we and Changan entered into a joint venture agreement and a supplemental agreement agreeing to set up a joint venture, Changan NIO Renewable Automobile Co., Ltd., with a total registered capital of RMB98 million of which RMB49 million will be contributed by us. Pursuant to the joint venture agreement, it is valid for 20 years and can be renewed as agreed by Changan and us. In July 2018, Changan NIO Renewable Automobile Co., Ltd. was established. We expect to receive distribution of profits, if any, after deducting required reserves, in proportion to the respective actual capital contributions to be made by Changan and us. Pursuant to the joint venture agreement, “required reserves” include statutory reserve funds and surplus reserve funds. Under the Company Law of the PRC, before a company distributes its after-tax profit for the current year, 10% of the profit must be allocated to its statutory reserve funds, and the company is not required to do so once the cumulative amount of the statutory reserve funds reach 50% or more of the company’s registered capital. If the statutory reserve funds of the company are not sufficient to cover its losses in previous years, the company shall use the profit of the current year to cover the losses before accruing the statutory reserve funds. After the company has accrued the statutory reserve funds from its after-tax profit, it may, subject to its shareholders’ or the board’s decision, accrue certain discretionary reserve funds, including surplus reserve funds, from the after-tax profit. Changan is a state-owned Chinese automaker headquartered in Chongqing, China and listed on the Shenzhen Stock Exchange. The joint venture may provide services, such as design or development of vehicle or components, sales and after sale service, sales of auto parts and EV-related technology services. Pursuant to the joint venture agreement, any vehicles produced by the joint venture may use a Changan trademark and the joint venture will enter into a separate trademark license agreement with Changan. With respect to governance rights, we and Changan have agreed that the board of directors will have five directors, with two appointed by each party and the remaining director appointed by us and Changan together.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Delivery of Vehicles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directly sell our vehicles to users, which we believe allows us to provide a more consistent, differentiated and compelling user experience, compared to the traditional franchised distribution model used by our competitors in China. Vehicle purchases are placed through our mobile application, which provides an easy to follow and interactive vehicle shopping experience to our users. This also provides us with real time information on demand for our vehicles, allowing us to plan our production more efficiently and reducing inventory needs. At our NIO Houses, users are able to purchase vehicles using our mobile application, assisted by our sales representatives at the NIO Houses. Users purchasing outside of our NIO Houses typically purchase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through our mobile application and use our hotline for assistance with the purchase.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have set up a vehicle delivery center in Shanghai, and we are constructing delivery centers in Beijing, Guangzhou, Shenzhen, Chendu, Heifei, Hangzhou, Nanjing, Suzhou and Wuhan. Vehicles will be delivered to users at such centers.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Competition in the automotive industry is intense and evolving. We believe the impact of new regulatory requirements for occupant safety and vehicle emissions, technological advances in powertrain and consumer electronic components, and shifting customer needs and expectations are causing the industry to evolve in the direction of electric-based vehicles. We believe the primary competitive factors in our markets are:</w:t>
      </w:r>
    </w:p>
    <w:p>
      <w:pPr>
        <w:spacing w:after="0" w:line="71"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performance quality and 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 and charging options;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user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 and styling;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China automotive market is generally competitive. We have strategically entered into this market in the premium EV segment in which there is limited competition relative to other segments. However, we expect this segment will become more competitive in the future. We also expect that we will compete with international competitors including Tesla. Our vehicles also compete with ICE vehicles in the premium segment.</w:t>
      </w:r>
    </w:p>
    <w:p>
      <w:pPr>
        <w:spacing w:after="0" w:line="166"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believe that we are strategically positioned in China’s premium electric vehicle market, given the quality and performance of our ES8, and its attractive pricing. Currently the ES8 is the only premium electric vehicle manufactured domestically, which gives us price advantages against imported premium brands due to government electric vehicle subsidies and absence of import taxes.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We have significant capabilities in the areas of vehicle engineering, development and design. As a result, we have developed a number of proprietary systems and technologies. As a result, our success depends, at least in part, on our ability to protect our core technology and intellectual property. To accomplish this, we rely on a combination of patents, patent applications, trade secrets, including employee and third party nondisclosure agreements, copyright laws, trademarks, intellectual property licenses and other contractual rights to establish and protect our proprietary rights in our technology. As of July 31, 2018 we had 882 issued patents and 1,989 pending patent applications, 1,135 registered trademarks and 2,097 pending trademark applications in the United States, China, Europe and other jurisdictions. As of July 31, 2018, we also held or otherwise had the legal right to use 37 registered copyrights for software or work of art and 516 registered domain names, including </w:t>
      </w:r>
      <w:r>
        <w:rPr>
          <w:rFonts w:ascii="Arial" w:cs="Arial" w:eastAsia="Arial" w:hAnsi="Arial"/>
          <w:sz w:val="17"/>
          <w:szCs w:val="17"/>
          <w:i w:val="1"/>
          <w:iCs w:val="1"/>
          <w:color w:val="auto"/>
        </w:rPr>
        <w:t>www.nio.io</w:t>
      </w:r>
      <w:r>
        <w:rPr>
          <w:rFonts w:ascii="Arial" w:cs="Arial" w:eastAsia="Arial" w:hAnsi="Arial"/>
          <w:sz w:val="17"/>
          <w:szCs w:val="17"/>
          <w:color w:val="auto"/>
        </w:rPr>
        <w:t>. We intend to continue to file additional patent applications with respect to our technology.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of July 31, 2018, we had 6,993 full-time employees. The following table sets forth the numbers of our employees categorized by function and region as of July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140" w:type="dxa"/>
            <w:vAlign w:val="bottom"/>
            <w:gridSpan w:val="3"/>
          </w:tcPr>
          <w:p>
            <w:pPr>
              <w:ind w:left="2920"/>
              <w:spacing w:after="0"/>
              <w:rPr>
                <w:sz w:val="20"/>
                <w:szCs w:val="20"/>
                <w:color w:val="auto"/>
              </w:rPr>
            </w:pPr>
            <w:r>
              <w:rPr>
                <w:rFonts w:ascii="Arial" w:cs="Arial" w:eastAsia="Arial" w:hAnsi="Arial"/>
                <w:sz w:val="14"/>
                <w:szCs w:val="14"/>
                <w:b w:val="1"/>
                <w:bCs w:val="1"/>
                <w:color w:val="auto"/>
                <w:w w:val="95"/>
              </w:rPr>
              <w:t>As of July 31, 2018</w:t>
            </w: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China:</w:t>
            </w:r>
          </w:p>
        </w:tc>
        <w:tc>
          <w:tcPr>
            <w:tcW w:w="29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User experience (sales and marketing and service)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Northern California:</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Munich:</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United Kingdom:</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General administration</w:t>
            </w:r>
          </w:p>
        </w:tc>
        <w:tc>
          <w:tcPr>
            <w:tcW w:w="29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employees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employees have set up a labor union in China according to PRC Labor Law and PRC Labor Union Law. However, no collective bargaining agreement has been put in place. To date we have not experienced any work stoppages, and we consider our relationship with our employees to be good.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Currently, we own land use rights with respect to a parcel of land in Nanjing of approximate 325,289.51 square meters and the ownership with respect to the plant thereon for a term ending on March 10, 2063, which are used for manufacture of our e-propulsion system, battery pack and engine driving system. We also leased a number of our facilities. The following table sets forth the location, approximate size, primary use and lease term of our major leased facilities: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Approximate Size</w:t>
            </w: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(Building) in</w:t>
            </w: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Square Meters/</w:t>
            </w:r>
          </w:p>
        </w:tc>
        <w:tc>
          <w:tcPr>
            <w:tcW w:w="420" w:type="dxa"/>
            <w:vAlign w:val="bottom"/>
          </w:tcPr>
          <w:p>
            <w:pPr>
              <w:spacing w:after="0"/>
              <w:rPr>
                <w:sz w:val="12"/>
                <w:szCs w:val="12"/>
                <w:color w:val="auto"/>
              </w:rPr>
            </w:pPr>
          </w:p>
        </w:tc>
        <w:tc>
          <w:tcPr>
            <w:tcW w:w="2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47,987</w:t>
            </w:r>
          </w:p>
        </w:tc>
        <w:tc>
          <w:tcPr>
            <w:tcW w:w="42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Global headquarters and office</w:t>
            </w:r>
          </w:p>
        </w:tc>
        <w:tc>
          <w:tcPr>
            <w:tcW w:w="4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2, 2018 – June 19,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gridSpan w:val="2"/>
          </w:tcPr>
          <w:p>
            <w:pPr>
              <w:jc w:val="center"/>
              <w:ind w:left="333"/>
              <w:spacing w:after="0" w:line="201" w:lineRule="exact"/>
              <w:rPr>
                <w:sz w:val="20"/>
                <w:szCs w:val="20"/>
                <w:color w:val="auto"/>
              </w:rPr>
            </w:pPr>
            <w:r>
              <w:rPr>
                <w:rFonts w:ascii="Arial" w:cs="Arial" w:eastAsia="Arial" w:hAnsi="Arial"/>
                <w:sz w:val="18"/>
                <w:szCs w:val="18"/>
                <w:color w:val="auto"/>
                <w:w w:val="88"/>
              </w:rPr>
              <w:t>8,092</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2"/>
              </w:rPr>
              <w:t>User center (sales, marketing, and</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March 14, 2022 – September 30,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customer 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24,566</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Integrated vehicle research and</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April 9, 2021 – June 19,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8"/>
                <w:szCs w:val="18"/>
                <w:color w:val="auto"/>
                <w:w w:val="86"/>
              </w:rPr>
              <w:t>797</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w w:val="99"/>
              </w:rPr>
              <w:t>February 28, 2020 – September 3,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Shenzhen</w:t>
            </w: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13,645</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September 30, 2023 – July 19, 2027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40" w:type="dxa"/>
            <w:vAlign w:val="bottom"/>
            <w:gridSpan w:val="2"/>
          </w:tcPr>
          <w:p>
            <w:pPr>
              <w:jc w:val="center"/>
              <w:ind w:left="333"/>
              <w:spacing w:after="0"/>
              <w:rPr>
                <w:sz w:val="20"/>
                <w:szCs w:val="20"/>
                <w:color w:val="auto"/>
              </w:rPr>
            </w:pPr>
            <w:r>
              <w:rPr>
                <w:rFonts w:ascii="Arial" w:cs="Arial" w:eastAsia="Arial" w:hAnsi="Arial"/>
                <w:sz w:val="18"/>
                <w:szCs w:val="18"/>
                <w:color w:val="auto"/>
                <w:w w:val="88"/>
              </w:rPr>
              <w:t>367.5</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January 31, 2022 – December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Chengdu</w:t>
            </w:r>
          </w:p>
        </w:tc>
        <w:tc>
          <w:tcPr>
            <w:tcW w:w="1540" w:type="dxa"/>
            <w:vAlign w:val="bottom"/>
            <w:gridSpan w:val="2"/>
            <w:shd w:val="clear" w:color="auto" w:fill="CCEEFF"/>
          </w:tcPr>
          <w:p>
            <w:pPr>
              <w:jc w:val="center"/>
              <w:ind w:left="333"/>
              <w:spacing w:after="0" w:line="201" w:lineRule="exact"/>
              <w:rPr>
                <w:sz w:val="20"/>
                <w:szCs w:val="20"/>
                <w:color w:val="auto"/>
              </w:rPr>
            </w:pPr>
            <w:r>
              <w:rPr>
                <w:rFonts w:ascii="Arial" w:cs="Arial" w:eastAsia="Arial" w:hAnsi="Arial"/>
                <w:sz w:val="18"/>
                <w:szCs w:val="18"/>
                <w:color w:val="auto"/>
                <w:w w:val="88"/>
              </w:rPr>
              <w:t>3,982</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December 31, 2020 – March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60" w:type="dxa"/>
            <w:vAlign w:val="bottom"/>
            <w:gridSpan w:val="2"/>
          </w:tcPr>
          <w:p>
            <w:pPr>
              <w:ind w:left="920"/>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4"/>
                <w:szCs w:val="14"/>
                <w:b w:val="1"/>
                <w:bCs w:val="1"/>
                <w:color w:val="auto"/>
                <w:w w:val="91"/>
              </w:rPr>
              <w:t>Approximate Size</w:t>
            </w:r>
          </w:p>
        </w:tc>
        <w:tc>
          <w:tcPr>
            <w:tcW w:w="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(Building) in</w:t>
            </w:r>
          </w:p>
        </w:tc>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Square Meters/</w:t>
            </w:r>
          </w:p>
        </w:tc>
        <w:tc>
          <w:tcPr>
            <w:tcW w:w="420" w:type="dxa"/>
            <w:vAlign w:val="bottom"/>
          </w:tcPr>
          <w:p>
            <w:pPr>
              <w:spacing w:after="0"/>
              <w:rPr>
                <w:sz w:val="12"/>
                <w:szCs w:val="12"/>
                <w:color w:val="auto"/>
              </w:rPr>
            </w:pPr>
          </w:p>
        </w:tc>
        <w:tc>
          <w:tcPr>
            <w:tcW w:w="25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358</w:t>
            </w:r>
          </w:p>
        </w:tc>
        <w:tc>
          <w:tcPr>
            <w:tcW w:w="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Power management</w:t>
            </w:r>
          </w:p>
        </w:tc>
        <w:tc>
          <w:tcPr>
            <w:tcW w:w="4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2020 – June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Hangzhou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498</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8"/>
              </w:rPr>
              <w:t>1,221</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June 30, 2023 – December 31,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492</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November 30, 2021 – October 31,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Nanjing</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163</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5,405</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March 31, 2023 – October 31,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351</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2021 – March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Suzhou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355</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May 31, 2018 – May 31,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8"/>
              </w:rPr>
              <w:t>8,631</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April 30, 2024 – August 31,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219</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February 28, 2022 – July 31,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Beijing</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88"/>
              </w:rPr>
              <w:t>3,170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October 19, 2018 – July 31,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7"/>
              </w:rPr>
              <w:t>18,027</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June 30, 2022 – June 30, 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927</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19, 2019 – March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Hefei</w:t>
            </w:r>
          </w:p>
        </w:tc>
        <w:tc>
          <w:tcPr>
            <w:tcW w:w="1520" w:type="dxa"/>
            <w:vAlign w:val="bottom"/>
            <w:gridSpan w:val="2"/>
          </w:tcPr>
          <w:p>
            <w:pPr>
              <w:jc w:val="center"/>
              <w:ind w:left="291"/>
              <w:spacing w:after="0"/>
              <w:rPr>
                <w:sz w:val="20"/>
                <w:szCs w:val="20"/>
                <w:color w:val="auto"/>
              </w:rPr>
            </w:pPr>
            <w:r>
              <w:rPr>
                <w:rFonts w:ascii="Arial" w:cs="Arial" w:eastAsia="Arial" w:hAnsi="Arial"/>
                <w:sz w:val="18"/>
                <w:szCs w:val="18"/>
                <w:color w:val="auto"/>
                <w:w w:val="89"/>
              </w:rPr>
              <w:t>45</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Kunming</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30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Jinan</w:t>
            </w:r>
          </w:p>
        </w:tc>
        <w:tc>
          <w:tcPr>
            <w:tcW w:w="1520" w:type="dxa"/>
            <w:vAlign w:val="bottom"/>
            <w:gridSpan w:val="2"/>
          </w:tcPr>
          <w:p>
            <w:pPr>
              <w:jc w:val="center"/>
              <w:ind w:left="291"/>
              <w:spacing w:after="0"/>
              <w:rPr>
                <w:sz w:val="20"/>
                <w:szCs w:val="20"/>
                <w:color w:val="auto"/>
              </w:rPr>
            </w:pPr>
            <w:r>
              <w:rPr>
                <w:rFonts w:ascii="Arial" w:cs="Arial" w:eastAsia="Arial" w:hAnsi="Arial"/>
                <w:sz w:val="18"/>
                <w:szCs w:val="18"/>
                <w:color w:val="auto"/>
                <w:w w:val="89"/>
              </w:rPr>
              <w:t>43</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June 14,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Zhuhai</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50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19, 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Guangzhou</w:t>
            </w: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4,674</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429</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August 31, 2018 – October 31,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1,693</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460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December 30, 2021 – December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Wuhan</w:t>
            </w: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7,228</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May 6, 2019 – July 31, 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Xi’an</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863</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September 30,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Chongqing</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167</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May 24,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Ningbo</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286</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May 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Wenzhou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327</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April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Wuxi</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21</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Tianjin</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88"/>
              </w:rPr>
              <w:t>2,049</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User center</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November 14,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 Jose, California</w:t>
            </w: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7"/>
              </w:rPr>
              <w:t>85,017</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North American headquarters and</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global software development</w:t>
            </w:r>
          </w:p>
        </w:tc>
        <w:tc>
          <w:tcPr>
            <w:tcW w:w="4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center</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7"/>
              </w:rPr>
              <w:t>99,424</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8"/>
              </w:rPr>
              <w:t>Sales, marketing light assembly,</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80" w:type="dxa"/>
            <w:vAlign w:val="bottom"/>
            <w:gridSpan w:val="2"/>
          </w:tcPr>
          <w:p>
            <w:pPr>
              <w:ind w:left="940"/>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Approximate Size</w:t>
            </w: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(Building) in</w:t>
            </w: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Square Meters/</w:t>
            </w:r>
          </w:p>
        </w:tc>
        <w:tc>
          <w:tcPr>
            <w:tcW w:w="420" w:type="dxa"/>
            <w:vAlign w:val="bottom"/>
          </w:tcPr>
          <w:p>
            <w:pPr>
              <w:spacing w:after="0"/>
              <w:rPr>
                <w:sz w:val="12"/>
                <w:szCs w:val="12"/>
                <w:color w:val="auto"/>
              </w:rPr>
            </w:pPr>
          </w:p>
        </w:tc>
        <w:tc>
          <w:tcPr>
            <w:tcW w:w="2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San Francisco, California</w:t>
            </w:r>
          </w:p>
        </w:tc>
        <w:tc>
          <w:tcPr>
            <w:tcW w:w="4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4,049</w:t>
            </w:r>
          </w:p>
        </w:tc>
        <w:tc>
          <w:tcPr>
            <w:tcW w:w="42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User experience/user interface</w:t>
            </w:r>
          </w:p>
        </w:tc>
        <w:tc>
          <w:tcPr>
            <w:tcW w:w="4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team</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gridSpan w:val="2"/>
          </w:tcPr>
          <w:p>
            <w:pPr>
              <w:jc w:val="center"/>
              <w:ind w:left="313"/>
              <w:spacing w:after="0" w:line="201" w:lineRule="exact"/>
              <w:rPr>
                <w:sz w:val="20"/>
                <w:szCs w:val="20"/>
                <w:color w:val="auto"/>
              </w:rPr>
            </w:pPr>
            <w:r>
              <w:rPr>
                <w:rFonts w:ascii="Arial" w:cs="Arial" w:eastAsia="Arial" w:hAnsi="Arial"/>
                <w:sz w:val="18"/>
                <w:szCs w:val="18"/>
                <w:color w:val="auto"/>
                <w:w w:val="90"/>
              </w:rPr>
              <w:t>12,250</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User experience/user interface</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September 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team</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Munich, Germany</w:t>
            </w:r>
          </w:p>
        </w:tc>
        <w:tc>
          <w:tcPr>
            <w:tcW w:w="154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88"/>
              </w:rPr>
              <w:t>3,679</w:t>
            </w:r>
          </w:p>
        </w:tc>
        <w:tc>
          <w:tcPr>
            <w:tcW w:w="2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Design headquarters</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2020 – December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Air Street, London (UK)</w:t>
            </w:r>
          </w:p>
        </w:tc>
        <w:tc>
          <w:tcPr>
            <w:tcW w:w="1540" w:type="dxa"/>
            <w:vAlign w:val="bottom"/>
            <w:gridSpan w:val="2"/>
          </w:tcPr>
          <w:p>
            <w:pPr>
              <w:jc w:val="center"/>
              <w:ind w:left="333"/>
              <w:spacing w:after="0" w:line="201" w:lineRule="exact"/>
              <w:rPr>
                <w:sz w:val="20"/>
                <w:szCs w:val="20"/>
                <w:color w:val="auto"/>
              </w:rPr>
            </w:pPr>
            <w:r>
              <w:rPr>
                <w:rFonts w:ascii="Arial" w:cs="Arial" w:eastAsia="Arial" w:hAnsi="Arial"/>
                <w:sz w:val="18"/>
                <w:szCs w:val="18"/>
                <w:color w:val="auto"/>
                <w:w w:val="88"/>
              </w:rPr>
              <w:t>2,960</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Management, finance, legal,</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0"/>
              </w:rPr>
              <w:t>January 2026, break option in January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w w:val="96"/>
              </w:rPr>
              <w:t>sponsorship, UK corporate HQ</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Begbroke Science Park (Oxford, UK –</w:t>
            </w: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10,365</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Formula E / Performance</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August 2019 – August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Rooms 37, 43, 44, 45, 49 and 50)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Programme HQ, engineering</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July 2022, break option in July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function</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Donington Park (UK)</w:t>
            </w:r>
          </w:p>
        </w:tc>
        <w:tc>
          <w:tcPr>
            <w:tcW w:w="154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11,187</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Formula E racing garages</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June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also lease a number of facilities for our NIO House locations, office space, service and logistics centers and small areas for battery swap stations in China.</w:t>
      </w:r>
    </w:p>
    <w:p>
      <w:pPr>
        <w:ind w:left="520" w:hanging="316"/>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Properties in China and Germany are presented in square meters. All others are presented in square feet.</w:t>
      </w:r>
    </w:p>
    <w:p>
      <w:pPr>
        <w:spacing w:after="0" w:line="196"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intend to add new facilities or expand our existing facilities as we add employees and expand our production organization. We believe that suitable additional or alternative space will be available in the future on commercially reasonable terms to accommodate our foreseeable future expansion.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maintain property insurance, machinery breakdown insurance, fire insurance, public liability insurance, commercial general liability insurance, employer’s liability insurance and drivers liability insurance. We do not maintain business interruption insurance or key-man insurance. We believe that our insurance coverage is adequate to cover our key assets, facilities and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From time to time, we may be involved in legal proceedings in the ordinary course of our business. We are currently not a party to any material legal or administrative proceedings.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and Approvals Covering the Manufacturing of Pure Electric Passenger Vehicles</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Under PRC law, as a newly-established pure electric vehicle automaker, we must obtain approvals with respect to our investment in our pure electric passenger vehicle manufacturing project from a competent investment department of the State Council, the NDRC, and must have complete vehicle research and development capabilities and power systems and other technologies, among other requirements. Relevant laws include, among others, the </w:t>
      </w:r>
      <w:r>
        <w:rPr>
          <w:rFonts w:ascii="Arial" w:cs="Arial" w:eastAsia="Arial" w:hAnsi="Arial"/>
          <w:sz w:val="17"/>
          <w:szCs w:val="17"/>
          <w:i w:val="1"/>
          <w:iCs w:val="1"/>
          <w:color w:val="auto"/>
        </w:rPr>
        <w:t>Regulations on</w:t>
      </w:r>
      <w:r>
        <w:rPr>
          <w:rFonts w:ascii="Arial" w:cs="Arial" w:eastAsia="Arial" w:hAnsi="Arial"/>
          <w:sz w:val="17"/>
          <w:szCs w:val="17"/>
          <w:color w:val="auto"/>
        </w:rPr>
        <w:t xml:space="preserve"> the </w:t>
      </w:r>
      <w:r>
        <w:rPr>
          <w:rFonts w:ascii="Arial" w:cs="Arial" w:eastAsia="Arial" w:hAnsi="Arial"/>
          <w:sz w:val="17"/>
          <w:szCs w:val="17"/>
          <w:i w:val="1"/>
          <w:iCs w:val="1"/>
          <w:color w:val="auto"/>
        </w:rPr>
        <w:t>Administration of the Approval and Filing of Enterprise Investment Projects</w:t>
      </w:r>
      <w:r>
        <w:rPr>
          <w:rFonts w:ascii="Arial" w:cs="Arial" w:eastAsia="Arial" w:hAnsi="Arial"/>
          <w:sz w:val="17"/>
          <w:szCs w:val="17"/>
          <w:color w:val="auto"/>
        </w:rPr>
        <w:t xml:space="preserve">, which became effective on February 1, 2017, the </w:t>
      </w:r>
      <w:r>
        <w:rPr>
          <w:rFonts w:ascii="Arial" w:cs="Arial" w:eastAsia="Arial" w:hAnsi="Arial"/>
          <w:sz w:val="17"/>
          <w:szCs w:val="17"/>
          <w:i w:val="1"/>
          <w:iCs w:val="1"/>
          <w:color w:val="auto"/>
        </w:rPr>
        <w:t>Measures on</w:t>
      </w:r>
      <w:r>
        <w:rPr>
          <w:rFonts w:ascii="Arial" w:cs="Arial" w:eastAsia="Arial" w:hAnsi="Arial"/>
          <w:sz w:val="17"/>
          <w:szCs w:val="17"/>
          <w:color w:val="auto"/>
        </w:rPr>
        <w:t xml:space="preserve"> the </w:t>
      </w:r>
      <w:r>
        <w:rPr>
          <w:rFonts w:ascii="Arial" w:cs="Arial" w:eastAsia="Arial" w:hAnsi="Arial"/>
          <w:sz w:val="17"/>
          <w:szCs w:val="17"/>
          <w:i w:val="1"/>
          <w:iCs w:val="1"/>
          <w:color w:val="auto"/>
        </w:rPr>
        <w:t>Administration of the Approval and Filing of Enterprise Investment Projects</w:t>
      </w:r>
      <w:r>
        <w:rPr>
          <w:rFonts w:ascii="Arial" w:cs="Arial" w:eastAsia="Arial" w:hAnsi="Arial"/>
          <w:sz w:val="17"/>
          <w:szCs w:val="17"/>
          <w:color w:val="auto"/>
        </w:rPr>
        <w:t xml:space="preserve">, which came into effect on April 8, 2017, the </w:t>
      </w:r>
      <w:r>
        <w:rPr>
          <w:rFonts w:ascii="Arial" w:cs="Arial" w:eastAsia="Arial" w:hAnsi="Arial"/>
          <w:sz w:val="17"/>
          <w:szCs w:val="17"/>
          <w:i w:val="1"/>
          <w:iCs w:val="1"/>
          <w:color w:val="auto"/>
        </w:rPr>
        <w:t>Circular of the State Council on Promulgating the Catalogue of Investment Projects Subject to the Approval of the Government (2016 Version)</w:t>
      </w:r>
      <w:r>
        <w:rPr>
          <w:rFonts w:ascii="Arial" w:cs="Arial" w:eastAsia="Arial" w:hAnsi="Arial"/>
          <w:sz w:val="17"/>
          <w:szCs w:val="17"/>
          <w:color w:val="auto"/>
        </w:rPr>
        <w:t>,</w:t>
      </w:r>
      <w:r>
        <w:rPr>
          <w:rFonts w:ascii="Arial" w:cs="Arial" w:eastAsia="Arial" w:hAnsi="Arial"/>
          <w:sz w:val="17"/>
          <w:szCs w:val="17"/>
          <w:i w:val="1"/>
          <w:iCs w:val="1"/>
          <w:color w:val="auto"/>
        </w:rPr>
        <w:t xml:space="preserve"> effective from </w:t>
      </w:r>
      <w:r>
        <w:rPr>
          <w:rFonts w:ascii="Arial" w:cs="Arial" w:eastAsia="Arial" w:hAnsi="Arial"/>
          <w:sz w:val="17"/>
          <w:szCs w:val="17"/>
          <w:color w:val="auto"/>
        </w:rPr>
        <w:t>December 12, 2016, and the</w:t>
      </w:r>
      <w:r>
        <w:rPr>
          <w:rFonts w:ascii="Arial" w:cs="Arial" w:eastAsia="Arial" w:hAnsi="Arial"/>
          <w:sz w:val="17"/>
          <w:szCs w:val="17"/>
          <w:i w:val="1"/>
          <w:iCs w:val="1"/>
          <w:color w:val="auto"/>
        </w:rPr>
        <w:t xml:space="preserve"> Regulations on the Administration of Newly Established Pure Electric Passenger Vehicle Enterprises</w:t>
      </w:r>
      <w:r>
        <w:rPr>
          <w:rFonts w:ascii="Arial" w:cs="Arial" w:eastAsia="Arial" w:hAnsi="Arial"/>
          <w:sz w:val="17"/>
          <w:szCs w:val="17"/>
          <w:color w:val="auto"/>
        </w:rPr>
        <w:t>, or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Passenger Vehicle Enterprise Regulations, which became effective on July 10, 2015.</w:t>
      </w:r>
    </w:p>
    <w:p>
      <w:pPr>
        <w:spacing w:after="0" w:line="179"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 xml:space="preserve">In addition, under the New Electric Passenger Vehicle Enterprise Regulations, after we obtain the approvals from the NDRC and complete construction of our pure electric passenger vehicle manufacturing project, we may apply with the Ministry of Industry and Information Technology, or the MIIT, for review on us and our vehicles. Before we and our vehicles (including our current vehicles manufactured in cooperation with JAC and our future in-house manufactured vehicles) can be added to the </w:t>
      </w:r>
      <w:r>
        <w:rPr>
          <w:rFonts w:ascii="Arial" w:cs="Arial" w:eastAsia="Arial" w:hAnsi="Arial"/>
          <w:sz w:val="16"/>
          <w:szCs w:val="16"/>
          <w:i w:val="1"/>
          <w:iCs w:val="1"/>
          <w:color w:val="auto"/>
        </w:rPr>
        <w:t>Announcement of Vehicle Manufacturers and Products</w:t>
      </w:r>
      <w:r>
        <w:rPr>
          <w:rFonts w:ascii="Arial" w:cs="Arial" w:eastAsia="Arial" w:hAnsi="Arial"/>
          <w:sz w:val="16"/>
          <w:szCs w:val="16"/>
          <w:color w:val="auto"/>
        </w:rPr>
        <w:t xml:space="preserve"> issued by the MIIT, or the Manufacturers and Products Announcement, which is required in order for us to become a qualified manufacturer to manufacture vehicles in China and for our vehicles to be approved for manufacture and sale in China, we and our vehicles must meet the applicable requirements set forth in relevant laws and regulations, including, among others, the </w:t>
      </w:r>
      <w:r>
        <w:rPr>
          <w:rFonts w:ascii="Arial" w:cs="Arial" w:eastAsia="Arial" w:hAnsi="Arial"/>
          <w:sz w:val="16"/>
          <w:szCs w:val="16"/>
          <w:i w:val="1"/>
          <w:iCs w:val="1"/>
          <w:color w:val="auto"/>
        </w:rPr>
        <w:t>Administrative Rules on the Admission of New Energy Vehicle Manufacturers and Products</w:t>
      </w:r>
      <w:r>
        <w:rPr>
          <w:rFonts w:ascii="Arial" w:cs="Arial" w:eastAsia="Arial" w:hAnsi="Arial"/>
          <w:sz w:val="16"/>
          <w:szCs w:val="16"/>
          <w:color w:val="auto"/>
        </w:rPr>
        <w:t xml:space="preserve">, or the MIIT Admission Rules, which became effective on July 1, 2017, and the </w:t>
      </w:r>
      <w:r>
        <w:rPr>
          <w:rFonts w:ascii="Arial" w:cs="Arial" w:eastAsia="Arial" w:hAnsi="Arial"/>
          <w:sz w:val="16"/>
          <w:szCs w:val="16"/>
          <w:i w:val="1"/>
          <w:iCs w:val="1"/>
          <w:color w:val="auto"/>
        </w:rPr>
        <w:t>Administrative Rules on the Admission of Passenger Vehicles Manufacturer and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became effective on January 1, 2012, and pass the review by the MIIT. Enterprises such as our company must establish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consistency management systems in order to ensure that vehicles manufactured conform to the approved vehicle requirements set forth in the Manufacturers and Products Announcement. Pure electric passenger vehicles entered into the Manufacturers and Products Announcement are required to undergo regular inspection every three years by MIIT so that MIIT may determine whether the vehicles remain qualified to stay in the Manufacturers and Products Announcement. Additionally, the MIIT conducts random inspections in order to assess the satisfaction of the conditions of entry to the Manufacturers and Products Announcement by a newly established pure electric vehicle manufacturer. Failure to maintain such conditions of entry, or the bankruptcy of the manufacturer, may result in the revocation, deregistration or suspension of the Manufacturers and Products Announcement with respect to such manufacturer and its approved vehicles.</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According to the MIIT Admission Rules, to enter into the Manufacturers and Products Announcement, we must meet certain conditions, including, among others, having completed required formalities with and obtained approvals from the NDRC on our investment in our own pure electric vehicle manufacturing project, having capabilities in the design, development and manufacture of automotive products, after-sales service and product safety assurance. In addition, pursuant to the MIIT Admission Rules, in order for our vehicles to enter into the Manufacturers and Products Announcement, our vehicles must satisfy certain conditions, including, among others, meeting certain standards set out therein, meeting other safety and technical requirements specified by the MIIT and passing inspections conducted by a state-recognized testing institution. Once such conditions for manufacturer and vehicles are met and the application has been approved by the MIIT, the manufacturer becomes a qualified manufacturer and its vehicles are published in the Manufacturers and Products Announcement by the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MIIT. Where any new energy vehicle manufacturer manufactures or sells any model of new energy vehicle without the prior approval of the competent authorities including being published in the Manufacturers and Products Announcement by the MIIT, it may be subject to penalties, including fines, forfeiture of any illegally manufactured and sold vehicles and spare parts and revocation of its business licenses.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Compulsory Product Certification</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Administrative Regulations on Compulsory Product Certification</w:t>
      </w:r>
      <w:r>
        <w:rPr>
          <w:rFonts w:ascii="Arial" w:cs="Arial" w:eastAsia="Arial" w:hAnsi="Arial"/>
          <w:sz w:val="17"/>
          <w:szCs w:val="17"/>
          <w:color w:val="auto"/>
        </w:rPr>
        <w:t xml:space="preserve"> which was promulgated by the General Administration of Quality Supervision, Inspection and Quarantine, or the QSIQ, on July 3, 2009 and became effective on September 1, 2009 and the </w:t>
      </w:r>
      <w:r>
        <w:rPr>
          <w:rFonts w:ascii="Arial" w:cs="Arial" w:eastAsia="Arial" w:hAnsi="Arial"/>
          <w:sz w:val="17"/>
          <w:szCs w:val="17"/>
          <w:i w:val="1"/>
          <w:iCs w:val="1"/>
          <w:color w:val="auto"/>
        </w:rPr>
        <w:t>List of the First Batch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Products Subject to Compulsory Product Certification </w:t>
      </w:r>
      <w:r>
        <w:rPr>
          <w:rFonts w:ascii="Arial" w:cs="Arial" w:eastAsia="Arial" w:hAnsi="Arial"/>
          <w:sz w:val="17"/>
          <w:szCs w:val="17"/>
          <w:color w:val="auto"/>
        </w:rPr>
        <w:t>which was promulgated by the QSIQ in association with the State Certification and Accreditation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Committee on December 3, 2001 and became effective on May 1, 2002, the QSIQ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Automobile Investment Projects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On June 4, 2017, the NDRC and the MIIT issued the Guiding </w:t>
      </w:r>
      <w:r>
        <w:rPr>
          <w:rFonts w:ascii="Arial" w:cs="Arial" w:eastAsia="Arial" w:hAnsi="Arial"/>
          <w:sz w:val="17"/>
          <w:szCs w:val="17"/>
          <w:i w:val="1"/>
          <w:iCs w:val="1"/>
          <w:color w:val="auto"/>
        </w:rPr>
        <w:t>Opinions on Improving the Management of Automobile Investment Projects</w:t>
      </w:r>
      <w:r>
        <w:rPr>
          <w:rFonts w:ascii="Arial" w:cs="Arial" w:eastAsia="Arial" w:hAnsi="Arial"/>
          <w:sz w:val="17"/>
          <w:szCs w:val="17"/>
          <w:color w:val="auto"/>
        </w:rPr>
        <w:t xml:space="preserve"> which became effective on the same day. Pursuant to such guiding opinions, when applying for pure electric passenger vehicle enterprise investment projects (including existing commercial vehicle enterprises applying for the manufacturing of pure electric passenger vehicles), applicants must comply with the requirements specified in the New Electric Passenger Vehicle Enterprise Regulations.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Electric Vehicle Charging Infrastructure</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Guidance Opinions of the General Office of the State Council on Accelerating the Promotion and Application of the New Energy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Vehicles </w:t>
      </w:r>
      <w:r>
        <w:rPr>
          <w:rFonts w:ascii="Arial" w:cs="Arial" w:eastAsia="Arial" w:hAnsi="Arial"/>
          <w:sz w:val="18"/>
          <w:szCs w:val="18"/>
          <w:color w:val="auto"/>
        </w:rPr>
        <w:t>(effective on July 14, 2014), the</w:t>
      </w:r>
      <w:r>
        <w:rPr>
          <w:rFonts w:ascii="Arial" w:cs="Arial" w:eastAsia="Arial" w:hAnsi="Arial"/>
          <w:sz w:val="18"/>
          <w:szCs w:val="18"/>
          <w:i w:val="1"/>
          <w:iCs w:val="1"/>
          <w:color w:val="auto"/>
        </w:rPr>
        <w:t xml:space="preserve"> Guidance Opinions of the General Office of the State Council on Accelerating the Development of Charging Infrastructures of the Electric Vehicle </w:t>
      </w:r>
      <w:r>
        <w:rPr>
          <w:rFonts w:ascii="Arial" w:cs="Arial" w:eastAsia="Arial" w:hAnsi="Arial"/>
          <w:sz w:val="18"/>
          <w:szCs w:val="18"/>
          <w:color w:val="auto"/>
        </w:rPr>
        <w:t>(effective on September 29, 2015) and</w:t>
      </w:r>
      <w:r>
        <w:rPr>
          <w:rFonts w:ascii="Arial" w:cs="Arial" w:eastAsia="Arial" w:hAnsi="Arial"/>
          <w:sz w:val="18"/>
          <w:szCs w:val="18"/>
          <w:i w:val="1"/>
          <w:iCs w:val="1"/>
          <w:color w:val="auto"/>
        </w:rPr>
        <w:t xml:space="preserve"> the Guidance on the Development of Electric Vehicle Charging Infrastructure (2015-2020) </w:t>
      </w:r>
      <w:r>
        <w:rPr>
          <w:rFonts w:ascii="Arial" w:cs="Arial" w:eastAsia="Arial" w:hAnsi="Arial"/>
          <w:sz w:val="18"/>
          <w:szCs w:val="18"/>
          <w:color w:val="auto"/>
        </w:rPr>
        <w:t>(effective on October 9, 2015), the PRC government encourages the construction and development of charging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electric vehicles such as charging stations and battery swap stations, and only centralized charging and battery replacement power stations are required to obtain approvals for construction, permits from the relevant authorities. The </w:t>
      </w:r>
      <w:r>
        <w:rPr>
          <w:rFonts w:ascii="Arial" w:cs="Arial" w:eastAsia="Arial" w:hAnsi="Arial"/>
          <w:sz w:val="18"/>
          <w:szCs w:val="18"/>
          <w:i w:val="1"/>
          <w:iCs w:val="1"/>
          <w:color w:val="auto"/>
        </w:rPr>
        <w:t>Circular on Accelerating the Development of Electrical Vehicle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Charging Infrastructures in Residential Areas </w:t>
      </w:r>
      <w:r>
        <w:rPr>
          <w:rFonts w:ascii="Arial" w:cs="Arial" w:eastAsia="Arial" w:hAnsi="Arial"/>
          <w:sz w:val="18"/>
          <w:szCs w:val="18"/>
          <w:color w:val="auto"/>
        </w:rPr>
        <w:t>promulgated on July 25, 2016 further provides that the operators of electrical vehicle charging and battery</w:t>
      </w:r>
      <w:r>
        <w:rPr>
          <w:rFonts w:ascii="Arial" w:cs="Arial" w:eastAsia="Arial" w:hAnsi="Arial"/>
          <w:sz w:val="18"/>
          <w:szCs w:val="18"/>
          <w:i w:val="1"/>
          <w:iCs w:val="1"/>
          <w:color w:val="auto"/>
        </w:rPr>
        <w:t xml:space="preserve"> </w:t>
      </w:r>
      <w:r>
        <w:rPr>
          <w:rFonts w:ascii="Arial" w:cs="Arial" w:eastAsia="Arial" w:hAnsi="Arial"/>
          <w:sz w:val="18"/>
          <w:szCs w:val="18"/>
          <w:color w:val="auto"/>
        </w:rPr>
        <w:t>swap infrastructure are required to be covered under liability insurance policies to protect the purchasers of electric vehicles, covering the safety of electric vehicle charging infrastructure.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Automobile Sales</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i w:val="1"/>
          <w:iCs w:val="1"/>
          <w:color w:val="auto"/>
        </w:rPr>
        <w:t>the Administrative Measures on Automobile Sales</w:t>
      </w:r>
      <w:r>
        <w:rPr>
          <w:rFonts w:ascii="Arial" w:cs="Arial" w:eastAsia="Arial" w:hAnsi="Arial"/>
          <w:sz w:val="16"/>
          <w:szCs w:val="16"/>
          <w:color w:val="auto"/>
        </w:rPr>
        <w:t xml:space="preserve"> promulgated by the Ministry of Commerce, or the MOFCOM on April 5, 2017, which became effective on July 1, 2017, automobile suppliers and dealers are required to file with relevant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the Recall of Defective Automobiles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 xml:space="preserve">On October 22, 2012, the State Council promulgated the </w:t>
      </w:r>
      <w:r>
        <w:rPr>
          <w:rFonts w:ascii="Arial" w:cs="Arial" w:eastAsia="Arial" w:hAnsi="Arial"/>
          <w:sz w:val="18"/>
          <w:szCs w:val="18"/>
          <w:i w:val="1"/>
          <w:iCs w:val="1"/>
          <w:color w:val="auto"/>
        </w:rPr>
        <w:t>Administrative Provisions on Defective Automotive Product Recalls</w:t>
      </w:r>
      <w:r>
        <w:rPr>
          <w:rFonts w:ascii="Arial" w:cs="Arial" w:eastAsia="Arial" w:hAnsi="Arial"/>
          <w:sz w:val="18"/>
          <w:szCs w:val="18"/>
          <w:color w:val="auto"/>
        </w:rPr>
        <w:t>, which became effective on January 1, 2013. The product quality supervision department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relevant regulations will be subject to penalties, including fines, forfeiture of any income earned in violation of law and revocation of licenses.</w:t>
      </w:r>
    </w:p>
    <w:p>
      <w:pPr>
        <w:spacing w:after="0" w:line="182"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Implementation Rules on the Administrative Provisions on Defective Automotive Product Recalls</w:t>
      </w:r>
      <w:r>
        <w:rPr>
          <w:rFonts w:ascii="Arial" w:cs="Arial" w:eastAsia="Arial" w:hAnsi="Arial"/>
          <w:sz w:val="18"/>
          <w:szCs w:val="18"/>
          <w:color w:val="auto"/>
        </w:rPr>
        <w:t xml:space="preserve"> which was promulgated by the QSIQ on November 27, 2015 and became effective on January 1, 2016, if a manufacturer is aware of any potential defect in its automobiles, it must investigate in a timely manner and report the results of such investigation to the QSIQ. Where any defect is found during the investigations, the manufacturer must cease to manufacture, sell, or import the relevant automobile products and recall such products in accordance with applicable laws and regulations.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Product Liability</w:t>
      </w:r>
    </w:p>
    <w:p>
      <w:pPr>
        <w:spacing w:after="0" w:line="12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Pursuant to the Product Quality Law of PRC promulgated on February 22, 1993 and amended on July 8, 2000 and August 27, 2009, it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Favorable Government Policies Relating to New Energy Vehicles in the PRC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Government Subsidies for Purchasers of New Energy Vehicles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 xml:space="preserve">On April 22, 2015, the Ministry of Finance, or the MOF, the Ministry of Science and Technology, or the MOST, the MIIT and the NDRC jointly issued the </w:t>
      </w:r>
      <w:r>
        <w:rPr>
          <w:rFonts w:ascii="Arial" w:cs="Arial" w:eastAsia="Arial" w:hAnsi="Arial"/>
          <w:sz w:val="18"/>
          <w:szCs w:val="18"/>
          <w:i w:val="1"/>
          <w:iCs w:val="1"/>
          <w:color w:val="auto"/>
        </w:rPr>
        <w:t>Circular on the Financial Support Policies on the Promotion and Application of New Energy Vehicles in 2016-2020</w:t>
      </w:r>
      <w:r>
        <w:rPr>
          <w:rFonts w:ascii="Arial" w:cs="Arial" w:eastAsia="Arial" w:hAnsi="Arial"/>
          <w:sz w:val="18"/>
          <w:szCs w:val="18"/>
          <w:color w:val="auto"/>
        </w:rPr>
        <w:t xml:space="preserve">, or the Financial Support Circular, which took effect on the same day. The Financial Support Circular provides that those who purchase new energy vehicles specified in the </w:t>
      </w:r>
      <w:r>
        <w:rPr>
          <w:rFonts w:ascii="Arial" w:cs="Arial" w:eastAsia="Arial" w:hAnsi="Arial"/>
          <w:sz w:val="18"/>
          <w:szCs w:val="18"/>
          <w:i w:val="1"/>
          <w:iCs w:val="1"/>
          <w:color w:val="auto"/>
        </w:rPr>
        <w:t xml:space="preserve">Catalogue of Recommended New Energy Vehicle Models for Promotion and Application </w:t>
      </w:r>
      <w:r>
        <w:rPr>
          <w:rFonts w:ascii="Arial" w:cs="Arial" w:eastAsia="Arial" w:hAnsi="Arial"/>
          <w:sz w:val="18"/>
          <w:szCs w:val="18"/>
          <w:color w:val="auto"/>
        </w:rPr>
        <w:t>by the MIIT may obtain subsidies from the PRC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Pursuant to the Financial Support Circular, a purchaser may purchase a new energy vehicle from a seller by paying the original price minus the subsidy amount, and the seller may obtain the subsidy amount from the government after such new energy vehicle is sold to the purchaser. Our volume manufactured vehicle, the ES8, is eligible for such subsidies. The Financial Support Circular also provided a preliminary phase-out schedule for the provision of subsidies.</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On December 29, 2016, the MOF, the MOST, the MIIT and the NDRC jointly issued the </w:t>
      </w:r>
      <w:r>
        <w:rPr>
          <w:rFonts w:ascii="Arial" w:cs="Arial" w:eastAsia="Arial" w:hAnsi="Arial"/>
          <w:sz w:val="18"/>
          <w:szCs w:val="18"/>
          <w:i w:val="1"/>
          <w:iCs w:val="1"/>
          <w:color w:val="auto"/>
        </w:rPr>
        <w:t>Circular on Adjusting the Subsidy Policy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Promotion and Application of New Energy Vehicles, </w:t>
      </w:r>
      <w:r>
        <w:rPr>
          <w:rFonts w:ascii="Arial" w:cs="Arial" w:eastAsia="Arial" w:hAnsi="Arial"/>
          <w:sz w:val="18"/>
          <w:szCs w:val="18"/>
          <w:color w:val="auto"/>
        </w:rPr>
        <w:t>or the Circular on Adjusting the Subsidy Policy, which took effect on January 1, 2017, to adjust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subsidy standards for purchasers of new energy vehicles. The Circular on Adjusting the Subsidy Policy capped the local subsidies at 50% of the national subsidy amount, and further specified that national subsidies for purchasers purchasing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certain new energy vehicles (except for fuel cell vehicles) from 2019 to 2020 will be reduced by 20% as compared to 2017 subsidy standards.</w:t>
      </w:r>
    </w:p>
    <w:p>
      <w:pPr>
        <w:spacing w:after="0" w:line="23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Adjusting and Improving the Subsidy Policies for the Promotion the Application of New Energy Vehicles</w:t>
      </w:r>
      <w:r>
        <w:rPr>
          <w:rFonts w:ascii="Arial" w:cs="Arial" w:eastAsia="Arial" w:hAnsi="Arial"/>
          <w:sz w:val="18"/>
          <w:szCs w:val="18"/>
          <w:color w:val="auto"/>
        </w:rPr>
        <w:t>, which was jointly promulgated by the MOF, the MOST, the MIIT and the NDRC on February 12, 2018 and became effective on the same day further adjusted and improved the existing national subsidy standards for purchasers of new energy vehicles.</w:t>
      </w:r>
    </w:p>
    <w:p>
      <w:pPr>
        <w:spacing w:after="0" w:line="18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 xml:space="preserve">Following the issuance of the foregoing circulars and other relevant regulations, a number of local governments, including, among others, Shanghai, Beijing, Guangzhou, Shenzhen, Chengdu, Nanjing, Hangzhou and Wuhan, have issued policies on local subsidies for purchasers of new energy vehicles, and have adjusted the local subsidy standards annually according to the national subsidy standard. For example, on January 31, 2018, the Development and Reform Commission of Shanghai together with other six local authorities jointly issued the </w:t>
      </w:r>
      <w:r>
        <w:rPr>
          <w:rFonts w:ascii="Arial" w:cs="Arial" w:eastAsia="Arial" w:hAnsi="Arial"/>
          <w:sz w:val="18"/>
          <w:szCs w:val="18"/>
          <w:i w:val="1"/>
          <w:iCs w:val="1"/>
          <w:color w:val="auto"/>
        </w:rPr>
        <w:t>Implementation Rules on Encouraging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Purchase and Use of New Energy Vehicles in Shanghai</w:t>
      </w:r>
      <w:r>
        <w:rPr>
          <w:rFonts w:ascii="Arial" w:cs="Arial" w:eastAsia="Arial" w:hAnsi="Arial"/>
          <w:sz w:val="18"/>
          <w:szCs w:val="18"/>
          <w:color w:val="auto"/>
        </w:rPr>
        <w:t>, pursuant to which local governments may provide local subsidies equal to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subsidy amount to the purchaser of qualified pure electric passenger vehicles. Therefore, purchasers of the ES8 in the foregoing cities may benefit from national subsidies and are also expected to be able to obtain local subsidies after we complete certain application formalities with respect to the ES8.</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Exemption of Vehicle Purchase Tax</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On December 26, 2017, the MOF, the State Administration of Taxation, or the SAT, the MIIT and the MOST jointly issued the </w:t>
      </w:r>
      <w:r>
        <w:rPr>
          <w:rFonts w:ascii="Arial" w:cs="Arial" w:eastAsia="Arial" w:hAnsi="Arial"/>
          <w:sz w:val="16"/>
          <w:szCs w:val="16"/>
          <w:i w:val="1"/>
          <w:iCs w:val="1"/>
          <w:color w:val="auto"/>
        </w:rPr>
        <w:t>Announcement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Exemption of Vehicle Purchase Tax for New Energy Vehicle</w:t>
      </w:r>
      <w:r>
        <w:rPr>
          <w:rFonts w:ascii="Arial" w:cs="Arial" w:eastAsia="Arial" w:hAnsi="Arial"/>
          <w:sz w:val="16"/>
          <w:szCs w:val="16"/>
          <w:color w:val="auto"/>
        </w:rPr>
        <w:t>, or the Announcement on Exemption of Vehicle Purchase Tax, pursuant to which,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January 1, 2018 to December 31, 2020, the vehicle purchase tax which is applicable for ICE vehicles is not imposed on purchases of qualified new energy vehicles listed in the </w:t>
      </w:r>
      <w:r>
        <w:rPr>
          <w:rFonts w:ascii="Arial" w:cs="Arial" w:eastAsia="Arial" w:hAnsi="Arial"/>
          <w:sz w:val="16"/>
          <w:szCs w:val="16"/>
          <w:i w:val="1"/>
          <w:iCs w:val="1"/>
          <w:color w:val="auto"/>
        </w:rPr>
        <w:t>Catalogue of New Energy Vehicle Models Exempt from Vehicle Purchase Tax</w:t>
      </w:r>
      <w:r>
        <w:rPr>
          <w:rFonts w:ascii="Arial" w:cs="Arial" w:eastAsia="Arial" w:hAnsi="Arial"/>
          <w:sz w:val="16"/>
          <w:szCs w:val="16"/>
          <w:color w:val="auto"/>
        </w:rPr>
        <w:t>, or the Catalogue, issued by the MIIT. Such announcement provides that the policy on exemption of vehicle purchase tax is also applicable to new energy vehicles added to the Catalogue prior to December 31, 2017. The ES8 was added into the Catalogue (15th batch) on December 19, 2017, so purchasers of ES8 may enjoy such tax exemption.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Non-imposition of Vehicle and Vessel Tax</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Preferential Vehicle and Vessel Tax Policies for Energy-saving and New Energy Vehicles and Vessels</w:t>
      </w:r>
      <w:r>
        <w:rPr>
          <w:rFonts w:ascii="Arial" w:cs="Arial" w:eastAsia="Arial" w:hAnsi="Arial"/>
          <w:sz w:val="17"/>
          <w:szCs w:val="17"/>
          <w:color w:val="auto"/>
        </w:rPr>
        <w:t>, which was jointly promulgated by the MOF, the SAT and MIIT on May 7, 2015, clarifies that pure electric passenger vehicles are not subject to vehicle and vessel tax.</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Energy Vehicle License Plate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w:t>
      </w:r>
      <w:r>
        <w:rPr>
          <w:rFonts w:ascii="Arial" w:cs="Arial" w:eastAsia="Arial" w:hAnsi="Arial"/>
          <w:sz w:val="18"/>
          <w:szCs w:val="18"/>
          <w:i w:val="1"/>
          <w:iCs w:val="1"/>
          <w:color w:val="auto"/>
        </w:rPr>
        <w:t>Implementation Measures on Encouraging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New Energy Vehicles in Shanghai</w:t>
      </w:r>
      <w:r>
        <w:rPr>
          <w:rFonts w:ascii="Arial" w:cs="Arial" w:eastAsia="Arial" w:hAnsi="Arial"/>
          <w:sz w:val="18"/>
          <w:szCs w:val="18"/>
          <w:color w:val="auto"/>
        </w:rPr>
        <w:t>, local authorities will issue new automobile license plates to qualified purchasers of new energy vehicles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requiring such qualified purchasers to go through certain license-plate bidding processes and to pay license-plate purchase fees as compared with purchasers of ICE vehicles.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Policies Relating to Incentives for Electric Vehicle Charging Infrastructure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On January 11, 2016, the MOF, the MOST, the MIIT, the NDRC and the National Energy Administration, or the NEA, jointly promulgated the </w:t>
      </w:r>
      <w:r>
        <w:rPr>
          <w:rFonts w:ascii="Arial" w:cs="Arial" w:eastAsia="Arial" w:hAnsi="Arial"/>
          <w:sz w:val="18"/>
          <w:szCs w:val="18"/>
          <w:i w:val="1"/>
          <w:iCs w:val="1"/>
          <w:color w:val="auto"/>
        </w:rPr>
        <w:t>Circular on Incentive Policies on the Charging Infrastructures of New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i w:val="1"/>
          <w:iCs w:val="1"/>
          <w:color w:val="auto"/>
        </w:rPr>
        <w:t>Energy Vehicles and Strengthening the Promotion and Application of New Energy Vehicles during the 13th Five-year Plan Period</w:t>
      </w:r>
      <w:r>
        <w:rPr>
          <w:rFonts w:ascii="Arial" w:cs="Arial" w:eastAsia="Arial" w:hAnsi="Arial"/>
          <w:sz w:val="18"/>
          <w:szCs w:val="18"/>
          <w:color w:val="auto"/>
        </w:rPr>
        <w:t>, which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January 1, 2016. Pursuant to such circular, the central finance department is expected to provide certain local governments with funds and subsidies for the construction and operation of charging facilities and other relevant charging infrastructure.</w:t>
      </w:r>
    </w:p>
    <w:p>
      <w:pPr>
        <w:spacing w:after="0" w:line="18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 xml:space="preserve">Certain local governments have also implemented incentive policies for the construction and operation of charging infrastructure. For example, pursuant to the </w:t>
      </w:r>
      <w:r>
        <w:rPr>
          <w:rFonts w:ascii="Arial" w:cs="Arial" w:eastAsia="Arial" w:hAnsi="Arial"/>
          <w:sz w:val="17"/>
          <w:szCs w:val="17"/>
          <w:i w:val="1"/>
          <w:iCs w:val="1"/>
          <w:color w:val="auto"/>
        </w:rPr>
        <w:t>Supporting Measures on Encouraging the Development of Charging Infrastructures of the Electric Vehicles in Shanghai</w:t>
      </w:r>
      <w:r>
        <w:rPr>
          <w:rFonts w:ascii="Arial" w:cs="Arial" w:eastAsia="Arial" w:hAnsi="Arial"/>
          <w:sz w:val="17"/>
          <w:szCs w:val="17"/>
          <w:color w:val="auto"/>
        </w:rPr>
        <w:t>, builders of certain non-self-use charging infrastructure may be eligible for subsidies for up to 30% of its investment cost, and the operator of certain non-self-use charging infrastructure may be eligible for subsidies calculated based on electricity output.</w:t>
      </w:r>
    </w:p>
    <w:p>
      <w:pPr>
        <w:spacing w:after="0" w:line="17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All the above incentives are expected to facilitate acceleration of development of public charging infrastructure, which will consequently offers more accessible and convenient EV charging solutions to purchasers of electric vehicles.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 in Certain Target Cities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Government incentives to purchase electric vehicles exist at both the national and local level in China. The table below sets forth a summary of preferential policies in eight of our first ten target cities.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40" w:type="dxa"/>
            <w:vAlign w:val="bottom"/>
            <w:vMerge w:val="restart"/>
          </w:tcPr>
          <w:p>
            <w:pPr>
              <w:spacing w:after="0"/>
              <w:rPr>
                <w:sz w:val="20"/>
                <w:szCs w:val="20"/>
                <w:color w:val="auto"/>
              </w:rPr>
            </w:pPr>
            <w:r>
              <w:rPr>
                <w:rFonts w:ascii="Arial" w:cs="Arial" w:eastAsia="Arial" w:hAnsi="Arial"/>
                <w:sz w:val="16"/>
                <w:szCs w:val="16"/>
                <w:color w:val="auto"/>
              </w:rPr>
              <w:t>Restrictions on ICE vehicles</w:t>
            </w:r>
          </w:p>
        </w:tc>
        <w:tc>
          <w:tcPr>
            <w:tcW w:w="200" w:type="dxa"/>
            <w:vAlign w:val="bottom"/>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Beijing</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Shanghai</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Guangzhou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Shenzhen</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Chengdu</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Nanjing</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Wuhan</w:t>
            </w:r>
          </w:p>
        </w:tc>
        <w:tc>
          <w:tcPr>
            <w:tcW w:w="0" w:type="dxa"/>
            <w:vAlign w:val="bottom"/>
          </w:tcPr>
          <w:p>
            <w:pPr>
              <w:spacing w:after="0"/>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20" w:type="dxa"/>
            <w:vAlign w:val="bottom"/>
          </w:tcPr>
          <w:p>
            <w:pPr>
              <w:spacing w:after="0"/>
              <w:rPr>
                <w:sz w:val="15"/>
                <w:szCs w:val="15"/>
                <w:color w:val="auto"/>
              </w:rPr>
            </w:pPr>
          </w:p>
        </w:tc>
        <w:tc>
          <w:tcPr>
            <w:tcW w:w="11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20" w:type="dxa"/>
            <w:vAlign w:val="bottom"/>
          </w:tcPr>
          <w:p>
            <w:pPr>
              <w:spacing w:after="0"/>
              <w:rPr>
                <w:sz w:val="15"/>
                <w:szCs w:val="15"/>
                <w:color w:val="auto"/>
              </w:rPr>
            </w:pPr>
          </w:p>
        </w:tc>
        <w:tc>
          <w:tcPr>
            <w:tcW w:w="9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purchases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Quantity of NEV car plates</w:t>
            </w:r>
          </w:p>
        </w:tc>
        <w:tc>
          <w:tcPr>
            <w:tcW w:w="1200" w:type="dxa"/>
            <w:vAlign w:val="bottom"/>
            <w:tcBorders>
              <w:bottom w:val="single" w:sz="8" w:color="auto"/>
            </w:tcBorders>
            <w:gridSpan w:val="2"/>
          </w:tcPr>
          <w:p>
            <w:pPr>
              <w:ind w:left="200"/>
              <w:spacing w:after="0" w:line="199" w:lineRule="exact"/>
              <w:rPr>
                <w:sz w:val="20"/>
                <w:szCs w:val="20"/>
                <w:color w:val="auto"/>
              </w:rPr>
            </w:pPr>
            <w:r>
              <w:rPr>
                <w:rFonts w:ascii="Arial" w:cs="Arial" w:eastAsia="Arial" w:hAnsi="Arial"/>
                <w:sz w:val="14"/>
                <w:szCs w:val="14"/>
                <w:color w:val="auto"/>
              </w:rPr>
              <w:t>60,000</w:t>
            </w:r>
            <w:r>
              <w:rPr>
                <w:rFonts w:ascii="Arial" w:cs="Arial" w:eastAsia="Arial" w:hAnsi="Arial"/>
                <w:sz w:val="23"/>
                <w:szCs w:val="23"/>
                <w:color w:val="auto"/>
                <w:vertAlign w:val="superscript"/>
              </w:rPr>
              <w:t>(1)</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6"/>
                <w:szCs w:val="16"/>
                <w:color w:val="auto"/>
              </w:rPr>
              <w:t>Subsidies and Preferential</w:t>
            </w: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w w:val="95"/>
              </w:rPr>
              <w:t>All NEVs have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Subsidies and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5"/>
              </w:rPr>
              <w:t>Subsidies and</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Policies to NEVs</w:t>
            </w: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specific pool</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preferential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construction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construction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electricity rate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w w:val="91"/>
              </w:rPr>
              <w:t>of license-plate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electricity rate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cost and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cost of</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7"/>
              </w:rPr>
              <w:t>electricity rate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for NEV</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and have no</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for 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qualified</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9"/>
              </w:rPr>
              <w:t>for public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 at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traffic</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electricity rate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operators of</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self-use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25% of total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7"/>
              </w:rPr>
              <w:t>facilities, peak</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restrictions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facilities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for 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public</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investment 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6"/>
              </w:rPr>
              <w:t>time rates and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facilities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2017 and 2018</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off-peak time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 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rates are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2018, 2019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applied</w:t>
            </w: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and 2020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0"/>
        <w:spacing w:after="0" w:line="329" w:lineRule="auto"/>
        <w:rPr>
          <w:sz w:val="20"/>
          <w:szCs w:val="20"/>
          <w:color w:val="auto"/>
        </w:rPr>
      </w:pPr>
      <w:r>
        <w:rPr>
          <w:rFonts w:ascii="Arial" w:cs="Arial" w:eastAsia="Arial" w:hAnsi="Arial"/>
          <w:sz w:val="15"/>
          <w:szCs w:val="15"/>
          <w:color w:val="auto"/>
        </w:rPr>
        <w:t>Favorable Policies on driving restrictions to NEVs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Beijing</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Shanghai</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Guangzhou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Shenzhen</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Chengdu</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Nanjing</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Wuhan</w:t>
            </w: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6"/>
                <w:szCs w:val="16"/>
                <w:color w:val="auto"/>
                <w:w w:val="92"/>
              </w:rPr>
              <w:t>No restriction 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w w:val="99"/>
              </w:rPr>
              <w:t>Non-local ICE</w:t>
            </w:r>
          </w:p>
        </w:tc>
        <w:tc>
          <w:tcPr>
            <w:tcW w:w="1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w w:val="93"/>
              </w:rPr>
              <w:t>No restrictions</w:t>
            </w:r>
          </w:p>
        </w:tc>
        <w:tc>
          <w:tcPr>
            <w:tcW w:w="1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No restriction</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on BEVs.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NEVs. Non-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on NEVs.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trucks are not</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7"/>
              </w:rPr>
              <w:t>on NEVs. ICE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on NEVs.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on NEVs.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on NEVs. ICE</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ICE vehicles,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Non-local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allowed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w w:val="97"/>
              </w:rPr>
              <w:t>Non-local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PHEVs and</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6"/>
              </w:rPr>
              <w:t>vehicles are not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enter the city</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not permitted</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light vehicles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restricted by</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restricted on</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HEVs are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7"/>
              </w:rPr>
              <w:t>allowed to pass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not permitted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7am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9"/>
              </w:rPr>
              <w:t>to drive in the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are not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4"/>
              </w:rPr>
              <w:t>the last digit of</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designated</w:t>
            </w:r>
          </w:p>
        </w:tc>
      </w:tr>
      <w:tr>
        <w:trPr>
          <w:trHeight w:val="199"/>
        </w:trPr>
        <w:tc>
          <w:tcPr>
            <w:tcW w:w="1000" w:type="dxa"/>
            <w:vAlign w:val="bottom"/>
            <w:gridSpan w:val="2"/>
          </w:tcPr>
          <w:p>
            <w:pPr>
              <w:spacing w:after="0"/>
              <w:rPr>
                <w:sz w:val="20"/>
                <w:szCs w:val="20"/>
                <w:color w:val="auto"/>
              </w:rPr>
            </w:pPr>
            <w:r>
              <w:rPr>
                <w:rFonts w:ascii="Arial" w:cs="Arial" w:eastAsia="Arial" w:hAnsi="Arial"/>
                <w:sz w:val="16"/>
                <w:szCs w:val="16"/>
                <w:color w:val="auto"/>
              </w:rPr>
              <w:t>restricted by</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through main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to drive in the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10am and</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city center</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allowed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the car plate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bridges and</w:t>
            </w:r>
          </w:p>
        </w:tc>
      </w:tr>
      <w:tr>
        <w:trPr>
          <w:trHeight w:val="206"/>
        </w:trPr>
        <w:tc>
          <w:tcPr>
            <w:tcW w:w="1000" w:type="dxa"/>
            <w:vAlign w:val="bottom"/>
            <w:gridSpan w:val="2"/>
          </w:tcPr>
          <w:p>
            <w:pPr>
              <w:spacing w:after="0"/>
              <w:rPr>
                <w:sz w:val="20"/>
                <w:szCs w:val="20"/>
                <w:color w:val="auto"/>
              </w:rPr>
            </w:pPr>
            <w:r>
              <w:rPr>
                <w:rFonts w:ascii="Arial" w:cs="Arial" w:eastAsia="Arial" w:hAnsi="Arial"/>
                <w:sz w:val="16"/>
                <w:szCs w:val="16"/>
                <w:color w:val="auto"/>
                <w:w w:val="94"/>
              </w:rPr>
              <w:t>the last digit of</w:t>
            </w:r>
          </w:p>
        </w:tc>
        <w:tc>
          <w:tcPr>
            <w:tcW w:w="1220" w:type="dxa"/>
            <w:vAlign w:val="bottom"/>
            <w:gridSpan w:val="2"/>
          </w:tcPr>
          <w:p>
            <w:pPr>
              <w:ind w:left="120"/>
              <w:spacing w:after="0" w:line="205" w:lineRule="exact"/>
              <w:rPr>
                <w:sz w:val="20"/>
                <w:szCs w:val="20"/>
                <w:color w:val="auto"/>
              </w:rPr>
            </w:pPr>
            <w:r>
              <w:rPr>
                <w:rFonts w:ascii="Arial" w:cs="Arial" w:eastAsia="Arial" w:hAnsi="Arial"/>
                <w:sz w:val="14"/>
                <w:szCs w:val="14"/>
                <w:color w:val="auto"/>
              </w:rPr>
              <w:t>viaducts</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from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city center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3pm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from 7:30am</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pass through</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7am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tunnels from</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w w:val="88"/>
              </w:rPr>
              <w:t>the car plate on</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7am to 10am,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over four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8pm 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to 8pm on</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the tunnel of</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9am and from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7am to 10pm</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workdays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2"/>
              </w:rPr>
              <w:t>and from 3pm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consecutive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workdays. No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workdays by</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w w:val="95"/>
              </w:rPr>
              <w:t>Yangtze River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4:30pm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everyday by</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8pm 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days, and shall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restriction 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3"/>
              </w:rPr>
              <w:t>the last digit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6:30pm 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odd / even</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workdays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wait four 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5"/>
              </w:rPr>
              <w:t>non-local NEV</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the car plate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workdays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number of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before entering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trucks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car license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8"/>
              </w:rPr>
              <w:t>the city center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plate</w:t>
            </w: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again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2">
            <w:col w:w="2120" w:space="320"/>
            <w:col w:w="880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92"/>
        </w:trPr>
        <w:tc>
          <w:tcPr>
            <w:tcW w:w="1820" w:type="dxa"/>
            <w:vAlign w:val="bottom"/>
            <w:tcBorders>
              <w:top w:val="single" w:sz="8" w:color="auto"/>
            </w:tcBorders>
          </w:tcPr>
          <w:p>
            <w:pPr>
              <w:spacing w:after="0" w:line="192" w:lineRule="exact"/>
              <w:rPr>
                <w:sz w:val="20"/>
                <w:szCs w:val="20"/>
                <w:color w:val="auto"/>
              </w:rPr>
            </w:pPr>
            <w:r>
              <w:rPr>
                <w:rFonts w:ascii="Arial" w:cs="Arial" w:eastAsia="Arial" w:hAnsi="Arial"/>
                <w:sz w:val="14"/>
                <w:szCs w:val="14"/>
                <w:color w:val="auto"/>
              </w:rPr>
              <w:t>Incentives for BEV</w:t>
            </w:r>
            <w:r>
              <w:rPr>
                <w:rFonts w:ascii="Arial" w:cs="Arial" w:eastAsia="Arial" w:hAnsi="Arial"/>
                <w:sz w:val="22"/>
                <w:szCs w:val="22"/>
                <w:color w:val="auto"/>
                <w:vertAlign w:val="superscript"/>
              </w:rPr>
              <w:t>(3)</w:t>
            </w:r>
          </w:p>
        </w:tc>
        <w:tc>
          <w:tcPr>
            <w:tcW w:w="922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Incentives for BEVs include national subsidy and local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150km£R&lt;200km: RMB15,000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200km£R&lt;250km: RMB24,000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250km£R&lt;300km: RMB34,000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300km£R&lt;400km: RMB45,000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R³400km: RMB50,000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Local subsidy£0.5*national subsidy</w:t>
            </w:r>
          </w:p>
        </w:tc>
      </w:tr>
      <w:tr>
        <w:trPr>
          <w:trHeight w:val="206"/>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 R represents the driving range of NEVs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number of NEV licenses issued by the Beijing local government for 2018 is 60,000 while total new car licenses in Beijing decreased from 150,000 in 2017 to 100,000 in 2018.</w:t>
      </w:r>
    </w:p>
    <w:p>
      <w:pPr>
        <w:ind w:left="520" w:hanging="316"/>
        <w:spacing w:after="0" w:line="221"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Including nine viaducts, two bridges and one tunnel.</w:t>
      </w:r>
    </w:p>
    <w:p>
      <w:pPr>
        <w:ind w:left="520" w:hanging="316"/>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incentives took effect on June 12, 2018.</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Parallel Credits Policy on Vehicle Manufacturers and Importers</w:t>
      </w:r>
    </w:p>
    <w:p>
      <w:pPr>
        <w:spacing w:after="0" w:line="117"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 xml:space="preserve">On September 27, 2017, the MIIT, the MOF, the MOFCOM, the General Administration of Customs of PRC and the General Administration of Quality Supervision, Inspection and Quarantine of the PRC jointly promulgated the </w:t>
      </w:r>
      <w:r>
        <w:rPr>
          <w:rFonts w:ascii="Arial" w:cs="Arial" w:eastAsia="Arial" w:hAnsi="Arial"/>
          <w:sz w:val="17"/>
          <w:szCs w:val="17"/>
          <w:i w:val="1"/>
          <w:iCs w:val="1"/>
          <w:color w:val="auto"/>
        </w:rPr>
        <w:t>Measure for the Parallel Administration of the Corporate Average</w:t>
      </w:r>
      <w:r>
        <w:rPr>
          <w:rFonts w:ascii="Arial" w:cs="Arial" w:eastAsia="Arial" w:hAnsi="Arial"/>
          <w:sz w:val="17"/>
          <w:szCs w:val="17"/>
          <w:color w:val="auto"/>
        </w:rPr>
        <w:t xml:space="preserve"> </w:t>
      </w:r>
      <w:r>
        <w:rPr>
          <w:rFonts w:ascii="Arial" w:cs="Arial" w:eastAsia="Arial" w:hAnsi="Arial"/>
          <w:sz w:val="17"/>
          <w:szCs w:val="17"/>
          <w:i w:val="1"/>
          <w:iCs w:val="1"/>
          <w:color w:val="auto"/>
        </w:rPr>
        <w:t>Fuel Consumption and New Energy Vehicle Credits of Passenger Vehicle Enterprises</w:t>
      </w:r>
      <w:r>
        <w:rPr>
          <w:rFonts w:ascii="Arial" w:cs="Arial" w:eastAsia="Arial" w:hAnsi="Arial"/>
          <w:sz w:val="17"/>
          <w:szCs w:val="17"/>
          <w:color w:val="auto"/>
        </w:rPr>
        <w:t>, or the Parallel Credits Measure, which took effect on April 1,</w:t>
      </w:r>
      <w:r>
        <w:rPr>
          <w:rFonts w:ascii="Arial" w:cs="Arial" w:eastAsia="Arial" w:hAnsi="Arial"/>
          <w:sz w:val="17"/>
          <w:szCs w:val="17"/>
          <w:i w:val="1"/>
          <w:iCs w:val="1"/>
          <w:color w:val="auto"/>
        </w:rPr>
        <w:t xml:space="preserve"> </w:t>
      </w:r>
      <w:r>
        <w:rPr>
          <w:rFonts w:ascii="Arial" w:cs="Arial" w:eastAsia="Arial" w:hAnsi="Arial"/>
          <w:sz w:val="17"/>
          <w:szCs w:val="17"/>
          <w:color w:val="auto"/>
        </w:rPr>
        <w:t>2018. Under the Parallel Credits Measure, among other requirements, each of the vehicle manufacturers and vehicle importers above a certain scale is required to maintain its new energy vehicles credits, or the NEV credits, above zero, regardless of whether NEVs or ICE vehicles are manufactured or imported by it, and NEV credits can be earned only by manufacturing or importing NEVs. Therefore, NEV manufacturers will enjoy preferences in obtaining and calculating of NEV credits.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NEV credits equal to the aggregate actual scores of a vehicle manufacturer or a vehicle importer minus its aggregate targeted scores. The targeted scores shall be the product obtained by multiplying annual production/import volume of fuel energy vehicles of a vehicle manufacturer or a vehicle importer by the NEV credit ratio set by MIIT, while the actual scores are to be the product obtained by multiplying the score of each new energy vehicle type by respective new energy vehicle production/import volume. Excess positive NEV credits are tradable and may be sold to other enterprises through a credit management system established by the MIIT. Negative NEV credits can be offset by purchasing excess positive NEV credits from other manufacturers or</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importers. As a manufacturer that will only manufacture new energy vehicles, after we obtain our own manufacturing license, we will be able to earn NEV credits by manufacturing new energy vehicles through our future manufacturing plant on each vehicle manufactured, and may sell our excess positive NEV credits to other vehicle manufacturers or importers.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Value-added Telecommunications Services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2000, the PRC State Council promulgated the </w:t>
      </w:r>
      <w:r>
        <w:rPr>
          <w:rFonts w:ascii="Arial" w:cs="Arial" w:eastAsia="Arial" w:hAnsi="Arial"/>
          <w:sz w:val="17"/>
          <w:szCs w:val="17"/>
          <w:i w:val="1"/>
          <w:iCs w:val="1"/>
          <w:color w:val="auto"/>
        </w:rPr>
        <w:t>Telecommunications Regulations of the PRC</w:t>
      </w:r>
      <w:r>
        <w:rPr>
          <w:rFonts w:ascii="Arial" w:cs="Arial" w:eastAsia="Arial" w:hAnsi="Arial"/>
          <w:sz w:val="17"/>
          <w:szCs w:val="17"/>
          <w:color w:val="auto"/>
        </w:rPr>
        <w:t>, or the Telecommunications Regulations</w:t>
      </w:r>
      <w:r>
        <w:rPr>
          <w:rFonts w:ascii="Arial" w:cs="Arial" w:eastAsia="Arial" w:hAnsi="Arial"/>
          <w:sz w:val="17"/>
          <w:szCs w:val="17"/>
          <w:i w:val="1"/>
          <w:iCs w:val="1"/>
          <w:color w:val="auto"/>
        </w:rPr>
        <w:t>,</w:t>
      </w:r>
      <w:r>
        <w:rPr>
          <w:rFonts w:ascii="Arial" w:cs="Arial" w:eastAsia="Arial" w:hAnsi="Arial"/>
          <w:sz w:val="17"/>
          <w:szCs w:val="17"/>
          <w:color w:val="auto"/>
        </w:rPr>
        <w:t xml:space="preserve"> which was most recently amended in February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Arial" w:cs="Arial" w:eastAsia="Arial" w:hAnsi="Arial"/>
          <w:sz w:val="17"/>
          <w:szCs w:val="17"/>
          <w:i w:val="1"/>
          <w:iCs w:val="1"/>
          <w:color w:val="auto"/>
        </w:rPr>
        <w:t>Classified Catalogue of Telecommunications Services</w:t>
      </w:r>
      <w:r>
        <w:rPr>
          <w:rFonts w:ascii="Arial" w:cs="Arial" w:eastAsia="Arial" w:hAnsi="Arial"/>
          <w:sz w:val="17"/>
          <w:szCs w:val="17"/>
          <w:color w:val="auto"/>
        </w:rPr>
        <w:t>, an attachment to the Telecommunications Regulations, which was most recently updated in December 2015 by MIIT, internet information services, or ICP services, are classified as value-added telecommunications services. Under the Telecommunications Regulations and relevant administrative measures, commercial operators of value-added telecommunications services must first obtain a license for conducting Internet content provision services, or an ICP license, from the MIIT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on Internet Information Services</w:t>
      </w:r>
      <w:r>
        <w:rPr>
          <w:rFonts w:ascii="Arial" w:cs="Arial" w:eastAsia="Arial" w:hAnsi="Arial"/>
          <w:sz w:val="18"/>
          <w:szCs w:val="18"/>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spacing w:after="0" w:line="18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In addition to the regulations and measures above, the provision of commercial internet information services on mobile internet applications are regulated by the </w:t>
      </w:r>
      <w:r>
        <w:rPr>
          <w:rFonts w:ascii="Arial" w:cs="Arial" w:eastAsia="Arial" w:hAnsi="Arial"/>
          <w:sz w:val="18"/>
          <w:szCs w:val="18"/>
          <w:i w:val="1"/>
          <w:iCs w:val="1"/>
          <w:color w:val="auto"/>
        </w:rPr>
        <w:t>Administrative Provisions on Information Services of Mobile Internet Applications</w:t>
      </w:r>
      <w:r>
        <w:rPr>
          <w:rFonts w:ascii="Arial" w:cs="Arial" w:eastAsia="Arial" w:hAnsi="Arial"/>
          <w:sz w:val="18"/>
          <w:szCs w:val="18"/>
          <w:color w:val="auto"/>
        </w:rPr>
        <w:t>, promulgated by the State Internet Information Office in June 2016. Information service providers of mobile internet applications are subject to these provisions, including acquiring relevant qualifications and being responsible for management of information security.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Consumer Rights Protection</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Our business is subject to a variety of consumer protection laws, including the </w:t>
      </w:r>
      <w:r>
        <w:rPr>
          <w:rFonts w:ascii="Arial" w:cs="Arial" w:eastAsia="Arial" w:hAnsi="Arial"/>
          <w:sz w:val="17"/>
          <w:szCs w:val="17"/>
          <w:i w:val="1"/>
          <w:iCs w:val="1"/>
          <w:color w:val="auto"/>
        </w:rPr>
        <w:t>PRC Consumer Rights and Interests Protection Law</w:t>
      </w:r>
      <w:r>
        <w:rPr>
          <w:rFonts w:ascii="Arial" w:cs="Arial" w:eastAsia="Arial" w:hAnsi="Arial"/>
          <w:sz w:val="17"/>
          <w:szCs w:val="17"/>
          <w:color w:val="auto"/>
        </w:rPr>
        <w:t>, as amended and effective as of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Internet Information Security and Privacy Protection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November 2016, the Standing Committee of the National People’s Congress, or the SCNPC, promulgated the </w:t>
      </w:r>
      <w:r>
        <w:rPr>
          <w:rFonts w:ascii="Arial" w:cs="Arial" w:eastAsia="Arial" w:hAnsi="Arial"/>
          <w:sz w:val="18"/>
          <w:szCs w:val="18"/>
          <w:i w:val="1"/>
          <w:iCs w:val="1"/>
          <w:color w:val="auto"/>
        </w:rPr>
        <w:t>Cyber Security Law of the PRC</w:t>
      </w:r>
      <w:r>
        <w:rPr>
          <w:rFonts w:ascii="Arial" w:cs="Arial" w:eastAsia="Arial" w:hAnsi="Arial"/>
          <w:sz w:val="18"/>
          <w:szCs w:val="18"/>
          <w:color w:val="auto"/>
        </w:rPr>
        <w:t>, or the Cyber Security Law, which became effective on June 1, 2017. The Cyber Security Law requires that a network operator, which includes,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website and mobile application and providing certain internet services mainly through our mobile application. The Cyber Security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Law further requires internet information service providers to formulate contingency plans for network security incidents, report to the competent departments immediately upon the occurrence of any incident endangering cyber security and take corresponding remedial measures.</w:t>
      </w:r>
    </w:p>
    <w:p>
      <w:pPr>
        <w:spacing w:after="0" w:line="12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 provider to warnings, fines, confiscation of illegal gains, revocation of licenses, cancellation of filings, shutdown of websites or criminal liabilities.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Land and the Development of Construction Projects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Land Grants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Interim Regulations on Assignment and Transfer of the Rights to the Use of the State-owned Urban Land</w:t>
      </w:r>
      <w:r>
        <w:rPr>
          <w:rFonts w:ascii="Arial" w:cs="Arial" w:eastAsia="Arial" w:hAnsi="Arial"/>
          <w:sz w:val="16"/>
          <w:szCs w:val="16"/>
          <w:color w:val="auto"/>
        </w:rPr>
        <w:t xml:space="preserve">, promulgated by the State Council on May 19, 1990,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Arial" w:cs="Arial" w:eastAsia="Arial" w:hAnsi="Arial"/>
          <w:sz w:val="16"/>
          <w:szCs w:val="16"/>
          <w:i w:val="1"/>
          <w:iCs w:val="1"/>
          <w:color w:val="auto"/>
        </w:rPr>
        <w:t>Interim Regulations on Assignment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Transfer of the Rights to the Use of the State-owned Urban Land and the Law of the PRC on Urban Real Estate Administration</w:t>
      </w:r>
      <w:r>
        <w:rPr>
          <w:rFonts w:ascii="Arial" w:cs="Arial" w:eastAsia="Arial" w:hAnsi="Arial"/>
          <w:sz w:val="16"/>
          <w:szCs w:val="16"/>
          <w:color w:val="auto"/>
        </w:rPr>
        <w:t>, the local land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Planning of a Construction Project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Regulations on Planning Administration regarding Assignment and Transfer of the Rights to Use of the State-Owned Land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Urban Area </w:t>
      </w:r>
      <w:r>
        <w:rPr>
          <w:rFonts w:ascii="Arial" w:cs="Arial" w:eastAsia="Arial" w:hAnsi="Arial"/>
          <w:sz w:val="18"/>
          <w:szCs w:val="18"/>
          <w:color w:val="auto"/>
        </w:rPr>
        <w:t>promulgated by the Ministry of Construction in December 1992 and amended in January 2011, a construction land planning permit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obtained from the municipal planning authority with respect to the planning and use of land. According to the </w:t>
      </w:r>
      <w:r>
        <w:rPr>
          <w:rFonts w:ascii="Arial" w:cs="Arial" w:eastAsia="Arial" w:hAnsi="Arial"/>
          <w:sz w:val="18"/>
          <w:szCs w:val="18"/>
          <w:i w:val="1"/>
          <w:iCs w:val="1"/>
          <w:color w:val="auto"/>
        </w:rPr>
        <w:t>Urban and Rural Planning Law of PRC</w:t>
      </w:r>
      <w:r>
        <w:rPr>
          <w:rFonts w:ascii="Arial" w:cs="Arial" w:eastAsia="Arial" w:hAnsi="Arial"/>
          <w:sz w:val="18"/>
          <w:szCs w:val="18"/>
          <w:color w:val="auto"/>
        </w:rPr>
        <w:t xml:space="preserve"> promulgated by the SCNPC, on October 28, 2007 and amended on April 24, 2015,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9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Arial" w:cs="Arial" w:eastAsia="Arial" w:hAnsi="Arial"/>
          <w:sz w:val="18"/>
          <w:szCs w:val="18"/>
          <w:i w:val="1"/>
          <w:iCs w:val="1"/>
          <w:color w:val="auto"/>
        </w:rPr>
        <w:t xml:space="preserve">Administrative Provisions on Construction Permit of Construction Projects </w:t>
      </w:r>
      <w:r>
        <w:rPr>
          <w:rFonts w:ascii="Arial" w:cs="Arial" w:eastAsia="Arial" w:hAnsi="Arial"/>
          <w:sz w:val="18"/>
          <w:szCs w:val="18"/>
          <w:color w:val="auto"/>
        </w:rPr>
        <w:t>promulgated by the Ministry of Housing and Urban-Rural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the MOHURD on June 25, 2014 and implemented on October 25, 2014.</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for Reporting Details Regarding Acceptance Examination upon Completion of Buildings and Municipal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promulgated by the Ministry of Construction on April 4, 2000 and amended on October 19, 2009 and the</w:t>
      </w:r>
      <w:r>
        <w:rPr>
          <w:rFonts w:ascii="Arial" w:cs="Arial" w:eastAsia="Arial" w:hAnsi="Arial"/>
          <w:sz w:val="18"/>
          <w:szCs w:val="18"/>
          <w:i w:val="1"/>
          <w:iCs w:val="1"/>
          <w:color w:val="auto"/>
        </w:rPr>
        <w:t xml:space="preserve"> Provisions on Acceptance Examination upon Completion of Buildings and Municipal Infrastructure </w:t>
      </w:r>
      <w:r>
        <w:rPr>
          <w:rFonts w:ascii="Arial" w:cs="Arial" w:eastAsia="Arial" w:hAnsi="Arial"/>
          <w:sz w:val="18"/>
          <w:szCs w:val="18"/>
          <w:color w:val="auto"/>
        </w:rPr>
        <w:t>promulgated and implemented by the MOHURD on December 2, 2013,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completion of a construction project, the construction enterprise must submit an application to the competent department in the people’s government at or above county level where the project is located, for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examination upon completion of building and for filing purpose; and to obtain the filing form for acceptance and examination upon completion of construction project.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Environmental Protection and Work Safety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Environmental Protection</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Environmental Protection Law of the PRC</w:t>
      </w:r>
      <w:r>
        <w:rPr>
          <w:rFonts w:ascii="Arial" w:cs="Arial" w:eastAsia="Arial" w:hAnsi="Arial"/>
          <w:sz w:val="16"/>
          <w:szCs w:val="16"/>
          <w:color w:val="auto"/>
        </w:rPr>
        <w:t xml:space="preserve"> promulgated by the SCNPC, on December 26, 1989, amended on April 24, 2014 and effective on January 1, 2015, any entity which discharges or will discharge pollutants during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Environmental protection authorities impose various administrative penalties on persons or enterprises in violation of the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 Law</w:t>
      </w:r>
      <w:r>
        <w:rPr>
          <w:rFonts w:ascii="Arial" w:cs="Arial" w:eastAsia="Arial" w:hAnsi="Arial"/>
          <w:sz w:val="18"/>
          <w:szCs w:val="18"/>
          <w:color w:val="auto"/>
        </w:rPr>
        <w:t>. Such penalties include warnings, fines, orders to rectify within the prescribed period, orders to cease construction, orders to restrict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w:t>
      </w:r>
      <w:r>
        <w:rPr>
          <w:rFonts w:ascii="Arial" w:cs="Arial" w:eastAsia="Arial" w:hAnsi="Arial"/>
          <w:sz w:val="18"/>
          <w:szCs w:val="18"/>
          <w:i w:val="1"/>
          <w:iCs w:val="1"/>
          <w:color w:val="auto"/>
        </w:rPr>
        <w:t>Tort Law of the PRC</w:t>
      </w:r>
      <w:r>
        <w:rPr>
          <w:rFonts w:ascii="Arial" w:cs="Arial" w:eastAsia="Arial" w:hAnsi="Arial"/>
          <w:sz w:val="18"/>
          <w:szCs w:val="18"/>
          <w:color w:val="auto"/>
        </w:rPr>
        <w:t>. In addition, environmental organizations may also bring lawsuits against any entity that discharges pollutants detrimental to the public welfare.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Work Safety</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 xml:space="preserve">Under relevant construction safety laws and regulations, including the </w:t>
      </w:r>
      <w:r>
        <w:rPr>
          <w:rFonts w:ascii="Arial" w:cs="Arial" w:eastAsia="Arial" w:hAnsi="Arial"/>
          <w:sz w:val="16"/>
          <w:szCs w:val="16"/>
          <w:i w:val="1"/>
          <w:iCs w:val="1"/>
          <w:color w:val="auto"/>
        </w:rPr>
        <w:t>Work Safety Law of the PRC</w:t>
      </w:r>
      <w:r>
        <w:rPr>
          <w:rFonts w:ascii="Arial" w:cs="Arial" w:eastAsia="Arial" w:hAnsi="Arial"/>
          <w:sz w:val="16"/>
          <w:szCs w:val="16"/>
          <w:color w:val="auto"/>
        </w:rPr>
        <w:t xml:space="preserve"> which was promulgated by the SCNPC on June 29, 2002, amended on August 27, 2009, August 31, 2014, and effective as of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aforementioned environment protection and work safety requirements.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Fire Control</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Fire Safety Law of the PRC</w:t>
      </w:r>
      <w:r>
        <w:rPr>
          <w:rFonts w:ascii="Arial" w:cs="Arial" w:eastAsia="Arial" w:hAnsi="Arial"/>
          <w:sz w:val="17"/>
          <w:szCs w:val="17"/>
          <w:color w:val="auto"/>
        </w:rPr>
        <w:t xml:space="preserve"> promulgated by the SCNPC on April 29, 1998, amended on October 28, 2008 and which became effective on May 1, 2009 and the </w:t>
      </w:r>
      <w:r>
        <w:rPr>
          <w:rFonts w:ascii="Arial" w:cs="Arial" w:eastAsia="Arial" w:hAnsi="Arial"/>
          <w:sz w:val="17"/>
          <w:szCs w:val="17"/>
          <w:i w:val="1"/>
          <w:iCs w:val="1"/>
          <w:color w:val="auto"/>
        </w:rPr>
        <w:t>Provisions on Supervision and Administration of Fire Protection of Construction Projects</w:t>
      </w:r>
      <w:r>
        <w:rPr>
          <w:rFonts w:ascii="Arial" w:cs="Arial" w:eastAsia="Arial" w:hAnsi="Arial"/>
          <w:sz w:val="17"/>
          <w:szCs w:val="17"/>
          <w:color w:val="auto"/>
        </w:rPr>
        <w:t xml:space="preserve"> promulgated by the Ministry of Public Security of the PRC on April 30, 2009, implemented on May 1, 2009 and later amended on July 17, 2012, which became effective on November 1, 2012, the construction entity of a large-scale crowed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seven business days after obtaining the construction work permit and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Patent Law</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Patent Law of the PRC</w:t>
      </w:r>
      <w:r>
        <w:rPr>
          <w:rFonts w:ascii="Arial" w:cs="Arial" w:eastAsia="Arial" w:hAnsi="Arial"/>
          <w:sz w:val="18"/>
          <w:szCs w:val="18"/>
          <w:color w:val="auto"/>
        </w:rPr>
        <w:t xml:space="preserve"> (Revised in 2008),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Copyright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Copyright Law of the PRC</w:t>
      </w:r>
      <w:r>
        <w:rPr>
          <w:rFonts w:ascii="Arial" w:cs="Arial" w:eastAsia="Arial" w:hAnsi="Arial"/>
          <w:sz w:val="16"/>
          <w:szCs w:val="16"/>
          <w:color w:val="auto"/>
        </w:rPr>
        <w:t>, or the Copyright Law,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apologizing to the copyright owners and compensating the loss of copyright owner. Infringers of copyright may also subject to fines and/or administrative or criminal liabilities in severe situations.</w:t>
      </w:r>
    </w:p>
    <w:p>
      <w:pPr>
        <w:spacing w:after="0" w:line="16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Computer Software Copyright Protection Regulations</w:t>
      </w:r>
      <w:r>
        <w:rPr>
          <w:rFonts w:ascii="Arial" w:cs="Arial" w:eastAsia="Arial" w:hAnsi="Arial"/>
          <w:sz w:val="18"/>
          <w:szCs w:val="18"/>
          <w:color w:val="auto"/>
        </w:rPr>
        <w:t xml:space="preserve">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Trademark Law</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Trademarks are protected by the </w:t>
      </w:r>
      <w:r>
        <w:rPr>
          <w:rFonts w:ascii="Arial" w:cs="Arial" w:eastAsia="Arial" w:hAnsi="Arial"/>
          <w:sz w:val="16"/>
          <w:szCs w:val="16"/>
          <w:i w:val="1"/>
          <w:iCs w:val="1"/>
          <w:color w:val="auto"/>
        </w:rPr>
        <w:t>Trademark Law of the PRC</w:t>
      </w:r>
      <w:r>
        <w:rPr>
          <w:rFonts w:ascii="Arial" w:cs="Arial" w:eastAsia="Arial" w:hAnsi="Arial"/>
          <w:sz w:val="16"/>
          <w:szCs w:val="16"/>
          <w:color w:val="auto"/>
        </w:rPr>
        <w:t xml:space="preserve"> which was adopted on August 23, 1982 and subsequently amended in 1993, 2001 and 2013 respectively as well as by the </w:t>
      </w:r>
      <w:r>
        <w:rPr>
          <w:rFonts w:ascii="Arial" w:cs="Arial" w:eastAsia="Arial" w:hAnsi="Arial"/>
          <w:sz w:val="16"/>
          <w:szCs w:val="16"/>
          <w:i w:val="1"/>
          <w:iCs w:val="1"/>
          <w:color w:val="auto"/>
        </w:rPr>
        <w:t>Implementation Regulations of the PRC Trademark Law</w:t>
      </w:r>
      <w:r>
        <w:rPr>
          <w:rFonts w:ascii="Arial" w:cs="Arial" w:eastAsia="Arial" w:hAnsi="Arial"/>
          <w:sz w:val="16"/>
          <w:szCs w:val="16"/>
          <w:color w:val="auto"/>
        </w:rPr>
        <w:t xml:space="preserve"> adopted by the State Council in 2002 and as most recently amended on April 29, 2014. The Trademark Office under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Domain Names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The MIIT promulgated the </w:t>
      </w:r>
      <w:r>
        <w:rPr>
          <w:rFonts w:ascii="Arial" w:cs="Arial" w:eastAsia="Arial" w:hAnsi="Arial"/>
          <w:sz w:val="18"/>
          <w:szCs w:val="18"/>
          <w:i w:val="1"/>
          <w:iCs w:val="1"/>
          <w:color w:val="auto"/>
        </w:rPr>
        <w:t>Measures on Administration of Internet Domain Names</w:t>
      </w:r>
      <w:r>
        <w:rPr>
          <w:rFonts w:ascii="Arial" w:cs="Arial" w:eastAsia="Arial" w:hAnsi="Arial"/>
          <w:sz w:val="18"/>
          <w:szCs w:val="18"/>
          <w:color w:val="auto"/>
        </w:rPr>
        <w:t xml:space="preserve">, or the Domain Name Measures, on August 24, 2017, which took effect on November 1, 2017 and replaced the </w:t>
      </w:r>
      <w:r>
        <w:rPr>
          <w:rFonts w:ascii="Arial" w:cs="Arial" w:eastAsia="Arial" w:hAnsi="Arial"/>
          <w:sz w:val="18"/>
          <w:szCs w:val="18"/>
          <w:i w:val="1"/>
          <w:iCs w:val="1"/>
          <w:color w:val="auto"/>
        </w:rPr>
        <w:t>Administrative Measures on China Internet Domain Name</w:t>
      </w:r>
      <w:r>
        <w:rPr>
          <w:rFonts w:ascii="Arial" w:cs="Arial" w:eastAsia="Arial" w:hAnsi="Arial"/>
          <w:sz w:val="18"/>
          <w:szCs w:val="18"/>
          <w:color w:val="auto"/>
        </w:rPr>
        <w:t xml:space="preserve"> promulgated by MIIT on November 5, 2004. According to the Domain Name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Investment in China</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On June 28, 2017, the MOFCOM, and the NDRC jointly promulgated the </w:t>
      </w:r>
      <w:r>
        <w:rPr>
          <w:rFonts w:ascii="Arial" w:cs="Arial" w:eastAsia="Arial" w:hAnsi="Arial"/>
          <w:sz w:val="18"/>
          <w:szCs w:val="18"/>
          <w:i w:val="1"/>
          <w:iCs w:val="1"/>
          <w:color w:val="auto"/>
        </w:rPr>
        <w:t>Guidance Catalogue of Industries for Foreign Investment (Revised in</w:t>
      </w:r>
      <w:r>
        <w:rPr>
          <w:rFonts w:ascii="Arial" w:cs="Arial" w:eastAsia="Arial" w:hAnsi="Arial"/>
          <w:sz w:val="18"/>
          <w:szCs w:val="18"/>
          <w:color w:val="auto"/>
        </w:rPr>
        <w:t xml:space="preserve"> </w:t>
      </w:r>
      <w:r>
        <w:rPr>
          <w:rFonts w:ascii="Arial" w:cs="Arial" w:eastAsia="Arial" w:hAnsi="Arial"/>
          <w:sz w:val="18"/>
          <w:szCs w:val="18"/>
          <w:i w:val="1"/>
          <w:iCs w:val="1"/>
          <w:color w:val="auto"/>
        </w:rPr>
        <w:t>2017)</w:t>
      </w:r>
      <w:r>
        <w:rPr>
          <w:rFonts w:ascii="Arial" w:cs="Arial" w:eastAsia="Arial" w:hAnsi="Arial"/>
          <w:sz w:val="18"/>
          <w:szCs w:val="18"/>
          <w:color w:val="auto"/>
        </w:rPr>
        <w:t>, or the Catalogue, which came into effect on July 28, 2017. On June 28, 2018, the MOFCOM and NDRC further promulgated the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Measures for Market Access of Foreign Investment (Negative List), or the Negative List, to amend the Catalogue. The Catalogue (as amended by the Negative List) lists the industries and economic activities in which foreign investment in the PRC is encouraged, restricted or prohibited. Any industry not listed in the Catalogue is a permitted industry. Pursuant to the Catalogue (as amended by the Negative List), the production and sale of battery bags and packs as well as the manufacture of the NEVs fall within the permitted catalogue. However, the Catalogue also provides that foreign investors shall hold no more than 50% of the equity interest in a service provider operating certain value-added telecommunications services (other than for e-commerce).</w:t>
      </w:r>
    </w:p>
    <w:p>
      <w:pPr>
        <w:spacing w:after="0" w:line="19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The establishment, operation and management of corporate entities in the PRC is governed by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which was initially promulgated by the SCNPC on December 29, 1993 and came into effect on July 1, 1994, and subsequently amended on December 25, 1999, August 28, 2004, October 27, 2005 and December 28, 2013. The latest amended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became effective on March 1, 2014.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generally governs two types of companies—limited liability companies and joint stock limited companies.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shall also apply to foreign-invested companies. Where laws on foreign investment have other stipulations, such stipulations shall prevail. The establishment procedures, approval or record-filing procedures, registered capital requirements, foreign exchange matters, accounting practices, taxation and labor matters of a wholly foreign-owned enterprise are regulated by the </w:t>
      </w:r>
      <w:r>
        <w:rPr>
          <w:rFonts w:ascii="Arial" w:cs="Arial" w:eastAsia="Arial" w:hAnsi="Arial"/>
          <w:sz w:val="17"/>
          <w:szCs w:val="17"/>
          <w:i w:val="1"/>
          <w:iCs w:val="1"/>
          <w:color w:val="auto"/>
        </w:rPr>
        <w:t>Wholly Foreign-owned Enterprise Law of the PRC</w:t>
      </w:r>
      <w:r>
        <w:rPr>
          <w:rFonts w:ascii="Arial" w:cs="Arial" w:eastAsia="Arial" w:hAnsi="Arial"/>
          <w:sz w:val="17"/>
          <w:szCs w:val="17"/>
          <w:color w:val="auto"/>
        </w:rPr>
        <w:t xml:space="preserve">, or the WFOE Law, promulgated on April 12, 1986 and amended on October 31, 2000 and September 3, 2016, and the </w:t>
      </w:r>
      <w:r>
        <w:rPr>
          <w:rFonts w:ascii="Arial" w:cs="Arial" w:eastAsia="Arial" w:hAnsi="Arial"/>
          <w:sz w:val="17"/>
          <w:szCs w:val="17"/>
          <w:i w:val="1"/>
          <w:iCs w:val="1"/>
          <w:color w:val="auto"/>
        </w:rPr>
        <w:t>Rules for the Implementation of the WFOE Law</w:t>
      </w:r>
      <w:r>
        <w:rPr>
          <w:rFonts w:ascii="Arial" w:cs="Arial" w:eastAsia="Arial" w:hAnsi="Arial"/>
          <w:sz w:val="17"/>
          <w:szCs w:val="17"/>
          <w:color w:val="auto"/>
        </w:rPr>
        <w:t>, promulgated on December 12, 1990 and amended on April 12, 2001 and February 19, 2014. According to the amendments to the WFOE law in 2016, for wholly foreign-owned enterprise which the special entry management system does not apply to, its establishment, operation duration and extension, separation, merger or other major changes shall be reported for record.</w:t>
      </w:r>
    </w:p>
    <w:p>
      <w:pPr>
        <w:spacing w:after="0" w:line="183"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Provisional Administrative Measures for Record-filing Administration of the Establishment and Change of Foreign-invested</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Enterprises</w:t>
      </w:r>
      <w:r>
        <w:rPr>
          <w:rFonts w:ascii="Arial" w:cs="Arial" w:eastAsia="Arial" w:hAnsi="Arial"/>
          <w:sz w:val="18"/>
          <w:szCs w:val="18"/>
          <w:color w:val="auto"/>
        </w:rPr>
        <w:t>, or the Provisional Measures, promulgated by MOFCOM on October 8, 2016 (as amended), establishment and modifications of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enterprises which are not subject to the approval under the special entry management measures shall be filed with the delegated commercial authorities.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Exchange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Administration of Foreign Exchange</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PRC Foreign Currency Administration Rules</w:t>
      </w:r>
      <w:r>
        <w:rPr>
          <w:rFonts w:ascii="Arial" w:cs="Arial" w:eastAsia="Arial" w:hAnsi="Arial"/>
          <w:sz w:val="18"/>
          <w:szCs w:val="18"/>
          <w:color w:val="auto"/>
        </w:rPr>
        <w:t xml:space="preserve"> promulgated on January 29, 1996 and most recently amended on August 5, 2008 and various regulations issued by the State Administration of Foreign Exchange of the PRC, or the SAFE and other relevant PRC government authorities, Renminbi is convertible into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86" w:lineRule="auto"/>
        <w:rPr>
          <w:sz w:val="20"/>
          <w:szCs w:val="20"/>
          <w:color w:val="auto"/>
        </w:rPr>
      </w:pPr>
      <w:r>
        <w:rPr>
          <w:rFonts w:ascii="Arial" w:cs="Arial" w:eastAsia="Arial" w:hAnsi="Arial"/>
          <w:sz w:val="17"/>
          <w:szCs w:val="17"/>
          <w:color w:val="auto"/>
        </w:rPr>
        <w:t>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of the SAFE on Further Improving and Adjusting Foreign Exchange Administration Policies for Direct Investment</w:t>
      </w:r>
      <w:r>
        <w:rPr>
          <w:rFonts w:ascii="Arial" w:cs="Arial" w:eastAsia="Arial" w:hAnsi="Arial"/>
          <w:sz w:val="16"/>
          <w:szCs w:val="16"/>
          <w:color w:val="auto"/>
        </w:rPr>
        <w:t>, or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SAFE Circular No. 59 promulgated by SAFE on November 19, 2012, which became effective on December 17, 2012 and was further amended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May 4, 2015, approval of SAFE is not required for opening a foreign exchange account and depositing foreign exchange into the accounts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 investments. The SAFE Circular No. 59 also simplified foreign exchange-related registration required for the foreign investors to acquire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equity interests of Chinese companies and further improve the administration on foreign exchange settlement for foreign-invested enterprises.</w:t>
      </w:r>
    </w:p>
    <w:p>
      <w:pPr>
        <w:spacing w:after="0" w:line="22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Further Simplifying and Improving the Foreign Currency Management Policy on Direct Investment</w:t>
      </w:r>
      <w:r>
        <w:rPr>
          <w:rFonts w:ascii="Arial" w:cs="Arial" w:eastAsia="Arial" w:hAnsi="Arial"/>
          <w:sz w:val="18"/>
          <w:szCs w:val="18"/>
          <w:color w:val="auto"/>
        </w:rPr>
        <w:t>, or SAFE Circular No. 13, effective from June 1, 2015,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Circular on Reforming the Management Approach regarding the Settlement of Foreign Capital of Foreign-invested Enterprise</w:t>
      </w:r>
      <w:r>
        <w:rPr>
          <w:rFonts w:ascii="Arial" w:cs="Arial" w:eastAsia="Arial" w:hAnsi="Arial"/>
          <w:sz w:val="16"/>
          <w:szCs w:val="16"/>
          <w:color w:val="auto"/>
        </w:rPr>
        <w:t>, or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SAFE Circular No.19,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Reforming and Regulating Policies on the Control over Foreign Exchange Settlement of Capital Accounts</w:t>
      </w:r>
      <w:r>
        <w:rPr>
          <w:rFonts w:ascii="Arial" w:cs="Arial" w:eastAsia="Arial" w:hAnsi="Arial"/>
          <w:sz w:val="18"/>
          <w:szCs w:val="18"/>
          <w:color w:val="auto"/>
        </w:rPr>
        <w:t>, or SAFE Circular No. 16, which was promulgated by the SAFE and became effective on June 9, 2016, provides that enterprises registered in the PRC may also convert their foreign debts from foreign currency into Renminbi on self-discretionary basis. The SAFE Circular No. 16 also provides an integrated standard for conversion of foreign exchange under capital account items (including but not limited to foreign currency capital and foreign debts) on self-discretionary basis, which applies to all enterprises registered in the PRC.</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According to the Provisional Measures, the </w:t>
      </w:r>
      <w:r>
        <w:rPr>
          <w:rFonts w:ascii="Arial" w:cs="Arial" w:eastAsia="Arial" w:hAnsi="Arial"/>
          <w:sz w:val="18"/>
          <w:szCs w:val="18"/>
          <w:i w:val="1"/>
          <w:iCs w:val="1"/>
          <w:color w:val="auto"/>
        </w:rPr>
        <w:t>Administrative Rules on the Company Registration</w:t>
      </w:r>
      <w:r>
        <w:rPr>
          <w:rFonts w:ascii="Arial" w:cs="Arial" w:eastAsia="Arial" w:hAnsi="Arial"/>
          <w:sz w:val="18"/>
          <w:szCs w:val="18"/>
          <w:color w:val="auto"/>
        </w:rPr>
        <w:t>, which was promulgated by the State Council on June 24, 1994, became effective on July 1, 1994 and latest amended 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February 6, 2016, and other laws and regulations governing the foreign invested enterprises and company registrations, the establishment of a foreign invested enterprise and any capital increase and other major changes in a foreign invested enterprise shall be registered with the SAMR or its local counterparts, and shall be filed via the foreign investment comprehensive administrative system, or the FICMIS if such foreign invested enterprise does not involve special access administrative measures prescribed by the PRC government.</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Pursuant to SAFE Circular No.13 and other laws and regulations relating to foreign exchange, when setting up a new foreign invested enterprise, the foreign 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 invested enterprise must register such changes with the bank located at its registered place after obtaining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6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Based on the forgoing, if we intend to provide funding to our wholly foreign owned subsidiaries through capital injection at or after their establishment, we must register the establishment of and any follow-on capital increase in our wholly foreign owned subsidiaries with the SAMR or its local counterparts, file such via the FICMIS and register such with the local banks for the foreign exchange related matters.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Loans by the Foreign Companies to their PRC Subsidiaries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 xml:space="preserve">A loan made by foreign investors as shareholders in a foreign invested enterprise is considered to be foreign debt in China and is regulated by various laws and regulations, including the </w:t>
      </w:r>
      <w:r>
        <w:rPr>
          <w:rFonts w:ascii="Arial" w:cs="Arial" w:eastAsia="Arial" w:hAnsi="Arial"/>
          <w:sz w:val="16"/>
          <w:szCs w:val="16"/>
          <w:i w:val="1"/>
          <w:iCs w:val="1"/>
          <w:color w:val="auto"/>
        </w:rPr>
        <w:t>Regulation of the People’s Republic of China on Foreign Exchange Administration</w:t>
      </w:r>
      <w:r>
        <w:rPr>
          <w:rFonts w:ascii="Arial" w:cs="Arial" w:eastAsia="Arial" w:hAnsi="Arial"/>
          <w:sz w:val="16"/>
          <w:szCs w:val="16"/>
          <w:color w:val="auto"/>
        </w:rPr>
        <w:t xml:space="preserve">, the </w:t>
      </w:r>
      <w:r>
        <w:rPr>
          <w:rFonts w:ascii="Arial" w:cs="Arial" w:eastAsia="Arial" w:hAnsi="Arial"/>
          <w:sz w:val="16"/>
          <w:szCs w:val="16"/>
          <w:i w:val="1"/>
          <w:iCs w:val="1"/>
          <w:color w:val="auto"/>
        </w:rPr>
        <w:t>Interim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on the Management of Foreign Debts</w:t>
      </w:r>
      <w:r>
        <w:rPr>
          <w:rFonts w:ascii="Arial" w:cs="Arial" w:eastAsia="Arial" w:hAnsi="Arial"/>
          <w:sz w:val="16"/>
          <w:szCs w:val="16"/>
          <w:color w:val="auto"/>
        </w:rPr>
        <w:t>, the</w:t>
      </w:r>
      <w:r>
        <w:rPr>
          <w:rFonts w:ascii="Arial" w:cs="Arial" w:eastAsia="Arial" w:hAnsi="Arial"/>
          <w:sz w:val="16"/>
          <w:szCs w:val="16"/>
          <w:i w:val="1"/>
          <w:iCs w:val="1"/>
          <w:color w:val="auto"/>
        </w:rPr>
        <w:t xml:space="preserve"> Statistical Monitoring of Foreign Debts Tentative Provisions</w:t>
      </w:r>
      <w:r>
        <w:rPr>
          <w:rFonts w:ascii="Arial" w:cs="Arial" w:eastAsia="Arial" w:hAnsi="Arial"/>
          <w:sz w:val="16"/>
          <w:szCs w:val="16"/>
          <w:color w:val="auto"/>
        </w:rPr>
        <w:t>, the</w:t>
      </w:r>
      <w:r>
        <w:rPr>
          <w:rFonts w:ascii="Arial" w:cs="Arial" w:eastAsia="Arial" w:hAnsi="Arial"/>
          <w:sz w:val="16"/>
          <w:szCs w:val="16"/>
          <w:i w:val="1"/>
          <w:iCs w:val="1"/>
          <w:color w:val="auto"/>
        </w:rPr>
        <w:t xml:space="preserve"> Detailed Rules for the Implementation of Provisional Regulations on Statistics and Supervision of External Debt</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Administrative Measures for Registration of Foreign Debts</w:t>
      </w:r>
      <w:r>
        <w:rPr>
          <w:rFonts w:ascii="Arial" w:cs="Arial" w:eastAsia="Arial" w:hAnsi="Arial"/>
          <w:sz w:val="16"/>
          <w:szCs w:val="16"/>
          <w:color w:val="auto"/>
        </w:rPr>
        <w:t>. Under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rules and regulations, a shareholder loan in the form of foreign debt made to a PRC entity does not require the prior approval of SAFE. However, such foreign debt must be registered with and recorded by SAFE or its local branches within fifteen (15) business days after entering into the foreign debt contract.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Interim Provisions of the State Administration for Industry and Commerce on the Ratio of the Registered Capital to the Total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Investment of a Sino-Foreign Equity Joint Venture Enterprise</w:t>
      </w:r>
      <w:r>
        <w:rPr>
          <w:rFonts w:ascii="Arial" w:cs="Arial" w:eastAsia="Arial" w:hAnsi="Arial"/>
          <w:sz w:val="17"/>
          <w:szCs w:val="17"/>
          <w:color w:val="auto"/>
        </w:rPr>
        <w:t>, promulgated by SAMR on February 17, 1987 and effective on March 1, 1987, with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respect to a sino-foreign equity join venture, the registered capital shall be (i) no less than 7/10 of its total investment, if the total investment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US$3 million or under US$3 million; (ii) no less than 1/2 of its total investment, if the total investment is ranging from US$3 million to US$10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(including US$10 million), provided that the registered capital shall not be less than US$2.1 million if the total investment is less than US$4.2 million;</w:t>
      </w:r>
    </w:p>
    <w:p>
      <w:pPr>
        <w:spacing w:after="0" w:line="32" w:lineRule="exact"/>
        <w:rPr>
          <w:sz w:val="20"/>
          <w:szCs w:val="20"/>
          <w:color w:val="auto"/>
        </w:rPr>
      </w:pPr>
    </w:p>
    <w:p>
      <w:pPr>
        <w:ind w:left="200" w:right="40" w:firstLine="4"/>
        <w:spacing w:after="0" w:line="254" w:lineRule="auto"/>
        <w:tabs>
          <w:tab w:leader="none" w:pos="5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19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 xml:space="preserve">On January 11, 2017, the People’s Bank of China, or the PBOC promulgated the </w:t>
      </w:r>
      <w:r>
        <w:rPr>
          <w:rFonts w:ascii="Arial" w:cs="Arial" w:eastAsia="Arial" w:hAnsi="Arial"/>
          <w:sz w:val="16"/>
          <w:szCs w:val="16"/>
          <w:i w:val="1"/>
          <w:iCs w:val="1"/>
          <w:color w:val="auto"/>
        </w:rPr>
        <w:t>Notice of the People’s Bank of China on Matters concerning the</w:t>
      </w:r>
      <w:r>
        <w:rPr>
          <w:rFonts w:ascii="Arial" w:cs="Arial" w:eastAsia="Arial" w:hAnsi="Arial"/>
          <w:sz w:val="16"/>
          <w:szCs w:val="16"/>
          <w:color w:val="auto"/>
        </w:rPr>
        <w:t xml:space="preserve"> </w:t>
      </w:r>
      <w:r>
        <w:rPr>
          <w:rFonts w:ascii="Arial" w:cs="Arial" w:eastAsia="Arial" w:hAnsi="Arial"/>
          <w:sz w:val="16"/>
          <w:szCs w:val="16"/>
          <w:i w:val="1"/>
          <w:iCs w:val="1"/>
          <w:color w:val="auto"/>
        </w:rPr>
        <w:t>Macro-Prudential Management of Full-Covered Cross-Border Financing</w:t>
      </w:r>
      <w:r>
        <w:rPr>
          <w:rFonts w:ascii="Arial" w:cs="Arial" w:eastAsia="Arial" w:hAnsi="Arial"/>
          <w:sz w:val="16"/>
          <w:szCs w:val="16"/>
          <w:color w:val="auto"/>
        </w:rPr>
        <w:t>, or the PBOC Notice No. 9. Pursuant to the PBOC Notice No. 9, within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of one year from January 11, 2017, the foreign invested enterprises may adopt the currently valid foreign debt management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mechanism, or Current Foreign Debt Mechanism, or the mechanism as provided in the PBOC Notice No. 9, or Notice No. 9 Foreign Debt Mechanism, at their own discretions. The PBOC Notice No. 9 provides that enterprises may conduct independent cross-border financing in RMB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w:t>
      </w:r>
      <w:r>
        <w:rPr>
          <w:rFonts w:ascii="Arial" w:cs="Arial" w:eastAsia="Arial" w:hAnsi="Arial"/>
          <w:sz w:val="11"/>
          <w:szCs w:val="11"/>
          <w:color w:val="auto"/>
        </w:rPr>
        <w:t>S</w:t>
      </w:r>
      <w:r>
        <w:rPr>
          <w:rFonts w:ascii="Arial" w:cs="Arial" w:eastAsia="Arial" w:hAnsi="Arial"/>
          <w:sz w:val="17"/>
          <w:szCs w:val="17"/>
          <w:color w:val="auto"/>
        </w:rPr>
        <w:t xml:space="preserve"> outstanding amount of RMB and foreign currency denominated cross-border financing * maturity risk conversion factor * type risk conversion factor + </w:t>
      </w:r>
      <w:r>
        <w:rPr>
          <w:rFonts w:ascii="Arial" w:cs="Arial" w:eastAsia="Arial" w:hAnsi="Arial"/>
          <w:sz w:val="11"/>
          <w:szCs w:val="11"/>
          <w:color w:val="auto"/>
        </w:rPr>
        <w:t>S</w:t>
      </w:r>
      <w:r>
        <w:rPr>
          <w:rFonts w:ascii="Arial" w:cs="Arial" w:eastAsia="Arial" w:hAnsi="Arial"/>
          <w:sz w:val="17"/>
          <w:szCs w:val="17"/>
          <w:color w:val="auto"/>
        </w:rPr>
        <w:t xml:space="preserve"> outstanding foreign currency denominated cross-border financing * exchange rate risk conversion factor. Maturity risk conversion factor shall be 1 for medium- and long-term cross-border financing with a term of more than one year and 1.5 for short-term cross-border financing with a term of less than one year. Type risk conversion factor shall be 1 for on-balance-sheet financing and 1 for off-balance-sheet financing (contingent liabilities) for the time being. Exchange rate risk conversion factor shall be 0.5. The PBOC Notice No. 9 further provides that the upper limit of risk-weighted outstanding cross-border financing for enterprises shall be 200% of its net assets, or Net Asset Limits. Enterprises shall file with SAFE in its capital item information system after entering into the relevant cross-border financing contracts and prior to three business day before drawing any money from the foreign debts.</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Based on the foregoing, if we provide funding to our wholly foreign owned subsidiaries through shareholder loans, the balance of such loans shall not exceed the Total Investment and Registered Capital Balance and we will need to register such loans with SAFE or its local branches in the event that the Current Foreign Debt Mechanism applies, or the balance of such loans shall be subject to the Risk-Weighted Approach and the Net Asset Limits and we will need to file the loans with SAFE in its information system in the event that the Notice No. 9 Mechanism applies. According to the PBOC Notice No. 9, after a transition period of one year from January 11, 2017, the PBOC and SAFE will determine the cross-border financing administration mechanism for the foreign-invested enterprises after evaluating the overall implementation of the PBOC Notice 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Offshore Investment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Circular of the State Administration of Foreign Exchange on Issues Concerning the Foreign Exchange Administration over the</w:t>
      </w:r>
      <w:r>
        <w:rPr>
          <w:rFonts w:ascii="Arial" w:cs="Arial" w:eastAsia="Arial" w:hAnsi="Arial"/>
          <w:sz w:val="17"/>
          <w:szCs w:val="17"/>
          <w:color w:val="auto"/>
        </w:rPr>
        <w:t xml:space="preserve"> </w:t>
      </w:r>
      <w:r>
        <w:rPr>
          <w:rFonts w:ascii="Arial" w:cs="Arial" w:eastAsia="Arial" w:hAnsi="Arial"/>
          <w:sz w:val="17"/>
          <w:szCs w:val="17"/>
          <w:i w:val="1"/>
          <w:iCs w:val="1"/>
          <w:color w:val="auto"/>
        </w:rPr>
        <w:t>Overseas Investment and Financing and Round-trip Investment by Domestic Residents via Special Purpose Vehicles</w:t>
      </w:r>
      <w:r>
        <w:rPr>
          <w:rFonts w:ascii="Arial" w:cs="Arial" w:eastAsia="Arial" w:hAnsi="Arial"/>
          <w:sz w:val="17"/>
          <w:szCs w:val="17"/>
          <w:color w:val="auto"/>
        </w:rPr>
        <w:t>, or the SAFE Circular 37,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SAFE and effective on July 4, 2014, PRC residents are required to register with the local SAFE branch prior to the establishment or control of an offshore special purpose vehicle, or SPV, which is defined as offshore enterprises directly established or indirectly controlled by PRC residents for investment and financing purposes, with the enterprise assets or interests they hold in China or overseas. The term “control” means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7"/>
          <w:szCs w:val="17"/>
          <w:i w:val="1"/>
          <w:iCs w:val="1"/>
          <w:color w:val="auto"/>
        </w:rPr>
        <w:t>Operation Guidance for the Issues Concerning Foreign Exchange Administration over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Round-trip Investment </w:t>
      </w:r>
      <w:r>
        <w:rPr>
          <w:rFonts w:ascii="Arial" w:cs="Arial" w:eastAsia="Arial" w:hAnsi="Arial"/>
          <w:sz w:val="17"/>
          <w:szCs w:val="17"/>
          <w:color w:val="auto"/>
        </w:rPr>
        <w:t>regarding the procedures for SAFE registration under the SAFE Circular 37, which became effective on July 4, 2014 as an</w:t>
      </w:r>
      <w:r>
        <w:rPr>
          <w:rFonts w:ascii="Arial" w:cs="Arial" w:eastAsia="Arial" w:hAnsi="Arial"/>
          <w:sz w:val="17"/>
          <w:szCs w:val="17"/>
          <w:i w:val="1"/>
          <w:iCs w:val="1"/>
          <w:color w:val="auto"/>
        </w:rPr>
        <w:t xml:space="preserve"> </w:t>
      </w:r>
      <w:r>
        <w:rPr>
          <w:rFonts w:ascii="Arial" w:cs="Arial" w:eastAsia="Arial" w:hAnsi="Arial"/>
          <w:sz w:val="17"/>
          <w:szCs w:val="17"/>
          <w:color w:val="auto"/>
        </w:rPr>
        <w:t>attachment of Circular 37.</w:t>
      </w:r>
    </w:p>
    <w:p>
      <w:pPr>
        <w:spacing w:after="0" w:line="183"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Dividend Distribution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The principal laws and regulations regulating the dividend distribution of dividends by foreign-invested enterprises in the PRC include the </w:t>
      </w:r>
      <w:r>
        <w:rPr>
          <w:rFonts w:ascii="Arial" w:cs="Arial" w:eastAsia="Arial" w:hAnsi="Arial"/>
          <w:sz w:val="17"/>
          <w:szCs w:val="17"/>
          <w:i w:val="1"/>
          <w:iCs w:val="1"/>
          <w:color w:val="auto"/>
        </w:rPr>
        <w:t>Company Law of the PRC</w:t>
      </w:r>
      <w:r>
        <w:rPr>
          <w:rFonts w:ascii="Arial" w:cs="Arial" w:eastAsia="Arial" w:hAnsi="Arial"/>
          <w:sz w:val="17"/>
          <w:szCs w:val="17"/>
          <w:color w:val="auto"/>
        </w:rPr>
        <w:t>, as amended in 2004, 2005 and 2013, the</w:t>
      </w:r>
      <w:r>
        <w:rPr>
          <w:rFonts w:ascii="Arial" w:cs="Arial" w:eastAsia="Arial" w:hAnsi="Arial"/>
          <w:sz w:val="17"/>
          <w:szCs w:val="17"/>
          <w:i w:val="1"/>
          <w:iCs w:val="1"/>
          <w:color w:val="auto"/>
        </w:rPr>
        <w:t xml:space="preserve"> Wholly Foreign-owned Enterprise Law </w:t>
      </w:r>
      <w:r>
        <w:rPr>
          <w:rFonts w:ascii="Arial" w:cs="Arial" w:eastAsia="Arial" w:hAnsi="Arial"/>
          <w:sz w:val="17"/>
          <w:szCs w:val="17"/>
          <w:color w:val="auto"/>
        </w:rPr>
        <w:t>promulgated in 1986 and amended in 2000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2016 and its implementation regulations promulgated in 1990 and subsequently amended in 2001 and 2014, the </w:t>
      </w:r>
      <w:r>
        <w:rPr>
          <w:rFonts w:ascii="Arial" w:cs="Arial" w:eastAsia="Arial" w:hAnsi="Arial"/>
          <w:sz w:val="17"/>
          <w:szCs w:val="17"/>
          <w:i w:val="1"/>
          <w:iCs w:val="1"/>
          <w:color w:val="auto"/>
        </w:rPr>
        <w:t>Equity Joint Venture Law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PRC </w:t>
      </w:r>
      <w:r>
        <w:rPr>
          <w:rFonts w:ascii="Arial" w:cs="Arial" w:eastAsia="Arial" w:hAnsi="Arial"/>
          <w:sz w:val="17"/>
          <w:szCs w:val="17"/>
          <w:color w:val="auto"/>
        </w:rPr>
        <w:t>promulgated in 1979 and subsequently amended in 1990, 2001 and 2016 and its implementation regulations promulgated in 1983 and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amended in 1986, 1987, 2001, 2011 and 2014, and the </w:t>
      </w:r>
      <w:r>
        <w:rPr>
          <w:rFonts w:ascii="Arial" w:cs="Arial" w:eastAsia="Arial" w:hAnsi="Arial"/>
          <w:sz w:val="17"/>
          <w:szCs w:val="17"/>
          <w:i w:val="1"/>
          <w:iCs w:val="1"/>
          <w:color w:val="auto"/>
        </w:rPr>
        <w:t>Cooperative Joint Venture Law of the PRC</w:t>
      </w:r>
      <w:r>
        <w:rPr>
          <w:rFonts w:ascii="Arial" w:cs="Arial" w:eastAsia="Arial" w:hAnsi="Arial"/>
          <w:sz w:val="17"/>
          <w:szCs w:val="17"/>
          <w:color w:val="auto"/>
        </w:rPr>
        <w:t xml:space="preserve"> promulgated in 1988 and amended in 2000 and 2017 and its implementation regulations promulgated in 1995 and amended in 2014 and 2017. Under the current regulatory regime in the PRC, foreign-invested 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Taxation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Enterprise Income Tax</w:t>
      </w:r>
    </w:p>
    <w:p>
      <w:pPr>
        <w:spacing w:after="0" w:line="117" w:lineRule="exact"/>
        <w:rPr>
          <w:sz w:val="20"/>
          <w:szCs w:val="20"/>
          <w:color w:val="auto"/>
        </w:rPr>
      </w:pPr>
    </w:p>
    <w:p>
      <w:pPr>
        <w:ind w:left="200" w:right="160" w:firstLine="441"/>
        <w:spacing w:after="0" w:line="287" w:lineRule="auto"/>
        <w:rPr>
          <w:sz w:val="20"/>
          <w:szCs w:val="20"/>
          <w:color w:val="auto"/>
        </w:rPr>
      </w:pPr>
      <w:r>
        <w:rPr>
          <w:rFonts w:ascii="Arial" w:cs="Arial" w:eastAsia="Arial" w:hAnsi="Arial"/>
          <w:sz w:val="16"/>
          <w:szCs w:val="16"/>
          <w:color w:val="auto"/>
        </w:rPr>
        <w:t xml:space="preserve">On March 16, 2007, the SCNPC promulgated the </w:t>
      </w:r>
      <w:r>
        <w:rPr>
          <w:rFonts w:ascii="Arial" w:cs="Arial" w:eastAsia="Arial" w:hAnsi="Arial"/>
          <w:sz w:val="16"/>
          <w:szCs w:val="16"/>
          <w:i w:val="1"/>
          <w:iCs w:val="1"/>
          <w:color w:val="auto"/>
        </w:rPr>
        <w:t>Enterprise Income Tax Law of the PRC</w:t>
      </w:r>
      <w:r>
        <w:rPr>
          <w:rFonts w:ascii="Arial" w:cs="Arial" w:eastAsia="Arial" w:hAnsi="Arial"/>
          <w:sz w:val="16"/>
          <w:szCs w:val="16"/>
          <w:color w:val="auto"/>
        </w:rPr>
        <w:t xml:space="preserve"> which was amended on February 24, 2017 and on December 6, 2007, the State Council enacted the </w:t>
      </w:r>
      <w:r>
        <w:rPr>
          <w:rFonts w:ascii="Arial" w:cs="Arial" w:eastAsia="Arial" w:hAnsi="Arial"/>
          <w:sz w:val="16"/>
          <w:szCs w:val="16"/>
          <w:i w:val="1"/>
          <w:iCs w:val="1"/>
          <w:color w:val="auto"/>
        </w:rPr>
        <w:t>Regulations for the Implementation of the Enterprise Income Tax Law</w:t>
      </w:r>
      <w:r>
        <w:rPr>
          <w:rFonts w:ascii="Arial" w:cs="Arial" w:eastAsia="Arial" w:hAnsi="Arial"/>
          <w:sz w:val="16"/>
          <w:szCs w:val="16"/>
          <w:color w:val="auto"/>
        </w:rPr>
        <w:t>, or collectively, the EIT Law. The EIT Law came into effect on January 1, 2008.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Value-added Tax</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Provisional Regulations of the PRC on Value-added Tax</w:t>
      </w:r>
      <w:r>
        <w:rPr>
          <w:rFonts w:ascii="Arial" w:cs="Arial" w:eastAsia="Arial" w:hAnsi="Arial"/>
          <w:sz w:val="16"/>
          <w:szCs w:val="16"/>
          <w:color w:val="auto"/>
        </w:rPr>
        <w:t xml:space="preserve"> were promulgated by the State Council on December 13, 1993 and came into effect on January 1, 1994 which were subsequently amended from time to time. The </w:t>
      </w:r>
      <w:r>
        <w:rPr>
          <w:rFonts w:ascii="Arial" w:cs="Arial" w:eastAsia="Arial" w:hAnsi="Arial"/>
          <w:sz w:val="16"/>
          <w:szCs w:val="16"/>
          <w:i w:val="1"/>
          <w:iCs w:val="1"/>
          <w:color w:val="auto"/>
        </w:rPr>
        <w:t>Detailed Rules for the Implementation of the Provisional Regulations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PRC on Value-added Tax </w:t>
      </w:r>
      <w:r>
        <w:rPr>
          <w:rFonts w:ascii="Arial" w:cs="Arial" w:eastAsia="Arial" w:hAnsi="Arial"/>
          <w:sz w:val="16"/>
          <w:szCs w:val="16"/>
          <w:color w:val="auto"/>
        </w:rPr>
        <w:t>(Revised in 2011) was promulgated by the MOF on December 25, 1993 and subsequently amended on December 15, 2008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October 28, 2011, or collectively, VAT Law. On November 19, 2017, the State Council promulgated the </w:t>
      </w:r>
      <w:r>
        <w:rPr>
          <w:rFonts w:ascii="Arial" w:cs="Arial" w:eastAsia="Arial" w:hAnsi="Arial"/>
          <w:sz w:val="16"/>
          <w:szCs w:val="16"/>
          <w:i w:val="1"/>
          <w:iCs w:val="1"/>
          <w:color w:val="auto"/>
        </w:rPr>
        <w:t>Decisions on Abolishing the Provisional</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of the PRC on Business Tax and Amending the Provisional Regulations of the PRC on Value-added Tax</w:t>
      </w:r>
      <w:r>
        <w:rPr>
          <w:rFonts w:ascii="Arial" w:cs="Arial" w:eastAsia="Arial" w:hAnsi="Arial"/>
          <w:sz w:val="16"/>
          <w:szCs w:val="16"/>
          <w:color w:val="auto"/>
        </w:rPr>
        <w:t>, or the Order 691. According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VAT Law and the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16%, 10%, 6% and 0%, and the VAT tax rate applicable to the small-scale taxpayers is 3%.</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Withholding Tax</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EIT Law provides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8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 xml:space="preserve">Pursuant to an </w:t>
      </w:r>
      <w:r>
        <w:rPr>
          <w:rFonts w:ascii="Arial" w:cs="Arial" w:eastAsia="Arial" w:hAnsi="Arial"/>
          <w:sz w:val="16"/>
          <w:szCs w:val="16"/>
          <w:i w:val="1"/>
          <w:iCs w:val="1"/>
          <w:color w:val="auto"/>
        </w:rPr>
        <w:t>Arrangement Between the Mainland of China and the Hong Kong Special Administrative Region for the Avoidance of Double</w:t>
      </w:r>
      <w:r>
        <w:rPr>
          <w:rFonts w:ascii="Arial" w:cs="Arial" w:eastAsia="Arial" w:hAnsi="Arial"/>
          <w:sz w:val="16"/>
          <w:szCs w:val="16"/>
          <w:color w:val="auto"/>
        </w:rPr>
        <w:t xml:space="preserve"> </w:t>
      </w:r>
      <w:r>
        <w:rPr>
          <w:rFonts w:ascii="Arial" w:cs="Arial" w:eastAsia="Arial" w:hAnsi="Arial"/>
          <w:sz w:val="16"/>
          <w:szCs w:val="16"/>
          <w:i w:val="1"/>
          <w:iCs w:val="1"/>
          <w:color w:val="auto"/>
        </w:rPr>
        <w:t>Taxation and the Prevention of Fiscal Evasion with Respect to Taxes on Incomes</w:t>
      </w:r>
      <w:r>
        <w:rPr>
          <w:rFonts w:ascii="Arial" w:cs="Arial" w:eastAsia="Arial" w:hAnsi="Arial"/>
          <w:sz w:val="16"/>
          <w:szCs w:val="16"/>
          <w:color w:val="auto"/>
        </w:rPr>
        <w:t>, or the Double Tax Avoidance Arrangement, and other applicable 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6"/>
          <w:szCs w:val="16"/>
          <w:i w:val="1"/>
          <w:iCs w:val="1"/>
          <w:color w:val="auto"/>
        </w:rPr>
        <w:t>Circular on Certain Issues with Respect to the Enforcement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Provisions in Tax Treaties</w:t>
      </w:r>
      <w:r>
        <w:rPr>
          <w:rFonts w:ascii="Arial" w:cs="Arial" w:eastAsia="Arial" w:hAnsi="Arial"/>
          <w:sz w:val="16"/>
          <w:szCs w:val="16"/>
          <w:color w:val="auto"/>
        </w:rPr>
        <w:t>, or the SAT Circular 81, issued on February 20, 2009 by the SAT, if the relevant PRC tax authorities determine,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discretions, that a company benefits from such reduced income tax rate due to a structure or arrangement that is primarily tax-driven, such PRC tax authorities may adjust the preferential tax treatment. According to the </w:t>
      </w:r>
      <w:r>
        <w:rPr>
          <w:rFonts w:ascii="Arial" w:cs="Arial" w:eastAsia="Arial" w:hAnsi="Arial"/>
          <w:sz w:val="16"/>
          <w:szCs w:val="16"/>
          <w:i w:val="1"/>
          <w:iCs w:val="1"/>
          <w:color w:val="auto"/>
        </w:rPr>
        <w:t>Circular on Several Questions regarding the “Beneficial Owner” in Tax Treaties</w:t>
      </w:r>
      <w:r>
        <w:rPr>
          <w:rFonts w:ascii="Arial" w:cs="Arial" w:eastAsia="Arial" w:hAnsi="Arial"/>
          <w:sz w:val="16"/>
          <w:szCs w:val="16"/>
          <w:color w:val="auto"/>
        </w:rPr>
        <w:t xml:space="preserve">, which was issued on February 3, 2018 by the SAT and will take effect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w:t>
      </w:r>
      <w:r>
        <w:rPr>
          <w:rFonts w:ascii="Arial" w:cs="Arial" w:eastAsia="Arial" w:hAnsi="Arial"/>
          <w:sz w:val="16"/>
          <w:szCs w:val="16"/>
          <w:i w:val="1"/>
          <w:iCs w:val="1"/>
          <w:color w:val="auto"/>
        </w:rPr>
        <w:t>Announcement on Issuing the Measures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Administration of Non-Resident Taxpayers’ Enjoyment of the Treatment under Tax Agreements</w:t>
      </w:r>
      <w:r>
        <w:rPr>
          <w:rFonts w:ascii="Arial" w:cs="Arial" w:eastAsia="Arial" w:hAnsi="Arial"/>
          <w:sz w:val="16"/>
          <w:szCs w:val="16"/>
          <w:color w:val="auto"/>
        </w:rPr>
        <w: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on Indirect Transfer</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On February 3, 2015, the SAT issued the </w:t>
      </w:r>
      <w:r>
        <w:rPr>
          <w:rFonts w:ascii="Arial" w:cs="Arial" w:eastAsia="Arial" w:hAnsi="Arial"/>
          <w:sz w:val="16"/>
          <w:szCs w:val="16"/>
          <w:i w:val="1"/>
          <w:iCs w:val="1"/>
          <w:color w:val="auto"/>
        </w:rPr>
        <w:t>Circular on Issues of Enterprise Income Tax on Indirect Transfers of Assets by Non-PRC Resident</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Enterprises</w:t>
      </w:r>
      <w:r>
        <w:rPr>
          <w:rFonts w:ascii="Arial" w:cs="Arial" w:eastAsia="Arial" w:hAnsi="Arial"/>
          <w:sz w:val="16"/>
          <w:szCs w:val="16"/>
          <w:color w:val="auto"/>
        </w:rPr>
        <w:t>, or Circular 7. Pursuant to Circular 7, an “indirect transfer” of assets, including equity interests in a PRC resident enterprise, by non-PRC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According to the Circular 7, where the payer fails to withhold any or sufficient tax, the transferor shall declare and pay such tax to the tax authority by itself within the statutory time limit. Late payment of applicable tax will subject the transferor to default interest. The Circular 7 does not apply to transactions of sale of shares by investors through a public stock exchange where such shares were acquired on a public stock exchange. On October 17, 2017, the SAT issued the </w:t>
      </w:r>
      <w:r>
        <w:rPr>
          <w:rFonts w:ascii="Arial" w:cs="Arial" w:eastAsia="Arial" w:hAnsi="Arial"/>
          <w:sz w:val="16"/>
          <w:szCs w:val="16"/>
          <w:i w:val="1"/>
          <w:iCs w:val="1"/>
          <w:color w:val="auto"/>
        </w:rPr>
        <w:t>Circular on</w:t>
      </w:r>
      <w:r>
        <w:rPr>
          <w:rFonts w:ascii="Arial" w:cs="Arial" w:eastAsia="Arial" w:hAnsi="Arial"/>
          <w:sz w:val="16"/>
          <w:szCs w:val="16"/>
          <w:color w:val="auto"/>
        </w:rPr>
        <w:t xml:space="preserve"> </w:t>
      </w:r>
      <w:r>
        <w:rPr>
          <w:rFonts w:ascii="Arial" w:cs="Arial" w:eastAsia="Arial" w:hAnsi="Arial"/>
          <w:sz w:val="16"/>
          <w:szCs w:val="16"/>
          <w:i w:val="1"/>
          <w:iCs w:val="1"/>
          <w:color w:val="auto"/>
        </w:rPr>
        <w:t>Issues of Tax Withholding regarding Non-PRC Resident Enterprise Income Tax</w:t>
      </w:r>
      <w:r>
        <w:rPr>
          <w:rFonts w:ascii="Arial" w:cs="Arial" w:eastAsia="Arial" w:hAnsi="Arial"/>
          <w:sz w:val="16"/>
          <w:szCs w:val="16"/>
          <w:color w:val="auto"/>
        </w:rPr>
        <w:t>, or SAT Circular 37, which further elaborates the relevant implemental</w:t>
      </w:r>
      <w:r>
        <w:rPr>
          <w:rFonts w:ascii="Arial" w:cs="Arial" w:eastAsia="Arial" w:hAnsi="Arial"/>
          <w:sz w:val="16"/>
          <w:szCs w:val="16"/>
          <w:i w:val="1"/>
          <w:iCs w:val="1"/>
          <w:color w:val="auto"/>
        </w:rPr>
        <w:t xml:space="preserve"> </w:t>
      </w:r>
      <w:r>
        <w:rPr>
          <w:rFonts w:ascii="Arial" w:cs="Arial" w:eastAsia="Arial" w:hAnsi="Arial"/>
          <w:sz w:val="16"/>
          <w:szCs w:val="16"/>
          <w:color w:val="auto"/>
        </w:rPr>
        <w:t>rules regarding the calculation, reporting and payment obligations of the withholding tax by the non-resident enterprises. Nonetheless, there remain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uncertainties as to the interpretation and application of the SAT Circular 7. The SAT Circular 7 may be determined by the tax authorities to be applicable to our offshore transactions or sale of our shares or those of our offshore subsidiaries where non-resident enterprises, being the transferors, were involved.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Employment and Social Welfare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Labor Contract Law</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Labor Contract Law of the PRC</w:t>
      </w:r>
      <w:r>
        <w:rPr>
          <w:rFonts w:ascii="Arial" w:cs="Arial" w:eastAsia="Arial" w:hAnsi="Arial"/>
          <w:sz w:val="17"/>
          <w:szCs w:val="17"/>
          <w:color w:val="auto"/>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must be paid to employees in a timely manner</w:t>
      </w:r>
      <w:r>
        <w:rPr>
          <w:rFonts w:ascii="Arial" w:cs="Arial" w:eastAsia="Arial" w:hAnsi="Arial"/>
          <w:sz w:val="17"/>
          <w:szCs w:val="17"/>
          <w:b w:val="1"/>
          <w:bCs w:val="1"/>
          <w:color w:val="auto"/>
        </w:rPr>
        <w: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Interim Provisions on Labor Dispatch</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Interim Provisions on Labor Dispatch</w:t>
      </w:r>
      <w:r>
        <w:rPr>
          <w:rFonts w:ascii="Arial" w:cs="Arial" w:eastAsia="Arial" w:hAnsi="Arial"/>
          <w:sz w:val="18"/>
          <w:szCs w:val="18"/>
          <w:color w:val="auto"/>
        </w:rPr>
        <w:t xml:space="preserve">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Social Insurance and Housing Fund</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As required under the </w:t>
      </w:r>
      <w:r>
        <w:rPr>
          <w:rFonts w:ascii="Arial" w:cs="Arial" w:eastAsia="Arial" w:hAnsi="Arial"/>
          <w:sz w:val="16"/>
          <w:szCs w:val="16"/>
          <w:i w:val="1"/>
          <w:iCs w:val="1"/>
          <w:color w:val="auto"/>
        </w:rPr>
        <w:t>Regulation of Insurance for Labor Injury</w:t>
      </w:r>
      <w:r>
        <w:rPr>
          <w:rFonts w:ascii="Arial" w:cs="Arial" w:eastAsia="Arial" w:hAnsi="Arial"/>
          <w:sz w:val="16"/>
          <w:szCs w:val="16"/>
          <w:color w:val="auto"/>
        </w:rPr>
        <w:t xml:space="preserve"> implemented on January 1, 2004 and amended in 2010, the </w:t>
      </w:r>
      <w:r>
        <w:rPr>
          <w:rFonts w:ascii="Arial" w:cs="Arial" w:eastAsia="Arial" w:hAnsi="Arial"/>
          <w:sz w:val="16"/>
          <w:szCs w:val="16"/>
          <w:i w:val="1"/>
          <w:iCs w:val="1"/>
          <w:color w:val="auto"/>
        </w:rPr>
        <w:t>Provisional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Maternity Insurance of Employees of Corporations </w:t>
      </w:r>
      <w:r>
        <w:rPr>
          <w:rFonts w:ascii="Arial" w:cs="Arial" w:eastAsia="Arial" w:hAnsi="Arial"/>
          <w:sz w:val="16"/>
          <w:szCs w:val="16"/>
          <w:color w:val="auto"/>
        </w:rPr>
        <w:t>implemented on January 1, 1995, the</w:t>
      </w:r>
      <w:r>
        <w:rPr>
          <w:rFonts w:ascii="Arial" w:cs="Arial" w:eastAsia="Arial" w:hAnsi="Arial"/>
          <w:sz w:val="16"/>
          <w:szCs w:val="16"/>
          <w:i w:val="1"/>
          <w:iCs w:val="1"/>
          <w:color w:val="auto"/>
        </w:rPr>
        <w:t xml:space="preserve"> Decisions on the Establishment of a Unified Program for Old-Aged Pension Insurance of the State Council </w:t>
      </w:r>
      <w:r>
        <w:rPr>
          <w:rFonts w:ascii="Arial" w:cs="Arial" w:eastAsia="Arial" w:hAnsi="Arial"/>
          <w:sz w:val="16"/>
          <w:szCs w:val="16"/>
          <w:color w:val="auto"/>
        </w:rPr>
        <w:t>issued on July 16, 1997, the</w:t>
      </w:r>
      <w:r>
        <w:rPr>
          <w:rFonts w:ascii="Arial" w:cs="Arial" w:eastAsia="Arial" w:hAnsi="Arial"/>
          <w:sz w:val="16"/>
          <w:szCs w:val="16"/>
          <w:i w:val="1"/>
          <w:iCs w:val="1"/>
          <w:color w:val="auto"/>
        </w:rPr>
        <w:t xml:space="preserve"> Decisions on the Establishment of the Medical Insurance Program for Urban Workers of the State Council </w:t>
      </w:r>
      <w:r>
        <w:rPr>
          <w:rFonts w:ascii="Arial" w:cs="Arial" w:eastAsia="Arial" w:hAnsi="Arial"/>
          <w:sz w:val="16"/>
          <w:szCs w:val="16"/>
          <w:color w:val="auto"/>
        </w:rPr>
        <w:t>promulgated on December 14, 1998, the</w:t>
      </w:r>
      <w:r>
        <w:rPr>
          <w:rFonts w:ascii="Arial" w:cs="Arial" w:eastAsia="Arial" w:hAnsi="Arial"/>
          <w:sz w:val="16"/>
          <w:szCs w:val="16"/>
          <w:i w:val="1"/>
          <w:iCs w:val="1"/>
          <w:color w:val="auto"/>
        </w:rPr>
        <w:t xml:space="preserve"> Unemployment Insurance Measures </w:t>
      </w:r>
      <w:r>
        <w:rPr>
          <w:rFonts w:ascii="Arial" w:cs="Arial" w:eastAsia="Arial" w:hAnsi="Arial"/>
          <w:sz w:val="16"/>
          <w:szCs w:val="16"/>
          <w:color w:val="auto"/>
        </w:rPr>
        <w:t>promulgated on January 22, 1999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Social Insurance Law of the PRC</w:t>
      </w:r>
      <w:r>
        <w:rPr>
          <w:rFonts w:ascii="Arial" w:cs="Arial" w:eastAsia="Arial" w:hAnsi="Arial"/>
          <w:sz w:val="16"/>
          <w:szCs w:val="16"/>
          <w:color w:val="auto"/>
        </w:rPr>
        <w:t xml:space="preserve"> implemented on July 1, 2011, employers are required to provide their employees in the PRC with welfare benefits covering pension insurance, unemployment insurance, maternity insurance, labor injury insurance and medical insurance. These payments are made to local administrative authorities. Any employer that fails to make social insurance contributions may be order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w:t>
      </w:r>
    </w:p>
    <w:p>
      <w:pPr>
        <w:spacing w:after="0" w:line="16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Regulations on the Management of Housing Fund</w:t>
      </w:r>
      <w:r>
        <w:rPr>
          <w:rFonts w:ascii="Arial" w:cs="Arial" w:eastAsia="Arial" w:hAnsi="Arial"/>
          <w:sz w:val="17"/>
          <w:szCs w:val="17"/>
          <w:color w:val="auto"/>
        </w:rPr>
        <w:t xml:space="preserve"> which was promulgated by the State Council in 1999 and amended in 2002,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w:t>
      </w:r>
      <w:r>
        <w:rPr>
          <w:rFonts w:ascii="Arial" w:cs="Arial" w:eastAsia="Arial" w:hAnsi="Arial"/>
          <w:sz w:val="17"/>
          <w:szCs w:val="17"/>
          <w:i w:val="1"/>
          <w:iCs w:val="1"/>
          <w:color w:val="auto"/>
        </w:rPr>
        <w:t>Risk Factors—Risks Relating to Doing Business in China—Increases in labor costs and enforcement of stricter</w:t>
      </w:r>
      <w:r>
        <w:rPr>
          <w:rFonts w:ascii="Arial" w:cs="Arial" w:eastAsia="Arial" w:hAnsi="Arial"/>
          <w:sz w:val="17"/>
          <w:szCs w:val="17"/>
          <w:color w:val="auto"/>
        </w:rPr>
        <w:t xml:space="preserve"> </w:t>
      </w:r>
      <w:r>
        <w:rPr>
          <w:rFonts w:ascii="Arial" w:cs="Arial" w:eastAsia="Arial" w:hAnsi="Arial"/>
          <w:sz w:val="17"/>
          <w:szCs w:val="17"/>
          <w:i w:val="1"/>
          <w:iCs w:val="1"/>
          <w:color w:val="auto"/>
        </w:rPr>
        <w:t>labor laws and regulations in the PRC may adversely affect our business and our profitability</w:t>
      </w:r>
      <w:r>
        <w:rPr>
          <w:rFonts w:ascii="Arial" w:cs="Arial" w:eastAsia="Arial" w:hAnsi="Arial"/>
          <w:sz w:val="17"/>
          <w:szCs w:val="17"/>
          <w:color w:val="auto"/>
        </w:rPr>
        <w: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Stock Incentive Plan</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Notice of Issues Related to the Foreign Exchange Administration for Domestic Individuals Participating in Stock Incentive Plan of</w:t>
      </w:r>
      <w:r>
        <w:rPr>
          <w:rFonts w:ascii="Arial" w:cs="Arial" w:eastAsia="Arial" w:hAnsi="Arial"/>
          <w:sz w:val="18"/>
          <w:szCs w:val="18"/>
          <w:color w:val="auto"/>
        </w:rPr>
        <w:t xml:space="preserve"> </w:t>
      </w:r>
      <w:r>
        <w:rPr>
          <w:rFonts w:ascii="Arial" w:cs="Arial" w:eastAsia="Arial" w:hAnsi="Arial"/>
          <w:sz w:val="18"/>
          <w:szCs w:val="18"/>
          <w:i w:val="1"/>
          <w:iCs w:val="1"/>
          <w:color w:val="auto"/>
        </w:rPr>
        <w:t>Overseas Listed Company</w:t>
      </w:r>
      <w:r>
        <w:rPr>
          <w:rFonts w:ascii="Arial" w:cs="Arial" w:eastAsia="Arial" w:hAnsi="Arial"/>
          <w:sz w:val="18"/>
          <w:szCs w:val="18"/>
          <w:color w:val="auto"/>
        </w:rPr>
        <w:t>, or Circular 7, which was issued by the SAFE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on February 15, 2012, employees, directors, supervisors, and other senior management who participate in any stock incentive plan of an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M&amp;A Rules and Overseas Listing</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 xml:space="preserve">On August 8, 2006, six PRC governmental and regulatory agencies, including the MOFCOM and the CSRC, promulgated the </w:t>
      </w:r>
      <w:r>
        <w:rPr>
          <w:rFonts w:ascii="Arial" w:cs="Arial" w:eastAsia="Arial" w:hAnsi="Arial"/>
          <w:sz w:val="18"/>
          <w:szCs w:val="18"/>
          <w:i w:val="1"/>
          <w:iCs w:val="1"/>
          <w:color w:val="auto"/>
        </w:rPr>
        <w:t>Rules on</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of Domestic Enterprises by Foreign Investors</w:t>
      </w:r>
      <w:r>
        <w:rPr>
          <w:rFonts w:ascii="Arial" w:cs="Arial" w:eastAsia="Arial" w:hAnsi="Arial"/>
          <w:sz w:val="18"/>
          <w:szCs w:val="18"/>
          <w:color w:val="auto"/>
        </w:rPr>
        <w:t>, or the M&amp;A Rules, governing the mergers and acquisitions of domestic enterprises by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that became effective on September 8, 2006 and was revised on June 22, 2009.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requires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20" w:type="dxa"/>
            <w:vAlign w:val="bottom"/>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20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20" w:type="dxa"/>
            <w:vAlign w:val="bottom"/>
          </w:tcPr>
          <w:p>
            <w:pPr>
              <w:spacing w:after="0" w:line="195" w:lineRule="exact"/>
              <w:rPr>
                <w:sz w:val="20"/>
                <w:szCs w:val="20"/>
                <w:color w:val="auto"/>
              </w:rPr>
            </w:pPr>
            <w:r>
              <w:rPr>
                <w:rFonts w:ascii="Arial" w:cs="Arial" w:eastAsia="Arial" w:hAnsi="Arial"/>
                <w:sz w:val="18"/>
                <w:szCs w:val="18"/>
                <w:color w:val="auto"/>
              </w:rPr>
              <w:t>Bin Li</w:t>
            </w:r>
          </w:p>
        </w:tc>
        <w:tc>
          <w:tcPr>
            <w:tcW w:w="1720" w:type="dxa"/>
            <w:vAlign w:val="bottom"/>
            <w:vMerge w:val="continue"/>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280" w:type="dxa"/>
            <w:vAlign w:val="bottom"/>
            <w:vMerge w:val="continue"/>
          </w:tcPr>
          <w:p>
            <w:pPr>
              <w:spacing w:after="0"/>
              <w:rPr>
                <w:sz w:val="16"/>
                <w:szCs w:val="16"/>
                <w:color w:val="auto"/>
              </w:rPr>
            </w:pPr>
          </w:p>
        </w:tc>
        <w:tc>
          <w:tcPr>
            <w:tcW w:w="2920" w:type="dxa"/>
            <w:vAlign w:val="bottom"/>
            <w:gridSpan w:val="2"/>
          </w:tcPr>
          <w:p>
            <w:pPr>
              <w:spacing w:after="0" w:line="195" w:lineRule="exact"/>
              <w:rPr>
                <w:sz w:val="20"/>
                <w:szCs w:val="20"/>
                <w:color w:val="auto"/>
              </w:rPr>
            </w:pPr>
            <w:r>
              <w:rPr>
                <w:rFonts w:ascii="Arial" w:cs="Arial" w:eastAsia="Arial" w:hAnsi="Arial"/>
                <w:sz w:val="18"/>
                <w:szCs w:val="18"/>
                <w:color w:val="auto"/>
                <w:w w:val="96"/>
              </w:rPr>
              <w:t>Chairman and Chief Executive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Lihong Qin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 and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Louis T. Hsieh</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Hsien Tsong Cheng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Padmasree Warrior**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w w:val="92"/>
              </w:rPr>
              <w:t>Director and Chief Development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Xin Zhou</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Dongning Wang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Feng Shen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Tian Cheng**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Xiang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Liang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Hai Wu</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Yaqin Zhang**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Xiangping Zhong**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Zhaohui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Denny Ting Bun Lee*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Independent Director Appointee</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James Gordon Mitchell*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 Appointee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140" w:hanging="316"/>
        <w:spacing w:after="0" w:line="221"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Denny Ting Bun Lee and Mr. James Gordon Mitchell have accepted our appointment to be directors of our company, both effective upon the SEC’s declaration of effectiveness of our registration statement on Form F-1, of which this prospectus is a part.</w:t>
      </w:r>
    </w:p>
    <w:p>
      <w:pPr>
        <w:spacing w:after="0" w:line="1" w:lineRule="exact"/>
        <w:rPr>
          <w:sz w:val="20"/>
          <w:szCs w:val="20"/>
          <w:color w:val="auto"/>
        </w:rPr>
      </w:pPr>
    </w:p>
    <w:p>
      <w:pPr>
        <w:ind w:left="520" w:hanging="316"/>
        <w:spacing w:after="0" w:line="237"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Padmasree Warrior, Mr. Tian Cheng, Mr. Liang Li, Mr. Xiang Li, Mr. Yaqin Zhang, Mr. Xiangping Zhong and Mr. Zhaohui Li have submitted their resignation letters to resign from the Board, effective upon the SEC’s declaration of the effectiveness of our registration statement on Form F-1, of which this prospectus is a part.</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Mr. Bin Li </w:t>
      </w:r>
      <w:r>
        <w:rPr>
          <w:rFonts w:ascii="Arial" w:cs="Arial" w:eastAsia="Arial" w:hAnsi="Arial"/>
          <w:sz w:val="17"/>
          <w:szCs w:val="17"/>
          <w:color w:val="auto"/>
        </w:rPr>
        <w:t>is our founder and has served as chairman of the board since our inception and our chief executive officer since January 2018. Mr. Li</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also serves as chairman of the board of directors at Bitauto Holdings Limited, an NYSE-listed automobile service company and a leading automobile service provider in China. In 2000, Mr. Li co-founded Beijing Bitauto E-Commerce Co., Ltd. and served as its director and president until 2006. In 2002, Mr. Li co-founded Beijing C&amp;I Advertising Company Limited and has served as its chairman of the board of directors and chief executive officer since its inception. In addition, Mr. Li currently serves as vice-chairman of China Automobile Dealers Association, or CADA, and was recognized by CADA in 2008 as one of the top 10 most influential and distinguished people in China’s automobile dealer industry in the past 20 years. Mr. Li received his bachelor’s degree in sociology from Peking University where he minored in Law.</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 xml:space="preserve">Mr. Lihong Qin </w:t>
      </w:r>
      <w:r>
        <w:rPr>
          <w:rFonts w:ascii="Arial" w:cs="Arial" w:eastAsia="Arial" w:hAnsi="Arial"/>
          <w:sz w:val="17"/>
          <w:szCs w:val="17"/>
          <w:color w:val="auto"/>
        </w:rPr>
        <w:t>is our co-founder and has served as our director and our president since our inception. Prior to joining us, Mr. Qin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and executive director at Longfor Properties Co., Ltd.,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and as assistant brand manager at the Marketing Department of Procter &amp; Gamble (Guangzhou) Ltd. from 2001 to 2003. Mr. Qin received his bachelor’s degree and a master’s degree in law from Peking University in 1996 and 1999 and a master’s degree in public policy from Harvard University in 2001.</w:t>
      </w:r>
    </w:p>
    <w:p>
      <w:pPr>
        <w:spacing w:after="0" w:line="178"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i w:val="1"/>
          <w:iCs w:val="1"/>
          <w:color w:val="auto"/>
        </w:rPr>
        <w:t xml:space="preserve">Mr. Louis T. Hsieh </w:t>
      </w:r>
      <w:r>
        <w:rPr>
          <w:rFonts w:ascii="Arial" w:cs="Arial" w:eastAsia="Arial" w:hAnsi="Arial"/>
          <w:sz w:val="17"/>
          <w:szCs w:val="17"/>
          <w:color w:val="auto"/>
        </w:rPr>
        <w:t>has served as our Chief Financial Officer since May 2017. Mr. Hsieh also serves as a non-executive director at New Oriental</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 and Technology Group, or New Oriental, a NYSE-listed company providing private educational services in China. Mr. Hsieh joined New Oriental in 2005 and served as chief financial officer from 2005 to 2015, as President from 2008 to 2016, and director since 2007. He is also an independent director and chairman of audit committee for each of JD.com, Inc., China’s largest direct sales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internet company; YUM China Holdings, a NYSE-listed restaurant company operating KFC, Pizza Hut, Little Sheep Hot Pot, Taco Bell in China; and from 2016 to 2017 at Nord Anglia Education, Inc., a NYSE-listed education company, which was taken private in July 2017. Prior to joining New Oriental, Mr. Hsieh held senior executive positions in private equity and investment banking with UBS Capital (Managing Director and Asia Tech/Media/Telecom head), JP Morgan (vice president) and Credit Suisse, and served as a corporate and securities law attorney at White &amp; Case LLP. Mr. Hsieh received a bachelor’s degree in industrial engineering and engineering management from Stanford University, a master’s degree in business administration from the Harvard Business School, and a juris doctor degree from the University of California at Berkeley.</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Mr. Hsien Tsong Cheng </w:t>
      </w:r>
      <w:r>
        <w:rPr>
          <w:rFonts w:ascii="Arial" w:cs="Arial" w:eastAsia="Arial" w:hAnsi="Arial"/>
          <w:sz w:val="16"/>
          <w:szCs w:val="16"/>
          <w:color w:val="auto"/>
        </w:rPr>
        <w:t>is our co-founder and has served as our executive vice president and chief executive officer of XPT since July 2015.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us, Mr. Cheng served as chairman and chief executive officer at Magneti Marelli China from January 2013 to July 2015. Mr. Cheng served as chairman of Fiat Automotive Finance Co., Ltd. and chairman and chief executive officer of FIAT (China) Business Co., Ltd. from June 2014 to July 2015. Prior to that, Mr. Cheng served as general manager of GAC Fiat Automobiles Co., Ltd. from July 2010 to March 2013. Prior to Fiat Chrysler Automotive, Mr. Cheng was a 26-year veteran in Ford Motor Company and served as the vice president for Global Purchasing based in China from 1997 to 2006, overseeing Ford Motor’s regional supply chain and joint ventures sourcing for ChangAn Ford Motor Ltd., Jiangling Motor Ltd. and Ford Lioho Taiwan. Mr. Cheng received his bachelor’s degree in mechanical engineering from National Cheng Kung University in Taiwan in 1980.</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Ms. Padmasree Warrior </w:t>
      </w:r>
      <w:r>
        <w:rPr>
          <w:rFonts w:ascii="Arial" w:cs="Arial" w:eastAsia="Arial" w:hAnsi="Arial"/>
          <w:sz w:val="18"/>
          <w:szCs w:val="18"/>
          <w:color w:val="auto"/>
        </w:rPr>
        <w:t>has served as our chief development officer and chief executive officer of NIO USA, Inc. since December 2015,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March 2016. She has also served as a director of Microsoft Corporation since December 2015 and Spotify Ltd. since June 2017. Prior to joining us, Ms. Warrior worked as chief technology and strategy officer at Cisco Systems, Inc. from 2008 to 2015. In addition, she held various positions at Motorola, Inc. from 1984 to 2007, most recently as executive vice president and chief technology officer from 2002 to 2007. Ms. Warrior received her bachelor’s degree in chemical engineering from Indian Institute of Technology in 1982 and master’s degree in chemical engineering from Cornell University in 1984.</w:t>
      </w:r>
    </w:p>
    <w:p>
      <w:pPr>
        <w:spacing w:after="0" w:line="193"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i w:val="1"/>
          <w:iCs w:val="1"/>
          <w:color w:val="auto"/>
        </w:rPr>
        <w:t xml:space="preserve">Mr. Xin Zhou </w:t>
      </w:r>
      <w:r>
        <w:rPr>
          <w:rFonts w:ascii="Arial" w:cs="Arial" w:eastAsia="Arial" w:hAnsi="Arial"/>
          <w:sz w:val="17"/>
          <w:szCs w:val="17"/>
          <w:color w:val="auto"/>
        </w:rPr>
        <w:t>has served as our vice president since April 2015. Mr. Zhou served as executive director at Qoros Automotive Co., Ltd.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2009 to April 2015. Prior to that, he was the engagement manager of McKinsey &amp; Co. from April 2007 to September 2009, and executive director of Lear Corp. from May 1998 to April 2007. Mr. Zhou received a bachelor’s degree in applied science from Fudan University in 1992 and a master’s degree in business administration from China Europe International Business School in 2008.</w:t>
      </w:r>
    </w:p>
    <w:p>
      <w:pPr>
        <w:spacing w:after="0" w:line="17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Mr. Dongning Wang </w:t>
      </w:r>
      <w:r>
        <w:rPr>
          <w:rFonts w:ascii="Arial" w:cs="Arial" w:eastAsia="Arial" w:hAnsi="Arial"/>
          <w:sz w:val="17"/>
          <w:szCs w:val="17"/>
          <w:color w:val="auto"/>
        </w:rPr>
        <w:t>has served as our vice president since September 2015. Prior to joining us, Mr. Wang served as the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financial officer at Jaguar Land Rover Greater China. Prior to joining Jaguar Land Rover Greater China, he held various senior financial management positions in Daimler Chrysler U.S. headquarters and Asia Pacific region for a total of seven years. From 1995 to 1999, he served as a senior project manager at State Power Corporation of China. Mr. Wang received a bachelor’s degree in engineering mechanics from Tsinghua University in 1995 and a master’s degree in business administration from Wharton Business School in 2002.</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Mr. Feng Shen </w:t>
      </w:r>
      <w:r>
        <w:rPr>
          <w:rFonts w:ascii="Arial" w:cs="Arial" w:eastAsia="Arial" w:hAnsi="Arial"/>
          <w:sz w:val="18"/>
          <w:szCs w:val="18"/>
          <w:color w:val="auto"/>
        </w:rPr>
        <w:t>has served as our vice president and chairman of quality management committee since December 2017. Mr. Shen worked in</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senior executive management roles, such as president of Polestar China and global chief technology officer at Polestar, president at Volvo Cars China R&amp;D Company, vice president of Volvo Cars Asia-Pacific Operation, and chairman at China-Sweden Traffic Safety Research Center from 2010 to 2017. Prior to that, Mr. Shen worked as a powertrain manager, Six-Sigma Master Black Belt and technical expert at Ford Motor Company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Mr. Tian Cheng </w:t>
      </w:r>
      <w:r>
        <w:rPr>
          <w:rFonts w:ascii="Arial" w:cs="Arial" w:eastAsia="Arial" w:hAnsi="Arial"/>
          <w:sz w:val="17"/>
          <w:szCs w:val="17"/>
          <w:color w:val="auto"/>
        </w:rPr>
        <w:t>has served as our director since March 2015. Mr. Cheng is a partner at Shunwei Capital and specializes in evaluating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and investing in the technology, media and telecom industry. Prior to joining Shunwei Capital, he served as an associate director of the investment group at Temasek Holdings (Private) Limited from July 2008 to June 2014. Mr. Cheng received a bachelor’s degree in business administration and a master’s degree in management from Fudan University in 2005 and 2008, respectively.</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Mr. Xiang Li </w:t>
      </w:r>
      <w:r>
        <w:rPr>
          <w:rFonts w:ascii="Arial" w:cs="Arial" w:eastAsia="Arial" w:hAnsi="Arial"/>
          <w:sz w:val="18"/>
          <w:szCs w:val="18"/>
          <w:color w:val="auto"/>
        </w:rPr>
        <w:t>has served as our director since May 2015. Mr. Li serves as chairman of the board of directors and chief executive officer of Beijing</w:t>
      </w:r>
      <w:r>
        <w:rPr>
          <w:rFonts w:ascii="Arial" w:cs="Arial" w:eastAsia="Arial" w:hAnsi="Arial"/>
          <w:sz w:val="18"/>
          <w:szCs w:val="18"/>
          <w:i w:val="1"/>
          <w:iCs w:val="1"/>
          <w:color w:val="auto"/>
        </w:rPr>
        <w:t xml:space="preserve"> </w:t>
      </w:r>
      <w:r>
        <w:rPr>
          <w:rFonts w:ascii="Arial" w:cs="Arial" w:eastAsia="Arial" w:hAnsi="Arial"/>
          <w:sz w:val="18"/>
          <w:szCs w:val="18"/>
          <w:color w:val="auto"/>
        </w:rPr>
        <w:t>CHJ Information Technology Co., Ltd. Mr. Li was also the founder of Autohome Inc., an NYSE-listed company, and served as its director from 2008 to 2016, its president from May 2013 to June 2015 and its executive vice president from 2008 to May 2013. Autohome Inc. provides online advertising services to the automotive industry.</w:t>
      </w:r>
    </w:p>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Mr. Liang Li </w:t>
      </w:r>
      <w:r>
        <w:rPr>
          <w:rFonts w:ascii="Arial" w:cs="Arial" w:eastAsia="Arial" w:hAnsi="Arial"/>
          <w:sz w:val="16"/>
          <w:szCs w:val="16"/>
          <w:color w:val="auto"/>
        </w:rPr>
        <w:t>has served as our director since March 2015. Mr. Li is a partner of Hillhouse Capital. Before joining Hillhouse Capital, Mr. Li spent</w:t>
      </w:r>
      <w:r>
        <w:rPr>
          <w:rFonts w:ascii="Arial" w:cs="Arial" w:eastAsia="Arial" w:hAnsi="Arial"/>
          <w:sz w:val="16"/>
          <w:szCs w:val="16"/>
          <w:i w:val="1"/>
          <w:iCs w:val="1"/>
          <w:color w:val="auto"/>
        </w:rPr>
        <w:t xml:space="preserve"> </w:t>
      </w:r>
      <w:r>
        <w:rPr>
          <w:rFonts w:ascii="Arial" w:cs="Arial" w:eastAsia="Arial" w:hAnsi="Arial"/>
          <w:sz w:val="16"/>
          <w:szCs w:val="16"/>
          <w:color w:val="auto"/>
        </w:rPr>
        <w:t>eight years at a technology company, where he held various positions, including vice president, chief technology officer, and then chief executive officer of the company. Mr. Li received his bachelor’s and master’s degrees in engineering from Tsinghua University in 1994 and 1997, respectively.</w:t>
      </w:r>
    </w:p>
    <w:p>
      <w:pPr>
        <w:spacing w:after="0" w:line="14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Mr. Hai Wu </w:t>
      </w:r>
      <w:r>
        <w:rPr>
          <w:rFonts w:ascii="Arial" w:cs="Arial" w:eastAsia="Arial" w:hAnsi="Arial"/>
          <w:sz w:val="16"/>
          <w:szCs w:val="16"/>
          <w:color w:val="auto"/>
        </w:rPr>
        <w:t>has served as our director since July 2016. Mr. Wu is a managing director of China at Temasek Holdings Advisors (Beijing) Co., Ltd.</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2014. Mr. Wu has extensive experience in investments and management. Prior to joining Temasek Holdings, Mr. Wu was the chief executive officer at Ramaxel Technology (Shenzhen) Limited from April 2012 to February 2014 and a managing director at CITIC Private Equity Funds Management Co., Ltd. from March 2010 to May 2012. Mr. Wu served as the global director and managing partner of Beijing Branch office of Mckinsey &amp; Company from August 1999 to February 2010. He also served as a non-executive director of COFCO Meat Holdings Limited from September 2015 to December 2017. He received a bachelor’s degree in physiology from Peking University, a master’s degree in business administration from the Johnson School of Management, University of Cornell and a doctoral degree in neuroscience and cell biology in Rutgers University.</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i w:val="1"/>
          <w:iCs w:val="1"/>
          <w:color w:val="auto"/>
        </w:rPr>
        <w:t xml:space="preserve">Mr. Yaqin Zhang </w:t>
      </w:r>
      <w:r>
        <w:rPr>
          <w:rFonts w:ascii="Arial" w:cs="Arial" w:eastAsia="Arial" w:hAnsi="Arial"/>
          <w:sz w:val="16"/>
          <w:szCs w:val="16"/>
          <w:color w:val="auto"/>
        </w:rPr>
        <w:t>has served as our director since June 2018. Mr. Zhang has served as president of Baidu, Inc., a Nasdaq-listed company, since</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2014. Mr. Zhang has served as a director of ChinaCache International Holdings Ltd., a Nasdaq-listed company, since September 2010. Mr. Zhang served as an independent director and member of the audit committee of Autohome Inc., a NYSE-listed company, between December 2013 and January 2015. Mr. Zhang served as the chairman of Microsoft Asia-Pacific R&amp;D Group between 2005 and September 2014 and was in charge of the research and development of Microsoft Corporation in the Asia-Pacific region. Mr. Zhang is one of the founding members of the Microsoft Research Asia lab, where he served as managing director and chief scientist, and he also founded the Advanced Technology Center in 2003. Before joining Microsoft in 1999, Mr. Zhang was a director for the Multimedia Technology Laboratory at Sarnoff Corp. and worked as a senior technical staff member for GTE Laboratories Inc. and Contel Corp. Mr. Zhang received his bachelor’s and master’s degrees in electrical engineering from the University of Science and Technology of China and a Ph.D. in electrical engineering from George Washington University.</w:t>
      </w:r>
    </w:p>
    <w:p>
      <w:pPr>
        <w:spacing w:after="0" w:line="16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i w:val="1"/>
          <w:iCs w:val="1"/>
          <w:color w:val="auto"/>
        </w:rPr>
        <w:t xml:space="preserve">Mr. Xiangping Zhong </w:t>
      </w:r>
      <w:r>
        <w:rPr>
          <w:rFonts w:ascii="Arial" w:cs="Arial" w:eastAsia="Arial" w:hAnsi="Arial"/>
          <w:sz w:val="16"/>
          <w:szCs w:val="16"/>
          <w:color w:val="auto"/>
        </w:rPr>
        <w:t>has served as our director since April 2018. Mr. Zhong currently serves as a general manager of map platform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and a vice president of mobile internet group of Tencent Holdings Ltd. Mr. Zhong also serves as a director of NAVINFO Polytron Technologies Inc. since April 2017. Prior to that, he served as a general manager of mobile browsing products development at Tencent Holdings Ltd. from 2004 to 2008. Mr. Zhong received a bachelor’s degree from Nanjing University in computer science and technology.</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Mr. Zhaohui Li </w:t>
      </w:r>
      <w:r>
        <w:rPr>
          <w:rFonts w:ascii="Arial" w:cs="Arial" w:eastAsia="Arial" w:hAnsi="Arial"/>
          <w:sz w:val="18"/>
          <w:szCs w:val="18"/>
          <w:color w:val="auto"/>
        </w:rPr>
        <w:t>has served as our director since January 2018. Mr. Li currently works as the managing partner of Tencent Investment and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Mergers &amp; Acquisitions Department of Tencent Holdings Ltd. Mr. Li is responsible for Tencent’s investments in Offline-to-Online field, including social commerce, new retail, automotive, education and healthcare, among other consumer industries. Before joining Tencent, Mr. Li was the investment principal at Bertelsmann Asia Investment from 2008 to 2010. Prior to that, he worked for Google and Nokia in various product and business roles, where he gained substantial experience in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internet and mobile internet. Mr. Li received a bachelor’s degree from Peking University in 1998 and an M.B.A. degree from Duke University’s Fuqua School of Business in 2004.</w:t>
      </w:r>
    </w:p>
    <w:p>
      <w:pPr>
        <w:spacing w:after="0" w:line="170"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i w:val="1"/>
          <w:iCs w:val="1"/>
          <w:color w:val="auto"/>
        </w:rPr>
        <w:t xml:space="preserve">Mr. Denny Ting Bun Lee </w:t>
      </w:r>
      <w:r>
        <w:rPr>
          <w:rFonts w:ascii="Arial" w:cs="Arial" w:eastAsia="Arial" w:hAnsi="Arial"/>
          <w:sz w:val="17"/>
          <w:szCs w:val="17"/>
          <w:color w:val="auto"/>
        </w:rPr>
        <w:t>will serve as our director commencing from the SEC’s declaration of effectiveness of our registration statement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F-1, of which this prospectus is a part. Mr. Lee currently serves as an independent non-executive director on the board of NetEase, Inc., a leading internet and online game service provider in China listed on the Nasdaq Global Select Market. He was the chief financial officer of NetEase, Inc. from 2002 to 2007. Prior to joining NetEase, Inc., Mr. Lee worked in the Hong Kong office of KPMG for more than ten years. Mr. Lee currently serves as an independent non-executive director and the chairman of the audit committees of the following four companies: (1) Jianpu Technology Inc., a company listed on the New York Stock Exchange, (2) New Oriental Education &amp; Technology Group Inc., a provider of private education services in China listed on the New York Stock Exchange, (3) Concord Medical Services Holdings Limited, a leading specialty hospital management solution provider and operator in China listed on the New York Stock Exchange, and (4) China Metal Resources Utilization Ltd., a company principally engaged in the manufacturing and sales of copper and related products in China listed on the main board of Hong Kong Stock Exchange. Mr. Lee graduated from the Hong Kong Polytechnic University and is a member of The Hong Kong Institute of Certified Public Accountants and The Chartered Association of Certified Accountants.</w:t>
      </w:r>
    </w:p>
    <w:p>
      <w:pPr>
        <w:spacing w:after="0" w:line="18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i w:val="1"/>
          <w:iCs w:val="1"/>
          <w:color w:val="auto"/>
        </w:rPr>
        <w:t xml:space="preserve">Mr. James Gordon Mitchell </w:t>
      </w:r>
      <w:r>
        <w:rPr>
          <w:rFonts w:ascii="Arial" w:cs="Arial" w:eastAsia="Arial" w:hAnsi="Arial"/>
          <w:sz w:val="18"/>
          <w:szCs w:val="18"/>
          <w:color w:val="auto"/>
        </w:rPr>
        <w:t>will serve as our director commencing from the SEC’s declaration of effectiveness of our registration statement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F-1, of which this prospectus is a part. Currently, Mr. Mitchell serves as Senior Executive Vice President and Chief Strategy Officer of Tencent Holdings, where he has worked since July 2011. Mr. Mitchell has also served as the Chairman and non-executive director of the board of China Literature Limited since June 2017. He is also a non-executive director of certain other listed companies including Yixin Group Limited, a Chinese automobile retail transaction platform company listed on the main board of Hong Kong Stock Exchange (stock code 2858) and Frontier Developments, a British video game development company listed on the London Stock Exchange (under the symbol AIM: FDEV), and a director of several unlisted companies. Prior to Tencent, Mr. Mitchell was a managing director at Goldman Sachs. He received a bachelor’s degree in history from the University of Oxford.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board of directors will consist of five directors upon the SEC’s declaration of effectiveness of our registration statement on Form F-1, of which this prospectus is a part. A director is not required to hold any shares in our 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will consist of Denny Ting Bun Lee, Hai Wu and James Gordon Mitchell. Denny Ting Bun Lee will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audit committee. We have determined that Denny Ting Bun Lee and Hai Wu satisfy the “independence” requirements of Section 303A of the Corporate Governance Rules of the New York Stock Exchange and Rule 10A-3 under the Exchange Act. We have determined that Denny Ting Bun Lee qualifies as an “audit committee financial expert.” The audit committee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will oversee our accounting and financial reporting processes and the audits of the financial statements of our company. The audit committee will be responsible for, among other things:</w:t>
      </w:r>
    </w:p>
    <w:p>
      <w:pPr>
        <w:spacing w:after="0" w:line="76" w:lineRule="exact"/>
        <w:rPr>
          <w:sz w:val="20"/>
          <w:szCs w:val="20"/>
          <w:color w:val="auto"/>
        </w:rPr>
      </w:pPr>
    </w:p>
    <w:p>
      <w:pPr>
        <w:ind w:left="1060" w:right="4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Our compensation committee will consist of Hai Wu, James Gordon Mitchell and Bin Li. Hai Wu will be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compensation committee. We have determined that Hai Wu satisfies the “independence” requirements of Section 303A of the Corporate Governance Rules of the New York Stock Exchange.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64" w:lineRule="exact"/>
        <w:rPr>
          <w:sz w:val="20"/>
          <w:szCs w:val="20"/>
          <w:color w:val="auto"/>
        </w:rPr>
      </w:pPr>
    </w:p>
    <w:p>
      <w:pPr>
        <w:ind w:left="1060" w:right="6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Our nominating and corporate governance committee will consist of Bin Li, Hai Wu and</w:t>
      </w:r>
      <w:r>
        <w:rPr>
          <w:rFonts w:ascii="Arial" w:cs="Arial" w:eastAsia="Arial" w:hAnsi="Arial"/>
          <w:sz w:val="16"/>
          <w:szCs w:val="16"/>
          <w:i w:val="1"/>
          <w:iCs w:val="1"/>
          <w:color w:val="auto"/>
        </w:rPr>
        <w:t xml:space="preserve"> </w:t>
      </w:r>
      <w:r>
        <w:rPr>
          <w:rFonts w:ascii="Arial" w:cs="Arial" w:eastAsia="Arial" w:hAnsi="Arial"/>
          <w:sz w:val="16"/>
          <w:szCs w:val="16"/>
          <w:color w:val="auto"/>
        </w:rPr>
        <w:t>Denny Ting Bun Lee. Bin Li will be the chairperson of our nominating and corporate governance committee. Hai Wu and Denny Ting Bun Lee satisfy the “independence” requirements of Section 303A of the Corporate Governance Rules of the New York Stock Exchange.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64"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spacing w:after="0" w:line="75"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240" w:top="460"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5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addition, each executive officer has agreed to be bound by non-competition and non-solicitation restrictions during the term of his or her employment and typically for one year following the last date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3"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the fiscal year ended December 31, 2017, we paid an aggregate of RMB18.3 million (US$2.8 million) in cash to our directors and executive officers. We have not set aside or accrued any amount to provide pension, retirement or other similar benefits to our directors and executive officers. Our PRC subsidiaries and VIEs are required by law to make contributions equal to certain percentages of each employee’s salary for his or her pension insurance, medical insurance, unemployment insurance and other statutory benefits and a housing provident fund.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board of directors has approved and adopted share-based awards under three stock incentive plans, namely, the 2015 Stock Incentive Plan, or the 2015 Plan, the 2016 Stock Incentive Plan, or the 2016 Plan, the 2017 Stock Incentive Plan, or the 2017 Plan. The terms of the 2015 Plan, the 2016 Plan and the 2017 Plan are substantially similar. The purpose of those plans is to attract and retain the best available personnel, to provide additional incentives to our employees, directors and consultants and to promote the success of our business. Our board of directors believes that our long-term success is dependent upon our ability to attract and retain superior individuals who, by virtue of their ability and qualifications, make important contributions to our business.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the 2015 Plan, 2016 Plan and 2017 Plan, the maximum numbers of Class A ordinary shares which may be issued pursuant to all awards are 46,264,378, 18,000,000 and 33,000,000, respectively. As of June 30, 2018, awards to purchase an aggregate amount of 88,939,542 Class A ordinary shares under our three stock incentive plans have been granted and are outstanding, excluding awards that were forfeited or cancelled after the relevant grant dates.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describe the principal terms of the 2015 Plan, 2016 Plan and 2017 Plan.</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Our stock incentive plans permit the awards of options, restricted shares, restricted share units, share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 right or other right or benefit under each plan.</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of one or more members of the board of directors or officers will administer 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plans. The committee or the full board of directors, as applicable, will determine the grantees to receive awards, the type and number of awards to be granted to each grantee, and the terms and conditions of each award grant.</w:t>
      </w:r>
    </w:p>
    <w:p>
      <w:pPr>
        <w:spacing w:after="0" w:line="18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Awards granted under our stock incentive plans are evidenced by an award agreement that sets forth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for each award, which may include the term of the award, the provisions applicable in the event that the grantee’s employment or service terminates, and our authority to unilaterally or bilaterally amend the award.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to our employees, consultants and directors.</w:t>
      </w:r>
    </w:p>
    <w:p>
      <w:pPr>
        <w:spacing w:after="0" w:line="22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Except as approved by the plan administrator, options to be issued to the grantees under the stock incentive plans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minimum four (4) year vesting schedule 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The plan administrator determines the exercise price for each award, which is stated in the relevant award agreement.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vested and exercisable will terminate if 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ten years from the date of grant under 2017 Plan, or five years from the date of grant under 2015 Plan and 2016 Plan.</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Drag-Along Events. </w:t>
      </w:r>
      <w:r>
        <w:rPr>
          <w:rFonts w:ascii="Arial" w:cs="Arial" w:eastAsia="Arial" w:hAnsi="Arial"/>
          <w:sz w:val="18"/>
          <w:szCs w:val="18"/>
          <w:color w:val="auto"/>
        </w:rPr>
        <w:t>Except as provided in the applicable award agreement or sub-plan, in the event of a drag-along event specified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incentive plans, the grantees who hold any Class A ordinary shares upon exercise of the award shall sell, transfer, convey or assign all of their shares pursuant to, and so as to give effect to, the drag-along event, and each of such grantees shall grant to the board of directors or a person authorized by the board of directors, a power of attorney to transfer, sell, convey and assign his/her shares and to do and carry out all acts and to execute all documents that are necessary or advisable to complete the drag-along event.</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Initial Public Offering. </w:t>
      </w:r>
      <w:r>
        <w:rPr>
          <w:rFonts w:ascii="Arial" w:cs="Arial" w:eastAsia="Arial" w:hAnsi="Arial"/>
          <w:sz w:val="17"/>
          <w:szCs w:val="17"/>
          <w:color w:val="auto"/>
        </w:rPr>
        <w:t>In the case of this offering, the grantees shall enter into any agreements with any underwriter, coordinator, bankers or</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elected by us for the purpose of this offering, and each of such grantees shall grant to the board of directors or a person authorized by the board of directors, a power of attorney to enter into any agreements with any underwriter, coordinator, bankers or sponsor elected by us and to do and carry out all the acts and to execute all the documents that are necessary or advisable to complete this offering.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Transfer Restrictions</w:t>
      </w:r>
      <w:r>
        <w:rPr>
          <w:rFonts w:ascii="Arial" w:cs="Arial" w:eastAsia="Arial" w:hAnsi="Arial"/>
          <w:sz w:val="17"/>
          <w:szCs w:val="17"/>
          <w:color w:val="auto"/>
        </w:rPr>
        <w:t>. Awards shall be transferable, subject to applicable laws, (i) by will and by the laws of descent and distribution and</w:t>
      </w:r>
    </w:p>
    <w:p>
      <w:pPr>
        <w:spacing w:after="0" w:line="35" w:lineRule="exact"/>
        <w:rPr>
          <w:sz w:val="20"/>
          <w:szCs w:val="20"/>
          <w:color w:val="auto"/>
        </w:rPr>
      </w:pPr>
    </w:p>
    <w:p>
      <w:pPr>
        <w:ind w:left="200" w:right="220" w:firstLine="4"/>
        <w:spacing w:after="0" w:line="255" w:lineRule="auto"/>
        <w:tabs>
          <w:tab w:leader="none" w:pos="4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lifetime of the grantee, to the extent and in the manner authorized by the plan administrator. Notwithstanding the foregoing, the grantee may designate one or more beneficiaries of the grantee’s award in the event of the grantee’s death on a beneficiary designation form provided by the Administrator.</w:t>
      </w:r>
    </w:p>
    <w:p>
      <w:pPr>
        <w:spacing w:after="0" w:line="19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Termination and Amendment of the Plan</w:t>
      </w:r>
      <w:r>
        <w:rPr>
          <w:rFonts w:ascii="Arial" w:cs="Arial" w:eastAsia="Arial" w:hAnsi="Arial"/>
          <w:sz w:val="18"/>
          <w:szCs w:val="18"/>
          <w:color w:val="auto"/>
        </w:rPr>
        <w:t>. Unless terminated earlier or extended before expiration, each of our stock incentive plan has a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 The board of directors has the authority to terminate, amend or modify the stock incentive plans; provided, however,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stock incentive plan.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summarizes, as of the date of this prospectus, the awards granted under our 2015 Plan, 2016 Plan and 2017 Plan to several of our executive officers, excluding awards that were forfeited or cancelled after the relevant grant dates.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3"/>
              </w:rPr>
              <w:t>Underlying Options and</w:t>
            </w:r>
          </w:p>
        </w:tc>
        <w:tc>
          <w:tcPr>
            <w:tcW w:w="13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of Grant</w:t>
            </w:r>
          </w:p>
        </w:tc>
        <w:tc>
          <w:tcPr>
            <w:tcW w:w="400" w:type="dxa"/>
            <w:vAlign w:val="bottom"/>
          </w:tcPr>
          <w:p>
            <w:pPr>
              <w:spacing w:after="0"/>
              <w:rPr>
                <w:sz w:val="12"/>
                <w:szCs w:val="12"/>
                <w:color w:val="auto"/>
              </w:rPr>
            </w:pPr>
          </w:p>
        </w:tc>
        <w:tc>
          <w:tcPr>
            <w:tcW w:w="25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58"/>
        </w:trPr>
        <w:tc>
          <w:tcPr>
            <w:tcW w:w="214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Restricted Shares</w:t>
            </w:r>
          </w:p>
        </w:tc>
        <w:tc>
          <w:tcPr>
            <w:tcW w:w="46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8"/>
              </w:rPr>
              <w:t>(US$/Share)</w:t>
            </w:r>
          </w:p>
        </w:tc>
        <w:tc>
          <w:tcPr>
            <w:tcW w:w="46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Bin Li</w:t>
            </w:r>
          </w:p>
        </w:tc>
        <w:tc>
          <w:tcPr>
            <w:tcW w:w="7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1, 2018</w:t>
            </w:r>
          </w:p>
        </w:tc>
        <w:tc>
          <w:tcPr>
            <w:tcW w:w="4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February 28,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Louis T. Hsieh</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Padmasree Warrior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10, 2016</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March 9, 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Lihong Qin</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Xin Zhou</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2.55</w:t>
            </w:r>
          </w:p>
        </w:tc>
        <w:tc>
          <w:tcPr>
            <w:tcW w:w="24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Dongning Wang</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December 1, 2015</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November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Hsien Tsong Cheng</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December 1, 2015</w:t>
            </w:r>
          </w:p>
        </w:tc>
        <w:tc>
          <w:tcPr>
            <w:tcW w:w="29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November 30,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Feng Shen</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1.80-2.55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December 25, 2017</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December 24, 2027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30,535,008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hanging="316"/>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Less than one percent of our total outstanding shares.</w:t>
      </w:r>
    </w:p>
    <w:p>
      <w:pPr>
        <w:spacing w:after="0" w:line="19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the date of this prospectus, other employees as a group held awards to purchase 34,796,162 Class A ordinary shares of our company, with exercise prices ranging from US$0.10 to US$3.38 per share.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Share Incentive Plan</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August 2018, our board of directors approved the 2018 Share Incentive Plan to attract and retain the best available personnel, provide additional incentives to employees, directors and consultants and promote the success of our business. Under the 2018 Share Incentive Plan, or the 2018 Plan, the maximum number of shares available for issuance shall be 23,000,000 ordinary shares, which should automatically increase each year by the number of shares representing 1.5% of the then total issued and outstanding share capital of the Company as of the end of each preceding year. The 2018 Plan becomes effective on January 1 of the year following the completion of a qualified initial public offering for a term of five years.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prospectus, no share incentive award has been granted under the 2018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Types of Awards. </w:t>
      </w:r>
      <w:r>
        <w:rPr>
          <w:rFonts w:ascii="Arial" w:cs="Arial" w:eastAsia="Arial" w:hAnsi="Arial"/>
          <w:sz w:val="17"/>
          <w:szCs w:val="17"/>
          <w:color w:val="auto"/>
        </w:rPr>
        <w:t>The 2018 Plan permits the awards of options, restricted shares or any other type of awards that the committee grants.</w:t>
      </w:r>
    </w:p>
    <w:p>
      <w:pPr>
        <w:spacing w:after="0" w:line="23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2018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2018 Plan are evidenced by an award agreement that sets forth terms, conditions and limitations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award, which may include the term of the award, the provisions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applicable in the event of the grantee’s employment or service terminates, and our authority to unilaterally or bilaterally amend, modify, suspend, cancel or rescind the award.</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incentive share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to our employees, parent and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five years from the date of a grant.</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Termination and amendment of the 2018 Plan. </w:t>
      </w:r>
      <w:r>
        <w:rPr>
          <w:rFonts w:ascii="Arial" w:cs="Arial" w:eastAsia="Arial" w:hAnsi="Arial"/>
          <w:sz w:val="18"/>
          <w:szCs w:val="18"/>
          <w:color w:val="auto"/>
        </w:rPr>
        <w:t>Unless terminated earlier, the 2018 Plan has a term of five years. Our board of directors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amend or terminate the plan. However, no such action may adversely affect in any material way any awards previously granted unless agreed by the recipient.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76"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known to us owning beneficially more than 5% of our ordinary shares.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calculations in the table below are based on 866,010,046 ordinary shares on an as-converted basis outstanding as of the date of this prospectus, and 1,026,010,046 ordinary shares, comprised of 745,479,824 Class A ordinary shares, 132,030,222 Class B ordinary shares and 148,500,000 Class C ordinary shares outstanding immediately after the completion of this offering, assuming the underwriters do not exercise their over-allotment option.</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Ordinary Shares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w w:val="88"/>
              </w:rPr>
              <w:t>Ordinary Shares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4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4"/>
          </w:tcPr>
          <w:p>
            <w:pPr>
              <w:jc w:val="center"/>
              <w:ind w:right="78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Prior to This Offering</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6"/>
          </w:tcPr>
          <w:p>
            <w:pPr>
              <w:jc w:val="center"/>
              <w:ind w:left="50"/>
              <w:spacing w:after="0"/>
              <w:rPr>
                <w:sz w:val="20"/>
                <w:szCs w:val="20"/>
                <w:color w:val="auto"/>
              </w:rPr>
            </w:pPr>
            <w:r>
              <w:rPr>
                <w:rFonts w:ascii="Arial" w:cs="Arial" w:eastAsia="Arial" w:hAnsi="Arial"/>
                <w:sz w:val="13"/>
                <w:szCs w:val="13"/>
                <w:b w:val="1"/>
                <w:bCs w:val="1"/>
                <w:color w:val="auto"/>
                <w:w w:val="90"/>
              </w:rPr>
              <w:t>Immediately After This Offering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Total</w:t>
            </w: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ordinary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 of</w:t>
            </w: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A</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B</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C</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on an</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aggregate</w:t>
            </w: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Ordinary</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ordinary</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ordinary</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ordinary</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as converted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voting</w:t>
            </w: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320" w:type="dxa"/>
            <w:vAlign w:val="bottom"/>
          </w:tcPr>
          <w:p>
            <w:pPr>
              <w:jc w:val="right"/>
              <w:ind w:right="2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8"/>
              </w:rPr>
              <w:t>basis</w:t>
            </w:r>
          </w:p>
        </w:tc>
        <w:tc>
          <w:tcPr>
            <w:tcW w:w="280" w:type="dxa"/>
            <w:vAlign w:val="bottom"/>
          </w:tcPr>
          <w:p>
            <w:pPr>
              <w:jc w:val="right"/>
              <w:ind w:right="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power</w:t>
            </w:r>
            <w:r>
              <w:rPr>
                <w:rFonts w:ascii="Arial" w:cs="Arial" w:eastAsia="Arial" w:hAnsi="Arial"/>
                <w:sz w:val="8"/>
                <w:szCs w:val="8"/>
                <w:b w:val="1"/>
                <w:bCs w:val="1"/>
                <w:color w:val="auto"/>
                <w:w w:val="84"/>
              </w:rPr>
              <w:t>†</w:t>
            </w:r>
          </w:p>
        </w:tc>
      </w:tr>
      <w:tr>
        <w:trPr>
          <w:trHeight w:val="129"/>
        </w:trPr>
        <w:tc>
          <w:tcPr>
            <w:tcW w:w="20" w:type="dxa"/>
            <w:vAlign w:val="bottom"/>
          </w:tcPr>
          <w:p>
            <w:pPr>
              <w:spacing w:after="0"/>
              <w:rPr>
                <w:sz w:val="11"/>
                <w:szCs w:val="11"/>
                <w:color w:val="auto"/>
              </w:rPr>
            </w:pPr>
          </w:p>
        </w:tc>
        <w:tc>
          <w:tcPr>
            <w:tcW w:w="4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Directors and Executive Officers</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Bin Li</w:t>
            </w:r>
            <w:r>
              <w:rPr>
                <w:rFonts w:ascii="Arial" w:cs="Arial" w:eastAsia="Arial" w:hAnsi="Arial"/>
                <w:sz w:val="12"/>
                <w:szCs w:val="12"/>
                <w:color w:val="auto"/>
              </w:rPr>
              <w:t>(1)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189,253</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14.5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Lihong Qin</w:t>
            </w:r>
            <w:r>
              <w:rPr>
                <w:rFonts w:ascii="Arial" w:cs="Arial" w:eastAsia="Arial" w:hAnsi="Arial"/>
                <w:sz w:val="12"/>
                <w:szCs w:val="12"/>
                <w:color w:val="auto"/>
              </w:rPr>
              <w:t>(2)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10,538,700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10,538,700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10,538,700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Louis T. Hsieh</w:t>
            </w:r>
            <w:r>
              <w:rPr>
                <w:rFonts w:ascii="Arial" w:cs="Arial" w:eastAsia="Arial" w:hAnsi="Arial"/>
                <w:sz w:val="12"/>
                <w:szCs w:val="12"/>
                <w:color w:val="auto"/>
              </w:rPr>
              <w:t>(3)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Hsien Tsong Cheng</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Padmasree Warrior</w:t>
            </w:r>
            <w:r>
              <w:rPr>
                <w:rFonts w:ascii="Arial" w:cs="Arial" w:eastAsia="Arial" w:hAnsi="Arial"/>
                <w:sz w:val="12"/>
                <w:szCs w:val="12"/>
                <w:color w:val="auto"/>
              </w:rPr>
              <w:t>(4)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11,785,272</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11,785,272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11,785,272</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Xin Zhou</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Feng Shen</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Dongning Wang</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Tian Cheng</w:t>
            </w:r>
            <w:r>
              <w:rPr>
                <w:rFonts w:ascii="Arial" w:cs="Arial" w:eastAsia="Arial" w:hAnsi="Arial"/>
                <w:sz w:val="12"/>
                <w:szCs w:val="12"/>
                <w:color w:val="auto"/>
              </w:rPr>
              <w:t>(5)</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Xiang Li</w:t>
            </w:r>
            <w:r>
              <w:rPr>
                <w:rFonts w:ascii="Arial" w:cs="Arial" w:eastAsia="Arial" w:hAnsi="Arial"/>
                <w:sz w:val="12"/>
                <w:szCs w:val="12"/>
                <w:color w:val="auto"/>
              </w:rPr>
              <w:t>(6)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Liang Li</w:t>
            </w:r>
            <w:r>
              <w:rPr>
                <w:rFonts w:ascii="Arial" w:cs="Arial" w:eastAsia="Arial" w:hAnsi="Arial"/>
                <w:sz w:val="12"/>
                <w:szCs w:val="12"/>
                <w:color w:val="auto"/>
              </w:rPr>
              <w:t>(7)</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Hai Wu</w:t>
            </w:r>
            <w:r>
              <w:rPr>
                <w:rFonts w:ascii="Arial" w:cs="Arial" w:eastAsia="Arial" w:hAnsi="Arial"/>
                <w:sz w:val="12"/>
                <w:szCs w:val="12"/>
                <w:color w:val="auto"/>
              </w:rPr>
              <w:t>(8)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Yaqin Zhang</w:t>
            </w:r>
            <w:r>
              <w:rPr>
                <w:rFonts w:ascii="Arial" w:cs="Arial" w:eastAsia="Arial" w:hAnsi="Arial"/>
                <w:sz w:val="12"/>
                <w:szCs w:val="12"/>
                <w:color w:val="auto"/>
              </w:rPr>
              <w:t>(9)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Xiangping Zhong</w:t>
            </w:r>
            <w:r>
              <w:rPr>
                <w:rFonts w:ascii="Arial" w:cs="Arial" w:eastAsia="Arial" w:hAnsi="Arial"/>
                <w:sz w:val="12"/>
                <w:szCs w:val="12"/>
                <w:color w:val="auto"/>
              </w:rPr>
              <w:t>(10)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Zhaohui Li</w:t>
            </w:r>
            <w:r>
              <w:rPr>
                <w:rFonts w:ascii="Arial" w:cs="Arial" w:eastAsia="Arial" w:hAnsi="Arial"/>
                <w:sz w:val="12"/>
                <w:szCs w:val="12"/>
                <w:color w:val="auto"/>
              </w:rPr>
              <w:t>(11)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Denny Ting Bun Lee***</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James Gordon Mitchell***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All Directors and Executive Officers as a Group</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193,032,977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42,991,770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193,032,977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b w:val="1"/>
                <w:bCs w:val="1"/>
                <w:color w:val="auto"/>
              </w:rPr>
              <w:t>Principal Shareholders: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Founder vehicles</w:t>
            </w:r>
            <w:r>
              <w:rPr>
                <w:rFonts w:ascii="Arial" w:cs="Arial" w:eastAsia="Arial" w:hAnsi="Arial"/>
                <w:sz w:val="12"/>
                <w:szCs w:val="12"/>
                <w:color w:val="auto"/>
              </w:rPr>
              <w:t>(12)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189,253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Tencent entities</w:t>
            </w:r>
            <w:r>
              <w:rPr>
                <w:rFonts w:ascii="Arial" w:cs="Arial" w:eastAsia="Arial" w:hAnsi="Arial"/>
                <w:sz w:val="12"/>
                <w:szCs w:val="12"/>
                <w:color w:val="auto"/>
              </w:rPr>
              <w:t>(13)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12.9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Hillhouse entities</w:t>
            </w:r>
            <w:r>
              <w:rPr>
                <w:rFonts w:ascii="Arial" w:cs="Arial" w:eastAsia="Arial" w:hAnsi="Arial"/>
                <w:sz w:val="12"/>
                <w:szCs w:val="12"/>
                <w:color w:val="auto"/>
              </w:rPr>
              <w:t>(14)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65,368,424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65,368,424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65,368,424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520" w:right="100" w:hanging="316"/>
        <w:spacing w:after="0" w:line="22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Except where otherwise disclosed in the footnotes below, the business address of all the directors and executive officers is Building 16, 20 and 22, No. 56 AnTuo Road, Jiading District, Shanghai, 201804, People’s Republic of China.</w:t>
      </w:r>
    </w:p>
    <w:p>
      <w:pPr>
        <w:ind w:left="520" w:right="60" w:hanging="316"/>
        <w:spacing w:after="0" w:line="237"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Lee and Mr. Mitchell accepted our appointment to be directors of our company, both effective upon the SEC’s declaration of effectiveness of our registration statement on Form F-1, of which this prospectus is a part.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40" w:hanging="316"/>
        <w:spacing w:after="0" w:line="268" w:lineRule="auto"/>
        <w:tabs>
          <w:tab w:leader="none" w:pos="5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our Class B</w:t>
      </w:r>
    </w:p>
    <w:p>
      <w:pPr>
        <w:spacing w:after="0" w:line="1" w:lineRule="exact"/>
        <w:rPr>
          <w:sz w:val="20"/>
          <w:szCs w:val="20"/>
          <w:color w:val="auto"/>
        </w:rPr>
      </w:pPr>
    </w:p>
    <w:p>
      <w:pPr>
        <w:ind w:left="520" w:right="380"/>
        <w:spacing w:after="0" w:line="221" w:lineRule="auto"/>
        <w:rPr>
          <w:sz w:val="20"/>
          <w:szCs w:val="20"/>
          <w:color w:val="auto"/>
        </w:rPr>
      </w:pPr>
      <w:r>
        <w:rPr>
          <w:rFonts w:ascii="Arial" w:cs="Arial" w:eastAsia="Arial" w:hAnsi="Arial"/>
          <w:sz w:val="14"/>
          <w:szCs w:val="14"/>
          <w:color w:val="auto"/>
        </w:rPr>
        <w:t>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1" w:lineRule="exact"/>
        <w:rPr>
          <w:sz w:val="20"/>
          <w:szCs w:val="20"/>
          <w:color w:val="auto"/>
        </w:rPr>
      </w:pPr>
    </w:p>
    <w:p>
      <w:pPr>
        <w:ind w:left="520" w:right="14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148,689,253 ordinary shares issuable upon the conversion of (i) 122,045,675 series A-1 preferred shares and 189,253 ordinary shares held by Originalwish Limited and (ii) 26,454,325 series A-1 preferred shares held by mobike Global Ltd. Each of Originalwish Limited and mobike Global Ltd. is a company incorporated in British Virgin Islands and beneficially owned by Mr. Bin Li. Upon the completion of this offering, these shares will be in the form of Class C ordinary shares, except for 189,253 ordinary shares held by Originalwish Limited, which will be in the form of Class A ordinary shares.</w:t>
      </w:r>
    </w:p>
    <w:p>
      <w:pPr>
        <w:spacing w:after="0" w:line="1" w:lineRule="exact"/>
        <w:rPr>
          <w:rFonts w:ascii="Arial" w:cs="Arial" w:eastAsia="Arial" w:hAnsi="Arial"/>
          <w:sz w:val="14"/>
          <w:szCs w:val="14"/>
          <w:color w:val="auto"/>
        </w:rPr>
      </w:pPr>
    </w:p>
    <w:p>
      <w:pPr>
        <w:ind w:left="520" w:right="16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10,500,000 ordinary shares held through Prime Hubs Limited and 38,700 ordinary shares that Mr. Qin may purchase upon exercise of options within 60 days of the date of this prospectus. Prime Hubs Limited is a company incorporated in British Virgin Islands. The registered address of Prime Hubs Limited is Sertus Chambers, P.O. Box 905, Quastisky Building, Road Town, Tortola, British Virgin Islands. The business address of Mr. Lihong Qin is Room 1401, No. 82, 1980 Nong, Luoxiu Road, Minhang District, Shanghai, People’s Republic of China.</w:t>
      </w:r>
    </w:p>
    <w:p>
      <w:pPr>
        <w:spacing w:after="0" w:line="1" w:lineRule="exact"/>
        <w:rPr>
          <w:rFonts w:ascii="Arial" w:cs="Arial" w:eastAsia="Arial" w:hAnsi="Arial"/>
          <w:sz w:val="14"/>
          <w:szCs w:val="14"/>
          <w:color w:val="auto"/>
        </w:rPr>
      </w:pP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Louis T. Hsieh is Tower 2, 37-B, 1 Austin Road West, Kowloon, Hong Kong.</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11,785,272 ordinary shares issuable upon the conversion of (i) 7,509,933 series A-3 preferred shares held by Ms. Padmasree Warrior, (ii) 833,332 ordinary shares held by Ms. Padmasree Warrior, and (iii) 991,426 ordinary shares and 991,426 ordinary shares held by the Padmasree Warrior as Trustee of the Padmasree Warrior 2018 Annuity Trust and the Padmasree Warrior as Trustee of the Mohandas Warrior 2018 Annuity Trust, respectively, and (iv) 1,459,155 ordinary shares that Ms. Padmasree Warrior may purchase upon exercise of options within 60 days of the date of this prospectus. The business address of Ms. Padmasree Warrior is 3200 North First Street, San Jose, CA 95134 United States of America. Upon the completion of this offering, these shares will be in the form of Class A ordinary shares.</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business address of Mr. Tian Cheng is Room 801, Block D1, Liangmaqiao DRC Office BLDG, Dongfang East Road 19, Chaoyang District, Beijing, People’s Republic of China.</w:t>
      </w:r>
    </w:p>
    <w:p>
      <w:pPr>
        <w:ind w:left="520" w:right="34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15,000,000 ordinary shares issuable upon the conversion of 15,000,000 series A-1 preferred shares held by Energy Lee Limited. Energy Lee Limited is a company incorporated in British Virgin Islands and beneficially owned by Mr. Xiang Li. The business address of Mr. Xiang Li is No.399, Dongxindian, Chaoyang District, Beijing, People’s Republic of China. Upon the completion of this offering, these shares will be in the form of Class A ordinary shares.</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Liang Li is Floor 28, Building B, PingAn International Financial Center, Chaoyang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Hai Wu is Unit 06, 55F, Fortune Financial Center, No. 5 Dong San Huan Zhong Road, Chaoyang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Zhang is Baidu Campus, No. 10 Shangdi 10th Street, Haidian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Xiangping Zhong is 10F, Han’s Laser Building, 9988 Shennan Avenue, Nanshan District, Shenzhen, 518052,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Zhaohui Li is 10F, China Technology Trade Center, No. 66 North 4th Ring West Road, Hai Dian District, Beijing, People’s Republic of China.</w:t>
      </w:r>
    </w:p>
    <w:p>
      <w:pPr>
        <w:ind w:left="520" w:right="80" w:hanging="316"/>
        <w:spacing w:after="0" w:line="238" w:lineRule="auto"/>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148,689,253 ordinary shares issuable upon the conversion of (i) 122,045,675 series A-1 preferred shares and 189,253 ordinary shares held by Originalwish Limited, and (ii) 26,454,325 series A-1 preferred shares held by mobike Global Ltd, which are collectively referred to in this prospectus as Founder Vehicles. Each of Originalwish Limited and mobike Global Ltd. is a company incorporated in British Virgin Islands and beneficially owned by Mr. Bin Li. The registered address of Originalwish Limited and mobike Global Ltd. is Sertus Chanbers, P.O. Box 905, Quastisky Building, Road Town, Tortola, British Virgin Islands. Upon the completion of this offering, these shares will be in the form of Class C ordinary shares, except for 189,253 ordinary shares held by Originalwish Limited, which will be in the form of Class A ordinary shares.</w:t>
      </w:r>
    </w:p>
    <w:p>
      <w:pPr>
        <w:spacing w:after="0" w:line="1" w:lineRule="exact"/>
        <w:rPr>
          <w:rFonts w:ascii="Arial" w:cs="Arial" w:eastAsia="Arial" w:hAnsi="Arial"/>
          <w:sz w:val="13"/>
          <w:szCs w:val="13"/>
          <w:color w:val="auto"/>
        </w:rPr>
      </w:pPr>
    </w:p>
    <w:p>
      <w:pPr>
        <w:ind w:left="520" w:right="8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132,030,222 ordinary shares issuable upon the conversion of (i) 30,000,000 series A-2 preferred shares and 10,905,125 series B preferred shares held by Mount Putuo Investment Limited, (ii) 25,740,026 series C preferred shares and 61,648,781 series D preferred shares held by Image Frame Investment (HK) Limited and (iii) 3,736,290 series D preferred shares held by TPP Follow-on I Holding D Limited, which are collectively referred to in this prospectus as Tencent entities. Mount Putuo Investment Limited is a company incorporated in British Virgin Islands, and Image Frame Investment (HK) Limited, a company incorporated in Hong Kong, and TPP Follow-on I Holding D Limited, a company incorporated in Cayman Islands. The sole member of Image Frame Investment (HK) Limited is Tencent Holdings Limited, a company listed on the Main Board of The Stock Exchange of Hong Kong Limited. The registered address of Mount Putuo Investment Limited is P.O. Box 957, Offshore Incorporations Centre, Road Town, Tortola, British Virgin Islands. The register address of Image Frame Investment (HK) Limited and TPP Follow-on I Holding D Limited is PO Box 309, Ugland House, Grand Cayman, KY1-1104, Cayman Islands. Upon the completion of this offering, these shares will be in the form of Class B ordinary shares.</w:t>
      </w:r>
    </w:p>
    <w:p>
      <w:pPr>
        <w:spacing w:after="0" w:line="2" w:lineRule="exact"/>
        <w:rPr>
          <w:rFonts w:ascii="Arial" w:cs="Arial" w:eastAsia="Arial" w:hAnsi="Arial"/>
          <w:sz w:val="14"/>
          <w:szCs w:val="14"/>
          <w:color w:val="auto"/>
        </w:rPr>
      </w:pPr>
    </w:p>
    <w:p>
      <w:pPr>
        <w:ind w:left="520" w:right="220" w:hanging="316"/>
        <w:spacing w:after="0" w:line="229"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65,368,424 ordinary shares issuable upon the conversion of (i) 50,000,000 series A-2 preferred shares and 3,635,042 series B preferred shares held by Hillhouse NEV Holdings Limited, (ii) 7,997,092 series B-21 preferred shares held by HH RSV-X Holdings Limited and (iii) 3,736,290 series D preferred shares held by HH DYU Holdings Limited. Hillhouse NEV Holdings Limited, HH RSV-X Holdings Limited and HH DYU Holdings Limited are collectively referred as Hillhouse entities. Hillhouse NEV Holdings Limited is wholly owned by Hillhouse Fund II, L.P. Hillhouse Capital Management, Ltd. acts as the sole management company of Hillhouse Fund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spacing w:after="0" w:line="291" w:lineRule="auto"/>
        <w:rPr>
          <w:sz w:val="20"/>
          <w:szCs w:val="20"/>
          <w:color w:val="auto"/>
        </w:rPr>
      </w:pPr>
      <w:r>
        <w:rPr>
          <w:rFonts w:ascii="Arial" w:cs="Arial" w:eastAsia="Arial" w:hAnsi="Arial"/>
          <w:sz w:val="13"/>
          <w:szCs w:val="13"/>
          <w:color w:val="auto"/>
        </w:rPr>
        <w:t>II, L.P., which is in turn ultimately controlled by Mr. Lei Zhang. The principal business address of Hillhouse NEV Holdings Limited is Citco B.V.I. Limited, Flemming House, Wickhams Cay, P.O. Box 662, Road Town, Tortola, British Virgin Islands. Upon the completion of this offering, these shares will be in the form of Class A ordinary shares.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date of this prospectus, 7,644,439 of our ordinary shares or preferred shares are held by record holders in the United States.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600"/>
          </w:cols>
          <w:pgMar w:left="240" w:top="460" w:right="10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 with our VIEs and their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“Management—Stock Incentive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 2018, we granted two interest free loans to NIO Capital, an entity affiliated with our founder Bin Li, with principal amount of US$5.0 million each. The loans mature in 6 months. One of the loans can be converted into ordinary shares of a subsidiary of NIO Capital upon maturity at our option. As of June 30, 2018, the loans amounting equivalent to RMB66.2 million were outstanding. One of the loans with principal amount of US$5.0 million has been fully repaid as of the date of this prospectus.</w:t>
      </w:r>
    </w:p>
    <w:p>
      <w:pPr>
        <w:spacing w:after="0" w:line="18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2017 and 2018, we received marketing and advertising services from Beijing Xinyi Hudong Guanggao Co., Ltd., Bite Shijie (Beijing) Keji Co., Ltd., or Bite, and Beijing Chehui Hudong Guanggao Co., Ltd. In 2017 and the six months ended June 30, 2018, we incurred RMB 15.6 million and RMB12.7 million, respectively. Beijing Chehui Hudong Guanggao Co., Ltd., Beijing Xinyi Hudong Guanggao Co., Ltd. and Bite are affiliates of ours.</w:t>
      </w:r>
    </w:p>
    <w:p>
      <w:pPr>
        <w:spacing w:after="0" w:line="14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In 2017 and 2018, we provided administrative support, design and research and development services to companies controlled by our principal shareholders, including Hubei Changjiang Nextev New Energy Investment Management Co., Ltd., Beijing CHJ Information Technology Co., Ltd., Hubei Changjiang Nextev New Energy Industry Development Capital Partnership (Limited Partnership), Jiangsu Xindian Automotive Co., Ltd. and Shanghai NIO Hongling Investment Management Co., Ltd. In 2017 and the six months ended June 30, 2018, we received total service income of RMB21.5 million and RMB0.9 million, respectively.</w:t>
      </w:r>
    </w:p>
    <w:p>
      <w:pPr>
        <w:spacing w:after="0" w:line="188"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In 2017 and the six months ended June 30, 2018, we paid a total of RMB18.3 million and RMB10.8 million, respectively, for the cost of manufacturing consignment to Suzhou Zenlead XPT New Energy Technologies Co., Ltd., or Suzhou Zenlead. Suzhou Zenlead is an affiliate of ours.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we paid a total of RMB3.0 million to Bite, for the purchase of property and equipment. Bite is an affiliate of ours.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2017, we granted interest-free loans to Ningbo Meishan Bonded Port Area Weilan Investment Co., Ltd., a company controlled by our principal shareholders. As of June 30, 2018, the loans were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we paid a total of RMB29.7 million on behalf of Baidu Capital L.P., a shareholder of the Company, to a third party.</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2016, we granted an interest-free, unsecured and payable on demand loan in the total amount of RMB1.7 million to Bin Li, our founder and chief executive officer. As of the date of this prospectus, the loan has been fully repaid.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an exempted company incorporated under the laws of the Cayman Islands and our affairs are governed by our amended &amp; restated memorandum and articles of association, the Companies Law (2018 Revision) of the Cayman Islands, which we refer to as the Companies Law below and the common law of the Cayman Islands.</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As of the date of this prospectus, our authorized share capital is US$500,000 divided into 2,000,000,000 shares, with a par value of US$0.00025 each, and (i) 1,151,269,325 are designated as ordinary shares, (ii) 165,000,000 are designated as Series A-1 preferred shares, (iii) 130,000,000 are designated as Series A-2 preferred shares, (iv) 31,720,364 are designated as Series A-3 preferred shares, (v) 114,867,321 are designated as Series B preferred shares, (vi) 167,142,990 are designated as Series C preferred shares, and (vii) 240,000,000 are designated as Series D preferred shares. As of the date of this prospectus, 44,631,528 ordinary shares and 821,378,518 preferred shares are issued and outstanding. All of our issued and outstanding ordinary and preferred shares are fully paid. Immediately upon the completion of this offering, there will be 1,026,010,046 ordinary shares outstanding, including a total of 745,479,824 Class A ordinary shares, 132,030,222 Class B ordinary shares and 148,500,000 Class C ordinary shares resulting from the automatic conversion of all of our outstanding ordinary shares from preferred shares, assuming the underwriters do not exercise the over-allotment option.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Post-Offering Amended and Restated Memorandum and Articles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the completion of this offering, our shareholders will conditionally adopted an amended and restated memorandum and articles of association, which will become effective and replace our current amended and restated memorandum and articles of association in its entirety immediately prior to the completion of this offering. The following are summaries of certain material provisions of the post-offering amended and restated memorandum and articles of association that will become effective immediately prior to completion of this offering, and of the Companies Law, insofar as they relate to the material terms of our ordinary shares.</w:t>
      </w:r>
    </w:p>
    <w:p>
      <w:pPr>
        <w:spacing w:after="0" w:line="188"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 of the Cayman Islands.</w:t>
      </w:r>
    </w:p>
    <w:p>
      <w:pPr>
        <w:spacing w:after="0" w:line="14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i w:val="1"/>
          <w:iCs w:val="1"/>
          <w:color w:val="auto"/>
        </w:rPr>
        <w:t>Ordinary Shares</w:t>
      </w:r>
      <w:r>
        <w:rPr>
          <w:rFonts w:ascii="Arial" w:cs="Arial" w:eastAsia="Arial" w:hAnsi="Arial"/>
          <w:sz w:val="17"/>
          <w:szCs w:val="17"/>
          <w:color w:val="auto"/>
        </w:rPr>
        <w:t>. Our ordinary shares are issued in registered form and are issued when registered in our register of members. We may not issue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bearer. Our shareholders who are nonresidents of the Cayman Islands may freely hold and vote their shares.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Class of ordinary shares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Holders of Class A ordinary shares, Class B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Each Class B ordinary share is convertible into one (1) Class A ordinary share at any time at the option of the holder thereof. Each Class C ordinary share is convertible into one (1) Class A ordinary share at any time at the option of the holder thereof. In no event shall Class A ordinary shares be convertible into Class B ordinary shares or Class C ordinary shares. Upon any sale, transfer, assignment or disposition of any Class B ordinary share or Class C ordinary share by a shareholder to any person who is not an affiliate of such shareholder, or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upon a change of ultimate beneficial ownership of any Class B ordinary share or Class C ordinary share to any person who is not an affiliate of the registered shareholder of such share, each such Class B ordinary share and Class C ordinary share, as applicable, shall be automatically and immediately converted into one (1) Class A ordinary share.</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ordinary shares are entitled to such dividends as may be declared by our board of directors. Subject to our post-offering amended memorandum and restated articles of association. In addition, our shareholders may by ordinary resolution declare a dividend, but no dividend may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Voting at any shareholders’ meeting is by show of hands unless a poll is demanded. Each Class A ordinary share shall entitle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post-offering amended and restated memorandum and articles of association. Holders of the ordinary shares may, among other things, divide or combine their shares by ordinary resolution.</w:t>
      </w:r>
    </w:p>
    <w:p>
      <w:pPr>
        <w:spacing w:after="0" w:line="18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General Meetings of Shareholders</w:t>
      </w:r>
      <w:r>
        <w:rPr>
          <w:rFonts w:ascii="Arial" w:cs="Arial" w:eastAsia="Arial" w:hAnsi="Arial"/>
          <w:sz w:val="17"/>
          <w:szCs w:val="17"/>
          <w:color w:val="auto"/>
        </w:rPr>
        <w:t>. As a Cayman Islands exempted company, we are not obliged by the Companies Law to call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general meetings. Our post-offering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Transfer of Ordinary Shares</w:t>
      </w:r>
      <w:r>
        <w:rPr>
          <w:rFonts w:ascii="Arial" w:cs="Arial" w:eastAsia="Arial" w:hAnsi="Arial"/>
          <w:sz w:val="18"/>
          <w:szCs w:val="18"/>
          <w:color w:val="auto"/>
        </w:rPr>
        <w:t>. Subject to the restrictions in our post-offering amended and restated memorandum and articles of association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 any of our shareholders may transfer all or any of his or her ordinary shares by an instrument of transfer in the usual or common form or any other form approved by our board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60" w:right="640" w:hanging="424"/>
        <w:spacing w:after="0" w:line="308"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153"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fee of such maximum sum as the New York Stock Exchange may determine to be payable or such lesser sum as our directors may from time to time require is paid to us in respect thereof.</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New York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jc w:val="both"/>
        <w:ind w:left="200" w:right="40" w:firstLine="441"/>
        <w:spacing w:after="0" w:line="297"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Redemption, Repurchase and Surrender of Shares. </w:t>
      </w:r>
      <w:r>
        <w:rPr>
          <w:rFonts w:ascii="Arial" w:cs="Arial" w:eastAsia="Arial" w:hAnsi="Arial"/>
          <w:sz w:val="17"/>
          <w:szCs w:val="17"/>
          <w:color w:val="auto"/>
        </w:rPr>
        <w:t>We may issue shares on terms that such shares are subject to redemption, at our option or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If at any time, our share capital is divided into different classes or series of shares, the rights attached to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or series of shares (unless otherwise provided by the terms of issue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 xml:space="preserve">shares of that class or series), whether or not our company is being wound-up, may be varied with the consent in writing of holders of not less than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such existing class of shares.</w:t>
      </w:r>
    </w:p>
    <w:p>
      <w:pPr>
        <w:spacing w:after="0" w:line="154"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i w:val="1"/>
          <w:iCs w:val="1"/>
          <w:color w:val="auto"/>
        </w:rPr>
        <w:t>Issuance of Additional Shares</w:t>
      </w:r>
      <w:r>
        <w:rPr>
          <w:rFonts w:ascii="Arial" w:cs="Arial" w:eastAsia="Arial" w:hAnsi="Arial"/>
          <w:sz w:val="16"/>
          <w:szCs w:val="16"/>
          <w:color w:val="auto"/>
        </w:rPr>
        <w:t>. Our post-offering amended and restated memorandum of association authorizes our board of directors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24"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29"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i w:val="1"/>
          <w:iCs w:val="1"/>
          <w:color w:val="auto"/>
        </w:rPr>
        <w:t>Anti-Takeover Provisions</w:t>
      </w:r>
      <w:r>
        <w:rPr>
          <w:rFonts w:ascii="Arial" w:cs="Arial" w:eastAsia="Arial" w:hAnsi="Arial"/>
          <w:sz w:val="16"/>
          <w:szCs w:val="16"/>
          <w:color w:val="auto"/>
        </w:rPr>
        <w:t>. Some provisions of our post-offering amended and restated memorandum and articles of association may discourage,</w:t>
      </w:r>
      <w:r>
        <w:rPr>
          <w:rFonts w:ascii="Arial" w:cs="Arial" w:eastAsia="Arial" w:hAnsi="Arial"/>
          <w:sz w:val="16"/>
          <w:szCs w:val="16"/>
          <w:i w:val="1"/>
          <w:iCs w:val="1"/>
          <w:color w:val="auto"/>
        </w:rPr>
        <w:t xml:space="preserve"> </w:t>
      </w:r>
      <w:r>
        <w:rPr>
          <w:rFonts w:ascii="Arial" w:cs="Arial" w:eastAsia="Arial" w:hAnsi="Arial"/>
          <w:sz w:val="16"/>
          <w:szCs w:val="16"/>
          <w:color w:val="auto"/>
        </w:rPr>
        <w:t>delay or prevent a change of control of our company or management that shareholders may consider favorable, including provisions that:</w:t>
      </w:r>
    </w:p>
    <w:p>
      <w:pPr>
        <w:spacing w:after="0" w:line="29" w:lineRule="exact"/>
        <w:rPr>
          <w:sz w:val="20"/>
          <w:szCs w:val="20"/>
          <w:color w:val="auto"/>
        </w:rPr>
      </w:pPr>
    </w:p>
    <w:p>
      <w:pPr>
        <w:ind w:left="106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Exempted Company</w:t>
      </w:r>
      <w:r>
        <w:rPr>
          <w:rFonts w:ascii="Arial" w:cs="Arial" w:eastAsia="Arial" w:hAnsi="Arial"/>
          <w:sz w:val="18"/>
          <w:szCs w:val="18"/>
          <w:color w:val="auto"/>
        </w:rPr>
        <w:t>. 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 of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8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200" w:right="160" w:firstLine="4"/>
        <w:spacing w:after="0" w:line="271" w:lineRule="auto"/>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 the dissenting shareholder complies strictly with the procedures set out in the Companies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Law.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as a general rule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4"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Indemnification of Directors and Executive Officers and Limitation of Liability</w:t>
      </w:r>
      <w:r>
        <w:rPr>
          <w:rFonts w:ascii="Arial" w:cs="Arial" w:eastAsia="Arial" w:hAnsi="Arial"/>
          <w:sz w:val="18"/>
          <w:szCs w:val="18"/>
          <w:color w:val="auto"/>
        </w:rPr>
        <w:t>. The Companies law does not limit the extent to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memorandum and articles of association may provide for indemnification of officers and directors, except to the extent any such provision may be held by the Cayman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i w:val="1"/>
          <w:iCs w:val="1"/>
          <w:color w:val="auto"/>
        </w:rPr>
        <w:t>Directors’ Fiduciary Duties</w:t>
      </w:r>
      <w:r>
        <w:rPr>
          <w:rFonts w:ascii="Arial" w:cs="Arial" w:eastAsia="Arial" w:hAnsi="Arial"/>
          <w:sz w:val="16"/>
          <w:szCs w:val="16"/>
          <w:color w:val="auto"/>
        </w:rPr>
        <w:t>. 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i w:val="1"/>
          <w:iCs w:val="1"/>
          <w:color w:val="auto"/>
        </w:rPr>
        <w:t>Shareholder Action by Written Consent</w:t>
      </w:r>
      <w:r>
        <w:rPr>
          <w:rFonts w:ascii="Arial" w:cs="Arial" w:eastAsia="Arial" w:hAnsi="Arial"/>
          <w:sz w:val="17"/>
          <w:szCs w:val="17"/>
          <w:color w:val="auto"/>
        </w:rPr>
        <w:t>. Under the Delaware General Corporation Law, a corporation may eliminate the right of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act by written consent by amendment to its certificate of incorporation. Cayman Islands law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i w:val="1"/>
          <w:iCs w:val="1"/>
          <w:color w:val="auto"/>
        </w:rPr>
        <w:t>Shareholder Proposals</w:t>
      </w:r>
      <w:r>
        <w:rPr>
          <w:rFonts w:ascii="Arial" w:cs="Arial" w:eastAsia="Arial" w:hAnsi="Arial"/>
          <w:sz w:val="16"/>
          <w:szCs w:val="16"/>
          <w:color w:val="auto"/>
        </w:rPr>
        <w:t>. Under the Delaware General Corporation Law, a shareholder has the right to put any proposal before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 Cayman Islands exempted company, we are not obliged by law to call shareholders’ annual general meetings.</w:t>
      </w:r>
    </w:p>
    <w:p>
      <w:pPr>
        <w:spacing w:after="0" w:line="17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Cumulative Voting</w:t>
      </w:r>
      <w:r>
        <w:rPr>
          <w:rFonts w:ascii="Arial" w:cs="Arial" w:eastAsia="Arial" w:hAnsi="Arial"/>
          <w:sz w:val="17"/>
          <w:szCs w:val="17"/>
          <w:color w:val="auto"/>
        </w:rPr>
        <w:t>. Under the Delaware General Corporation Law, cumulative voting for elections of directors is not permitted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Transactions with Interested Shareholders</w:t>
      </w:r>
      <w:r>
        <w:rPr>
          <w:rFonts w:ascii="Arial" w:cs="Arial" w:eastAsia="Arial" w:hAnsi="Arial"/>
          <w:sz w:val="17"/>
          <w:szCs w:val="17"/>
          <w:color w:val="auto"/>
        </w:rPr>
        <w:t>. 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i w:val="1"/>
          <w:iCs w:val="1"/>
          <w:color w:val="auto"/>
        </w:rPr>
        <w:t>Dissolution; Winding up</w:t>
      </w:r>
      <w:r>
        <w:rPr>
          <w:rFonts w:ascii="Arial" w:cs="Arial" w:eastAsia="Arial" w:hAnsi="Arial"/>
          <w:sz w:val="18"/>
          <w:szCs w:val="18"/>
          <w:color w:val="auto"/>
        </w:rPr>
        <w:t>. Under the Delaware General Corporation Law, unless the board of directors approves the proposal to dissolve,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must be approved by shareholders holding 100% of the total voting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Variation of Rights of Shares</w:t>
      </w:r>
      <w:r>
        <w:rPr>
          <w:rFonts w:ascii="Arial" w:cs="Arial" w:eastAsia="Arial" w:hAnsi="Arial"/>
          <w:sz w:val="17"/>
          <w:szCs w:val="17"/>
          <w:color w:val="auto"/>
        </w:rPr>
        <w:t>. Under the Delaware General Corporation Law, a corporation may vary the rights of a class of shares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not less than two-thirds of the issued shares of that class or with the sanction of a special resolution passed at a general meeting of the holders of the shares of that class.</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Amendment of Governing Documents</w:t>
      </w:r>
      <w:r>
        <w:rPr>
          <w:rFonts w:ascii="Arial" w:cs="Arial" w:eastAsia="Arial" w:hAnsi="Arial"/>
          <w:sz w:val="18"/>
          <w:szCs w:val="18"/>
          <w:color w:val="auto"/>
        </w:rPr>
        <w:t>. 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Rights of Non-resident or Foreign Shareholders</w:t>
      </w:r>
      <w:r>
        <w:rPr>
          <w:rFonts w:ascii="Arial" w:cs="Arial" w:eastAsia="Arial" w:hAnsi="Arial"/>
          <w:sz w:val="18"/>
          <w:szCs w:val="18"/>
          <w:color w:val="auto"/>
        </w:rPr>
        <w:t>. There are no limitations imposed by our post-offering amended and restated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On January 6, 2015, one ordinary share was transferred from the subscriber to Originalwish Limited for nominal consideration. On the same day, we issued an aggregate of 199,999,999 ordinary shares for aggregate consideration of US$50,000.0 to Originalwish Limited and Prime Hubs Limited.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15, 2015, we repurchased 150,000,000 ordinary shares for consideration of US$37,500.0 from Originalwish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18, 2015, we re-designated 50,000,000 shares issued to Prime Hubs Limited as ordinary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24, 2015, we repurchased 23,099,999 ordinary shares for consideration of US$5,850,000.0 from Prime Hubs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August 1, 2018, we issued 1,541,667 ordinary shares to Prime Hubs Limited for nil consideration.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On March 18, 2015, we issued an aggregate of 150,000,000 series A-1 preferred shares for aggregate consideration of US$150,000,000.0 to Originalwish Limited. On the same day, we issued an aggregate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80,000,000 series A-2 preferred shares for aggregate consideration of US$80,000,000.0 to Hillhouse NEV Holdings Limited, Shunwei TMT II Limited and Shunwei Growth II Limited.</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On May 6, 2015, we issued an aggregate of 15,000,000 series A-1 preferred shares for aggregate consideration of US$15,000,000.0 to Energy Lee Limited and 30,000,000 series A-2 preferred shares for consideration of US$30,000,000.0 to Mount Putuo Investment Limited.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23, 2015, we issued 20,000,000 series A-2 preferred shares for consideration of US$20,000,000.0 to Smart Group Global Limited.</w:t>
      </w:r>
    </w:p>
    <w:p>
      <w:pPr>
        <w:spacing w:after="0" w:line="23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September 12, 2015, we issued an aggregate of 24,210,431 series A-3 preferred shares for aggregate consideration of US$40,000,000.0 to Sequoia Capital China GF Holdco III-A, Ltd. and Joy Capital I, L.P..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10, 2016, we issued 7,509,933 series A-3 preferred shares for consideration of US$12,407,911.3 to Padmasree Warrior.</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 July 21, 2016, we issued an aggregate of 96,692,112 series B preferred shares for aggregate consideration of US$261,000,000.0 to Anderson Investments Pte. Ltd., Hillhouse NEV Holdings Limited, Shunwei TMT II Limited, Shunwei Growth II Limited, Mount Putuo Investment Limited, SCC Growth IV Holdco A, Ltd., Joy Capital I, L.P., Bluestone Company Limited, Magic Stone Alternative Private Equity Fund, L.P., TPG Growth III SF Pte. Ltd., Ultimate Lenovo Limited, Renaissance Era International Private Equity Fund I L.P., Palace Investments Pte. Ltd. and Grandfield Investment Ltd.</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August 19, 2016, we issued an aggregate of 1,817,521 series B preferred shares for aggregate consideration of US$5,000,000.0 to IDG China Venture Capital Fund IV L.P. and IDG China IV Investors L.P.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30, 2016, we issued 5,452,563 series B preferred shares for consideration of US$15,000,000.0 to Bright Sky II, L.P.</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On February 8, 2017, we issued 2,908,033 series B preferred shares for consideration of US$8,000,000.0 to ORIENT HONTAI LIMITED. On the same day, we forfeited 1,817,521 series B preferred shares from Renaissance Era International Private Equity Fund I L.P.</w:t>
      </w:r>
    </w:p>
    <w:p>
      <w:pPr>
        <w:spacing w:after="0" w:line="14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February 9, 2017, we issued an aggregate of 9,814,613 series B preferred shares for aggregate consideration of US$27,000,000.0 to LONG WINNER INVESTMENT LIMITED and HH RSV-X Holdings Limited.</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On March 24, 2017, we issued an aggregate of 114,650,712 series C preferred shares for aggregate consideration of US$441,777,369.2 to Baidu Capital L.P., WEST CITY ASIA LIMITED, Haitong International Investment Holdings Limited, Haixia NEV International Limited Partnership, New Margin Capital Hong Kong Co., Limited, Palace Investments Pte. Ltd., Image Frame Investment (HK) Limited, Total Prestige Investment Limited, Zhide EV Investment Limited, Bright Sky II, L.P., TPG Growth III SF Pte. Ltd., Bluestone Company Limited, CEG Smart Travel Co, Limited, IDG China Venture Capital Fund IV L.P. IDG China IV Investors L.P., CYBER TYCOON LIMITED, Honor Best International Limited and Tanzanite Gem Holdings Limited.</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May 3, 2017, we issued an aggregate of 26,739,253 series C preferred shares for aggregate consideration of US$103,882,000.0 to Anderson Investments Pte. Ltd., Ultimate Lenovo Limited, CYBER TYCOON LIMITED, Honor Best International Limited, CHAMPION ELITE GLOBAL LIMITED, CHINA INDUSTRIAL INTERNATIONAL TRUST ASSET MANAGEMENT COMPANY LIMITED, HF Holdings Limited and Tea Leaf Limited.</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July 6, 2017, we issued an aggregate of 24,466,024 series C preferred shares for aggregate consideration of US$95,050,500.0 to Tea Leaf Limited, BLISSFUL DAYS HOLDINGS LIMITED, Guangfa Xinde Capital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Management Limited, Bluefuture Fund L.P., UBS AG, London Branch, KEEN EAGLE CAPITAL INVESTMENT LIMITED and China Oceanwide International Asset Management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July 20, 2017, we issued 1,287,001 series C preferred shares for consideration of US$5,000,000.0 to CMFHK Fortune 100 SPC.</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November 10, 2017, we issued an aggregate of 196,211,257 series D preferred shares for aggregate consideration of US$1,050,300,000.0 to Image Frame Investment (HK) Limited, MORESPARK LIMITED, LEAP PROSPECT LIMITED, Serenity WL Holdings Ltd, SCOTTISH MORTGAGE INVESTMENT TRUST PLC, PACIFIC HORIZON INVESTMENT TRUST PLC, Myriad Opportunities Master Fund Limited, LONE SPRUCE, L.P., Lone Cypress, LTD., ULTRA RESULT HOLDINGS LIMITED, AL NAHDHA INVESTMENT LLC, Al Beed Group, Oldbridge Invest L.L.C., AC Limited, BEST CASTLE LIMITED, HUBEI SCIENCE &amp; TECHNOLOGY INVESTMENT GROUP (HONG KONG) COMPANY LIMITED, WP NIO Investment Partnership, LP, Lezmenia Assets Limited, LAPATHIA HOLDINGS LIMITED, PV Vision Limited, Silver Ridge Fund I Limited Partnership, The Mabel Chan 2012 Family Trust, Magic Stone Special Opportunity Fund IV L.P., Mega Treasure Investment Limited, Tanzanite Gem Holdings Limited, SCC Growth IV Holdco A, Ltd., Joy Next Investment Management Limited, Anderson Investments Pte. Ltd., HH DYU Holdings Limited, TPG Growth III SF Pte. Ltd., Bluestone Company Limited, Bright Sky II, L.P, Diamond Division Limited, WEST CITY ASIA LIMITED, Haixia NEV International Limited Partnership, Palace Investments Pte. Ltd. and KEEN EAGLE CAPITAL INVESTMENT LIMITED.</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On November 24, 2017, we issued an aggregate of 11,769,312 series D preferred shares for aggregate consideration of US$63,000,000.0 to Caitong Funds SPC – New Technology Fund Segregated Portfolio, CICC Ehealthcare Investment Limited, CapThrone Investment Limited Partnership and HCM VI Limited.</w:t>
      </w:r>
    </w:p>
    <w:p>
      <w:pPr>
        <w:spacing w:after="0" w:line="181" w:lineRule="exact"/>
        <w:rPr>
          <w:sz w:val="20"/>
          <w:szCs w:val="20"/>
          <w:color w:val="auto"/>
        </w:rPr>
      </w:pPr>
    </w:p>
    <w:p>
      <w:pPr>
        <w:ind w:left="200" w:right="1320" w:firstLine="441"/>
        <w:spacing w:after="0" w:line="277" w:lineRule="auto"/>
        <w:rPr>
          <w:sz w:val="20"/>
          <w:szCs w:val="20"/>
          <w:color w:val="auto"/>
        </w:rPr>
      </w:pPr>
      <w:r>
        <w:rPr>
          <w:rFonts w:ascii="Arial" w:cs="Arial" w:eastAsia="Arial" w:hAnsi="Arial"/>
          <w:sz w:val="18"/>
          <w:szCs w:val="18"/>
          <w:color w:val="auto"/>
        </w:rPr>
        <w:t>On December 1, 2017, we issued 4,670,362 series D preferred shares for a consideration of US$25,000,000.0 to STAR AZURE INTERNATIONAL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15, 2017, we issued 934,072 series D preferred shares for consideration of US$5,000,000.0 to Oceanwide Sigma Limited.</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24, 2018, we forfeited 937,160 series C preferred shares from CEG Smart Travel Co., Limited.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Option and Restricted Share Grants</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granted options, restricted shares and other awards to purchase our ordinary shares to certain of our directors, executive officers, employees and consultants. See “Management—Stock Incentive Plans.”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Shareholders Agreement and Right of First Refusal and Co-Sale Agreement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entered into a shareholders agreement and a right of first refusal and co-sale agreement on November 10, 2017 with our shareholders, which consist of holders of ordinary shares and preferred shares.</w:t>
      </w:r>
    </w:p>
    <w:p>
      <w:pPr>
        <w:spacing w:after="0" w:line="17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The shareholders agreement and right of first refusal and co-sale agreement provide for certain special rights, including right of first refusal, co-sale rights, preemptive rights and contain provision governing board of directors and other corporate governance matters. Those special rights, as well as the corporate governance provisions, will automatically terminate upon the completion of this offering.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our shareholders agreement dated November 10, 2017, we have granted certain registration rights to our shareholders. Set forth below is a description of the registration rights granted under the agreement.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60"/>
          </w:cols>
          <w:pgMar w:left="240" w:top="460"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Holders holding 10% or more of the voting power of the then outstanding registrable securities held by all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are entitled to request in writing that we effect a registration statement for any or all of registrable securities of the initiating holders. We have the right to defer filing of a registration statement for a period of not more than 90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6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Registration on Form F-3 or Form S-3. </w:t>
      </w:r>
      <w:r>
        <w:rPr>
          <w:rFonts w:ascii="Arial" w:cs="Arial" w:eastAsia="Arial" w:hAnsi="Arial"/>
          <w:sz w:val="18"/>
          <w:szCs w:val="18"/>
          <w:color w:val="auto"/>
        </w:rPr>
        <w:t>Any holder is entitled to request us to file a registration statement on Form F-3 or Form S-3 if we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for registration on Form F-3 or Form S-3. The holders are entitled to an unlimited number of registrations on Form F-3 or Form S-3 so long as such registration offerings are in excess of US$5,000,000. We have the right to defer filing of a registration statement for a period of not more than 60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9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If we propose to register for our own account any of our equity securities, or for the account of any holder,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78"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Expenses of Registration. </w:t>
      </w:r>
      <w:r>
        <w:rPr>
          <w:rFonts w:ascii="Arial" w:cs="Arial" w:eastAsia="Arial" w:hAnsi="Arial"/>
          <w:sz w:val="17"/>
          <w:szCs w:val="17"/>
          <w:color w:val="auto"/>
        </w:rPr>
        <w:t>We will bear all registration expenses, other than the underwriting discounts and selling commissions applicable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registrable securities, incurred in connection with registrations, filings or qualification pursuant to the shareholders agreement.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Termination of Obligations. </w:t>
      </w:r>
      <w:r>
        <w:rPr>
          <w:rFonts w:ascii="Arial" w:cs="Arial" w:eastAsia="Arial" w:hAnsi="Arial"/>
          <w:sz w:val="17"/>
          <w:szCs w:val="17"/>
          <w:color w:val="auto"/>
        </w:rPr>
        <w:t>We have no obligation to effect any demand, piggyback or Form F-3 or Form S-3 registration upon the earlier of</w:t>
      </w:r>
    </w:p>
    <w:p>
      <w:pPr>
        <w:spacing w:after="0" w:line="35" w:lineRule="exact"/>
        <w:rPr>
          <w:sz w:val="20"/>
          <w:szCs w:val="20"/>
          <w:color w:val="auto"/>
        </w:rPr>
      </w:pPr>
    </w:p>
    <w:p>
      <w:pPr>
        <w:ind w:left="200" w:right="260" w:firstLine="4"/>
        <w:spacing w:after="0" w:line="323" w:lineRule="auto"/>
        <w:tabs>
          <w:tab w:leader="none" w:pos="4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tenth anniversary from the date of closing of a Qualified IPO as defined in the shareholders agreement, and (ii) with respect to any holder, the date on which such holder may sell without registration, all of such holder’ registrable securities Rule 144 of the Securities Act in any 90-day period.</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Deutsche Bank Trust Company Americas, as depositary, will register and deliver the ADSs. Each ADS will represent ownership of 160,000,000 Class A ordinary shares, deposited with Deutsche Bank AG, Hong Kong Branch, as custodian for the depositary, assuming the underwriters do not exercise their over-allotment option.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the ADSs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52" w:lineRule="exact"/>
        <w:rPr>
          <w:sz w:val="20"/>
          <w:szCs w:val="20"/>
          <w:color w:val="auto"/>
        </w:rPr>
      </w:pPr>
    </w:p>
    <w:p>
      <w:pPr>
        <w:ind w:left="1060" w:hanging="424"/>
        <w:spacing w:after="0" w:line="259"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convert or cause to be converted any cash dividend or other cash distribution we pay on the ordinary shares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6" w:lineRule="auto"/>
        <w:rPr>
          <w:sz w:val="20"/>
          <w:szCs w:val="20"/>
          <w:color w:val="auto"/>
        </w:rPr>
      </w:pPr>
      <w:r>
        <w:rPr>
          <w:rFonts w:ascii="Arial" w:cs="Arial" w:eastAsia="Arial" w:hAnsi="Arial"/>
          <w:sz w:val="17"/>
          <w:szCs w:val="17"/>
          <w:color w:val="auto"/>
        </w:rPr>
        <w:t>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78" w:lineRule="exact"/>
        <w:rPr>
          <w:sz w:val="20"/>
          <w:szCs w:val="20"/>
          <w:color w:val="auto"/>
        </w:rPr>
      </w:pPr>
    </w:p>
    <w:p>
      <w:pPr>
        <w:ind w:left="1060" w:right="80" w:hanging="424"/>
        <w:spacing w:after="0" w:line="259"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 lose some or all</w:t>
      </w:r>
      <w:r>
        <w:rPr>
          <w:rFonts w:ascii="Arial" w:cs="Arial" w:eastAsia="Arial" w:hAnsi="Arial"/>
          <w:sz w:val="18"/>
          <w:szCs w:val="18"/>
          <w:color w:val="auto"/>
        </w:rPr>
        <w:t xml:space="preserve"> </w:t>
      </w:r>
      <w:r>
        <w:rPr>
          <w:rFonts w:ascii="Arial" w:cs="Arial" w:eastAsia="Arial" w:hAnsi="Arial"/>
          <w:sz w:val="18"/>
          <w:szCs w:val="18"/>
          <w:i w:val="1"/>
          <w:iCs w:val="1"/>
          <w:color w:val="auto"/>
        </w:rPr>
        <w:t>of the value of the distribution.</w:t>
      </w:r>
    </w:p>
    <w:p>
      <w:pPr>
        <w:spacing w:after="0" w:line="92" w:lineRule="exact"/>
        <w:rPr>
          <w:rFonts w:ascii="Arial" w:cs="Arial" w:eastAsia="Arial" w:hAnsi="Arial"/>
          <w:sz w:val="18"/>
          <w:szCs w:val="18"/>
          <w:color w:val="auto"/>
        </w:rPr>
      </w:pPr>
    </w:p>
    <w:p>
      <w:pPr>
        <w:ind w:left="1060" w:hanging="424"/>
        <w:spacing w:after="0" w:line="27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For any ordinary shares we distribute as a dividend or free distribution, either (1) the depositary will distribute additional ADSs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83" w:lineRule="exact"/>
        <w:rPr>
          <w:rFonts w:ascii="Arial" w:cs="Arial" w:eastAsia="Arial" w:hAnsi="Arial"/>
          <w:sz w:val="17"/>
          <w:szCs w:val="17"/>
          <w:color w:val="auto"/>
        </w:rPr>
      </w:pPr>
    </w:p>
    <w:p>
      <w:pPr>
        <w:ind w:left="1060" w:right="100" w:hanging="424"/>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Elective Distributions in Cash or Shares. </w:t>
      </w:r>
      <w:r>
        <w:rPr>
          <w:rFonts w:ascii="Arial" w:cs="Arial" w:eastAsia="Arial" w:hAnsi="Arial"/>
          <w:sz w:val="17"/>
          <w:szCs w:val="17"/>
          <w:color w:val="auto"/>
        </w:rPr>
        <w:t>If we offer holders of our ordinary shares the option to receive dividends in either cash or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83" w:lineRule="exact"/>
        <w:rPr>
          <w:rFonts w:ascii="Arial" w:cs="Arial" w:eastAsia="Arial" w:hAnsi="Arial"/>
          <w:sz w:val="17"/>
          <w:szCs w:val="17"/>
          <w:color w:val="auto"/>
        </w:rPr>
      </w:pPr>
    </w:p>
    <w:p>
      <w:pPr>
        <w:ind w:left="1060" w:right="20" w:hanging="424"/>
        <w:spacing w:after="0" w:line="271"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Rights to Purchase Additional Shares. </w:t>
      </w:r>
      <w:r>
        <w:rPr>
          <w:rFonts w:ascii="Arial" w:cs="Arial" w:eastAsia="Arial" w:hAnsi="Arial"/>
          <w:sz w:val="17"/>
          <w:szCs w:val="17"/>
          <w:color w:val="auto"/>
        </w:rPr>
        <w:t>If we offer holders of our ordinary shares any rights to subscribe for additional shares,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70" w:lineRule="exact"/>
        <w:rPr>
          <w:rFonts w:ascii="Arial" w:cs="Arial" w:eastAsia="Arial" w:hAnsi="Arial"/>
          <w:sz w:val="17"/>
          <w:szCs w:val="17"/>
          <w:color w:val="auto"/>
        </w:rPr>
      </w:pPr>
    </w:p>
    <w:p>
      <w:pPr>
        <w:ind w:left="1080" w:right="220"/>
        <w:spacing w:after="0" w:line="259" w:lineRule="auto"/>
        <w:rPr>
          <w:rFonts w:ascii="Arial" w:cs="Arial" w:eastAsia="Arial" w:hAnsi="Arial"/>
          <w:sz w:val="17"/>
          <w:szCs w:val="17"/>
          <w:color w:val="auto"/>
        </w:rPr>
      </w:pPr>
      <w:r>
        <w:rPr>
          <w:rFonts w:ascii="Arial" w:cs="Arial" w:eastAsia="Arial" w:hAnsi="Arial"/>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312"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39"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There can be no assurance that you will be given the opportunity to exercise rights on the same terms and conditions as the holders of ordinary shares or be able to exercise such rights.</w:t>
      </w:r>
    </w:p>
    <w:p>
      <w:pPr>
        <w:spacing w:after="0" w:line="76" w:lineRule="exact"/>
        <w:rPr>
          <w:sz w:val="20"/>
          <w:szCs w:val="20"/>
          <w:color w:val="auto"/>
        </w:rPr>
      </w:pPr>
    </w:p>
    <w:p>
      <w:pPr>
        <w:ind w:left="1060" w:right="60" w:hanging="424"/>
        <w:spacing w:after="0" w:line="290"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Subject to receipt of timely notice, as described in the deposit agreement, from us with the request to make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66"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Except for ordinary shares deposited by us in connection with this offering, no shares will be accepted for deposit during a period of 180 days after the date of this prospectus. The 180 day lock up period is subject to adjustment under certain circumstances as described in the section entitled “Shares Eligible for Future Sales—Lock-up Agreements.”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187"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9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4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Regulations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Requests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Disclosure of Interests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8"/>
              </w:rPr>
              <w:t>Service</w:t>
            </w:r>
          </w:p>
        </w:tc>
        <w:tc>
          <w:tcPr>
            <w:tcW w:w="5300" w:type="dxa"/>
            <w:vAlign w:val="bottom"/>
          </w:tcPr>
          <w:p>
            <w:pPr>
              <w:spacing w:after="0"/>
              <w:rPr>
                <w:sz w:val="14"/>
                <w:szCs w:val="14"/>
                <w:color w:val="auto"/>
              </w:rPr>
            </w:pPr>
          </w:p>
        </w:tc>
        <w:tc>
          <w:tcPr>
            <w:tcW w:w="4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to US$0.05 per ADS issued</w:t>
            </w: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8"/>
              </w:rPr>
              <w:t>To any person to which ADSs are issued or to any person to which a</w:t>
            </w:r>
          </w:p>
        </w:tc>
        <w:tc>
          <w:tcPr>
            <w:tcW w:w="100" w:type="dxa"/>
            <w:vAlign w:val="bottom"/>
            <w:vMerge w:val="continue"/>
          </w:tcPr>
          <w:p>
            <w:pPr>
              <w:spacing w:after="0"/>
              <w:rPr>
                <w:sz w:val="16"/>
                <w:szCs w:val="16"/>
                <w:color w:val="auto"/>
              </w:rPr>
            </w:pPr>
          </w:p>
        </w:tc>
        <w:tc>
          <w:tcPr>
            <w:tcW w:w="280" w:type="dxa"/>
            <w:vAlign w:val="bottom"/>
          </w:tcPr>
          <w:p>
            <w:pPr>
              <w:spacing w:after="0" w:line="195" w:lineRule="exact"/>
              <w:rPr>
                <w:sz w:val="20"/>
                <w:szCs w:val="20"/>
                <w:color w:val="auto"/>
              </w:rPr>
            </w:pPr>
            <w:r>
              <w:rPr>
                <w:rFonts w:ascii="Arial" w:cs="Arial" w:eastAsia="Arial" w:hAnsi="Arial"/>
                <w:sz w:val="18"/>
                <w:szCs w:val="18"/>
                <w:color w:val="auto"/>
              </w:rPr>
              <w:t>Up</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9"/>
              </w:rPr>
              <w:t>distribution is made in respect of ADS distributions pursuant to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6"/>
              </w:rPr>
              <w:t>dividends or other free distributions of stock, bonus distributions,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splits or other distributions (except where converted to cash)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7"/>
              </w:rPr>
              <w:t>Cancellation of ADSs, including the case of termination of the deposit</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cancelled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cash dividends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3"/>
              </w:rPr>
              <w:t>Distribution of cash entitlements (other than cash dividends) and/or cash</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ADSs pursuant to exercise of rights.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securities other than ADSs or rights to purchase</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additional ADSs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Depositary services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w w:val="90"/>
              </w:rPr>
              <w:t>Up to US$0.05 per ADS held on the applicable record date(s)</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established by the depositary bank</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5560" w:type="dxa"/>
            <w:vAlign w:val="bottom"/>
            <w:gridSpan w:val="2"/>
          </w:tcPr>
          <w:p>
            <w:pPr>
              <w:ind w:left="51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20" w:firstLine="441"/>
        <w:spacing w:after="0" w:line="264"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7" w:lineRule="exact"/>
        <w:rPr>
          <w:sz w:val="20"/>
          <w:szCs w:val="20"/>
          <w:color w:val="auto"/>
        </w:rPr>
      </w:pPr>
    </w:p>
    <w:p>
      <w:pPr>
        <w:ind w:left="1060" w:right="4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Cayman Islands (i.e., upon deposit and withdrawal of ordinary shares).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8"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560" w:firstLine="441"/>
        <w:spacing w:after="0" w:line="302" w:lineRule="auto"/>
        <w:rPr>
          <w:sz w:val="20"/>
          <w:szCs w:val="20"/>
          <w:color w:val="auto"/>
        </w:rPr>
      </w:pPr>
      <w:r>
        <w:rPr>
          <w:rFonts w:ascii="Arial" w:cs="Arial" w:eastAsia="Arial" w:hAnsi="Arial"/>
          <w:sz w:val="16"/>
          <w:szCs w:val="16"/>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1200"/>
          </w:cols>
          <w:pgMar w:left="240" w:top="460" w:right="45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If we: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the nominal or par value of our ordinary shares</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Reclassify, split up or consolidate any of the deposited securities</w:t>
      </w:r>
    </w:p>
    <w:p>
      <w:pPr>
        <w:spacing w:after="0" w:line="33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Then:</w:t>
      </w:r>
    </w:p>
    <w:p>
      <w:pPr>
        <w:spacing w:after="0" w:line="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051" w:lineRule="exact"/>
        <w:rPr>
          <w:sz w:val="20"/>
          <w:szCs w:val="20"/>
          <w:color w:val="auto"/>
        </w:rPr>
      </w:pPr>
    </w:p>
    <w:p>
      <w:pPr>
        <w:sectPr>
          <w:pgSz w:w="11900" w:h="16838" w:orient="portrait"/>
          <w:cols w:equalWidth="0" w:num="2">
            <w:col w:w="5700" w:space="360"/>
            <w:col w:w="5140"/>
          </w:cols>
          <w:pgMar w:left="240" w:top="460" w:right="459" w:bottom="1440" w:gutter="0" w:footer="0" w:header="0"/>
          <w:type w:val="continuous"/>
        </w:sectPr>
      </w:pPr>
    </w:p>
    <w:p>
      <w:pPr>
        <w:ind w:left="200" w:right="140" w:firstLine="441"/>
        <w:spacing w:after="0" w:line="290" w:lineRule="auto"/>
        <w:rPr>
          <w:sz w:val="20"/>
          <w:szCs w:val="20"/>
          <w:color w:val="auto"/>
        </w:rPr>
      </w:pPr>
      <w:r>
        <w:rPr>
          <w:rFonts w:ascii="Arial" w:cs="Arial" w:eastAsia="Arial" w:hAnsi="Arial"/>
          <w:sz w:val="16"/>
          <w:szCs w:val="16"/>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60" w:right="45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 xml:space="preserve">on the sale, as well as any other cash it is holding under the deposit agreement,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and the Custodian; Limits on Liability to Holders of ADSs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76"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are only obligated to take the actions specifically set forth in the deposit agreement without gross negligence or willful misconduct;</w:t>
      </w:r>
    </w:p>
    <w:p>
      <w:pPr>
        <w:spacing w:after="0" w:line="142" w:lineRule="exact"/>
        <w:rPr>
          <w:rFonts w:ascii="Arial" w:cs="Arial" w:eastAsia="Arial" w:hAnsi="Arial"/>
          <w:sz w:val="17"/>
          <w:szCs w:val="17"/>
          <w:color w:val="auto"/>
        </w:rPr>
      </w:pPr>
    </w:p>
    <w:p>
      <w:pPr>
        <w:ind w:left="1060" w:right="60" w:hanging="424"/>
        <w:spacing w:after="0" w:line="25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97"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75"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75" w:lineRule="exact"/>
        <w:rPr>
          <w:rFonts w:ascii="Arial" w:cs="Arial" w:eastAsia="Arial" w:hAnsi="Arial"/>
          <w:sz w:val="18"/>
          <w:szCs w:val="18"/>
          <w:color w:val="auto"/>
        </w:rPr>
      </w:pPr>
    </w:p>
    <w:p>
      <w:pPr>
        <w:ind w:left="5580" w:right="40" w:hanging="4944"/>
        <w:spacing w:after="0" w:line="449" w:lineRule="auto"/>
        <w:tabs>
          <w:tab w:leader="none" w:pos="106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any special, consequential, indirect or punitive damages for any breach of the terms of the deposit agreement, or otherwise; 195</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party;</w:t>
      </w:r>
    </w:p>
    <w:p>
      <w:pPr>
        <w:spacing w:after="0" w:line="142" w:lineRule="exact"/>
        <w:rPr>
          <w:rFonts w:ascii="Arial" w:cs="Arial" w:eastAsia="Arial" w:hAnsi="Arial"/>
          <w:sz w:val="17"/>
          <w:szCs w:val="17"/>
          <w:color w:val="auto"/>
        </w:rPr>
      </w:pPr>
    </w:p>
    <w:p>
      <w:pPr>
        <w:jc w:val="both"/>
        <w:ind w:left="1060" w:right="180" w:hanging="424"/>
        <w:spacing w:after="0" w:line="312"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52" w:lineRule="exact"/>
        <w:rPr>
          <w:rFonts w:ascii="Arial" w:cs="Arial" w:eastAsia="Arial" w:hAnsi="Arial"/>
          <w:sz w:val="16"/>
          <w:szCs w:val="16"/>
          <w:color w:val="auto"/>
        </w:rPr>
      </w:pPr>
    </w:p>
    <w:p>
      <w:pPr>
        <w:ind w:left="1060" w:right="8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Jurisdiction and Arbitration</w:t>
      </w:r>
    </w:p>
    <w:p>
      <w:pPr>
        <w:spacing w:after="0" w:line="121"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federal securities laws in federal courts.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76" w:lineRule="exact"/>
        <w:rPr>
          <w:sz w:val="20"/>
          <w:szCs w:val="20"/>
          <w:color w:val="auto"/>
        </w:rPr>
      </w:pPr>
    </w:p>
    <w:p>
      <w:pPr>
        <w:ind w:left="1060" w:right="400" w:hanging="424"/>
        <w:spacing w:after="0" w:line="34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satisfactory proof of the identity and genuineness of any signature or any other matters contemplated in the deposit agreement; and</w:t>
      </w:r>
    </w:p>
    <w:p>
      <w:pPr>
        <w:spacing w:after="0" w:line="142" w:lineRule="exact"/>
        <w:rPr>
          <w:rFonts w:ascii="Arial" w:cs="Arial" w:eastAsia="Arial" w:hAnsi="Arial"/>
          <w:sz w:val="17"/>
          <w:szCs w:val="17"/>
          <w:color w:val="auto"/>
        </w:rPr>
      </w:pPr>
    </w:p>
    <w:p>
      <w:pPr>
        <w:ind w:left="1060" w:right="80" w:hanging="424"/>
        <w:spacing w:after="0" w:line="28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6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have the right to cancel your ADSs and withdraw the underlying ordinary shares at any time except:</w:t>
      </w:r>
    </w:p>
    <w:p>
      <w:pPr>
        <w:spacing w:after="0" w:line="131" w:lineRule="exact"/>
        <w:rPr>
          <w:sz w:val="20"/>
          <w:szCs w:val="20"/>
          <w:color w:val="auto"/>
        </w:rPr>
      </w:pPr>
    </w:p>
    <w:p>
      <w:pPr>
        <w:ind w:left="1060" w:right="120" w:hanging="424"/>
        <w:spacing w:after="0" w:line="342"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 or</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60"/>
          </w:cols>
          <w:pgMar w:left="240" w:top="460"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Upon completion of this offering, we will have 160,000,000 ADSs outstanding, representing approximately 15.6%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We intend to apply to list the ADSs on the New York Stock Exchange, but we cannot assure you that a regular trading market will develop in the ADSs. We do not expect that a trading market will develop for our ordinary shares not represented by the ADSs.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We have agreed, for a period of 180 days after the date of this prospectus, subject to certain exceptions, not to offer, sell, contract to sell, pledge, grant any option to purchase, make any short sale, lend or otherwise dispose of, except in this offering, any of our Class A ordinary shares or ADSs or any securities that are convertible into or exercisable or exchangeable for our Class A ordinary shares or ADSs, without the prior written consent of the representatives of the underwriters.</w:t>
      </w:r>
    </w:p>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Furthermore, all our directors, executive officers and existing shareholders have also entered into similar lock-up agreements or are otherwise subject to similar lockup restrictions for a period of 180 days from the date of this prospectus, subject to certain exceptions, with respect to our Class A ordinary shares or ADSs and any securities that are convertible into or exercisable or exchangeable for our Class A ordinary shares or ADSs. These parties collectively own substantially all of our outstanding ordinary shares, without giving effect to this offering. See “Underwriting.”</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72" w:lineRule="exact"/>
        <w:rPr>
          <w:sz w:val="20"/>
          <w:szCs w:val="20"/>
          <w:color w:val="auto"/>
        </w:rPr>
      </w:pPr>
    </w:p>
    <w:p>
      <w:pPr>
        <w:ind w:left="1060" w:right="16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immediately after this offering will equal 10,260,100 ordinary shares, assuming the underwriters do not exercise their over-allotment option;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240" w:top="460"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summary of the material Cayman Islands, PRC and U.S. federal income tax consequences of an investment in our ADSs or Class A ordinary shares is based upon laws and relevant interpretations thereof in effect as of the date of this registration statement,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the People’s Republic of China and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that NIO Inc. is not a PRC resident enterprise for PRC tax purposes. NIO Inc. is not controlled by a PRC enterprise or PRC enterprise group and we do not believe that NIO Inc. meets all of the conditions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above. NIO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5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395"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SAT Public Notice 7 further clarifies that, if a non-resident enterprise derives income by acquiring and selling shares in an offshore listed enterprise in the public market, such income will not be subject to PRC tax. However, there is uncertainty as to the application of SAT Circular 698 and SAT Public Notice 7, we and our non-PRC resident investors may be at risk of being required to file a return and being taxed under SAT Circular 698 and SAT Public Notice 7 and we may be required to expend valuable resources to comply with SAT Circular 698 and SAT Public Notice 7 or to establish that we should not be taxed under SAT Circular 698 and SAT Public Notice 7. See “Risk Factors—Risks Relating to Doing Business in China—We face uncertainty with respect to indirect transfers of equity interests in PRC resident enterprises by their non-PRC holding companies.”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87"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holders who acquire their ADSs or Class A ordinary shares pursuant to any employee share option or otherwise as compensation;</w:t>
      </w:r>
    </w:p>
    <w:p>
      <w:pPr>
        <w:spacing w:after="0" w:line="142"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that will hold their ADSs or Class A ordinary shares as part of a straddle, hedge, conversion, constructive sale or other integrated transaction for U.S. federal income tax purposes;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subject to special tax accounting rules as a result of any item of gross income with respect to ADSs or Class A ordinary shares being taken into account in an “applicable financial statement” (as defined in the Code);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 or</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Class A ordinary shares through such entities.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purposes of this discussion, a “U.S. Holder” is a beneficial owner of our ADSs or Class A ordinary shares that is, for U.S. federal income tax purposes:</w:t>
      </w:r>
    </w:p>
    <w:p>
      <w:pPr>
        <w:spacing w:after="0" w:line="76" w:lineRule="exact"/>
        <w:rPr>
          <w:sz w:val="20"/>
          <w:szCs w:val="20"/>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8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7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Although the law in this regard is not entirely clear, we treat our consolidated VIEs as being owned by us for U.S. federal income tax purposes because we control their management decisions and are entitled to substantially all of the economic benefits associated with these entities.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Assuming that we are the owner of our VIEs for U.S. federal income tax purposes, and based upon our current and projected income and assets, including the proceeds from this offering, and projections as to the value of our assets, based in part on the projected market value of our ADSs following this offering, we do not expect to be a PFIC for the current taxable year or the foreseeable future. While we do not anticipate being or becoming a PFIC in the current or foreseeable taxable years, no assurance can be given in this regard because the determination of whether we will be or become a PFIC is a factual determination made annually that will depend, in part, upon the composition of our income and assets.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In estimating the value of our goodwill and other unbooked intangibles, we have taken into account the expected cash proceeds and our anticipated market capitalization following this offering. If our market capitalization subsequently declines, we may be or become classified as a PFIC for the current taxable year or future taxable years. Furthermore,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composition of our income and assets may also be affected by how, and how quickly, we use our liquid assets and the cash raised in this offering.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which we have applied to list on the New York Stock Exchange, (but not our Class A ordinary shares) will be readily tradeable on an established securities market in the United States. There can be no assurance, however, that our ADSs will be considered readily tradeable on an established securities market in later years.</w:t>
      </w:r>
    </w:p>
    <w:p>
      <w:pPr>
        <w:spacing w:after="0" w:line="17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(see “—People’s Republic of China Taxation”),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8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64"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the U.S. Holder’s holding period for the ADSs or Class A ordinary shares;</w:t>
      </w:r>
    </w:p>
    <w:p>
      <w:pPr>
        <w:spacing w:after="0" w:line="142"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75"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tax attributable to each prior taxable year, other than a pre-PFIC year.</w:t>
      </w:r>
    </w:p>
    <w:p>
      <w:pPr>
        <w:spacing w:after="0" w:line="170"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8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6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(Asia) L.L.C., J.P. Morgan Securities LLC, Merrill Lynch, Pierce, Fenner &amp; Smith Incorporated, Deutsche Bank Securities Inc., Citigroup Global Markets Inc., Credit Suisse Securities (USA) LLC, and UBS Securities LLC are acting as representatives, have severally agreed to purchase, and we have agreed to sell to them, severally, the number of ADSs indicated below:</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120" w:type="dxa"/>
            <w:vAlign w:val="bottom"/>
            <w:vMerge w:val="restart"/>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312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680" w:type="dxa"/>
            <w:vAlign w:val="bottom"/>
          </w:tcPr>
          <w:p>
            <w:pPr>
              <w:spacing w:after="0"/>
              <w:rPr>
                <w:sz w:val="15"/>
                <w:szCs w:val="15"/>
                <w:color w:val="auto"/>
              </w:rPr>
            </w:pPr>
          </w:p>
        </w:tc>
        <w:tc>
          <w:tcPr>
            <w:tcW w:w="11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36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Goldman Sachs (Asia) L.L.C.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1000"/>
              <w:spacing w:after="0"/>
              <w:rPr>
                <w:sz w:val="20"/>
                <w:szCs w:val="20"/>
                <w:color w:val="auto"/>
              </w:rPr>
            </w:pPr>
            <w:r>
              <w:rPr>
                <w:rFonts w:ascii="Arial" w:cs="Arial" w:eastAsia="Arial" w:hAnsi="Arial"/>
                <w:sz w:val="18"/>
                <w:szCs w:val="18"/>
                <w:color w:val="auto"/>
              </w:rPr>
              <w:t>Incorporated</w:t>
            </w: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36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offered by this prospectus if any such ADSs are taken. However, the underwriters are not required to take or pay for the ADSs covered by the underwriters’ over-allotment option described below.</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underwriters initially propose to offer part of the ADSs directly to the public at the offering price listed on the cover page of this prospectus and part to certain dealers. After the initial offering of the ADSs, the offering price and other selling terms may from time to time be varied by the representatives.</w:t>
      </w:r>
    </w:p>
    <w:p>
      <w:pPr>
        <w:spacing w:after="0" w:line="181"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24,000,000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940" w:type="dxa"/>
            <w:vAlign w:val="bottom"/>
            <w:gridSpan w:val="7"/>
          </w:tcPr>
          <w:p>
            <w:pPr>
              <w:spacing w:after="0"/>
              <w:rPr>
                <w:sz w:val="20"/>
                <w:szCs w:val="20"/>
                <w:color w:val="auto"/>
              </w:rPr>
            </w:pPr>
            <w:r>
              <w:rPr>
                <w:rFonts w:ascii="Arial" w:cs="Arial" w:eastAsia="Arial" w:hAnsi="Arial"/>
                <w:sz w:val="18"/>
                <w:szCs w:val="18"/>
                <w:color w:val="auto"/>
                <w:w w:val="93"/>
              </w:rPr>
              <w:t>us. These amounts are shown assuming both no exercise and full exercise of the underwriters’ option to purchase up to an additional</w:t>
            </w:r>
          </w:p>
        </w:tc>
        <w:tc>
          <w:tcPr>
            <w:tcW w:w="1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ADSs.</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Per</w:t>
            </w:r>
          </w:p>
        </w:tc>
        <w:tc>
          <w:tcPr>
            <w:tcW w:w="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 Exercise</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ADS</w:t>
            </w:r>
          </w:p>
        </w:tc>
        <w:tc>
          <w:tcPr>
            <w:tcW w:w="7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US$</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w:t>
            </w:r>
          </w:p>
        </w:tc>
        <w:tc>
          <w:tcPr>
            <w:tcW w:w="22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US$</w:t>
            </w:r>
          </w:p>
        </w:tc>
        <w:tc>
          <w:tcPr>
            <w:tcW w:w="2340" w:type="dxa"/>
            <w:vAlign w:val="bottom"/>
            <w:gridSpan w:val="3"/>
            <w:shd w:val="clear" w:color="auto" w:fill="CCEEFF"/>
          </w:tcPr>
          <w:p>
            <w:pPr>
              <w:jc w:val="right"/>
              <w:ind w:right="1188"/>
              <w:spacing w:after="0"/>
              <w:rPr>
                <w:sz w:val="20"/>
                <w:szCs w:val="20"/>
                <w:color w:val="auto"/>
              </w:rPr>
            </w:pPr>
            <w:r>
              <w:rPr>
                <w:rFonts w:ascii="Arial" w:cs="Arial" w:eastAsia="Arial" w:hAnsi="Arial"/>
                <w:sz w:val="18"/>
                <w:szCs w:val="18"/>
                <w:color w:val="auto"/>
              </w:rPr>
              <w:t>US$</w:t>
            </w:r>
          </w:p>
        </w:tc>
        <w:tc>
          <w:tcPr>
            <w:tcW w:w="1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260" w:type="dxa"/>
            <w:vAlign w:val="bottom"/>
            <w:gridSpan w:val="2"/>
          </w:tcPr>
          <w:p>
            <w:pPr>
              <w:ind w:left="1340"/>
              <w:spacing w:after="0"/>
              <w:rPr>
                <w:sz w:val="20"/>
                <w:szCs w:val="20"/>
                <w:color w:val="auto"/>
              </w:rPr>
            </w:pPr>
            <w:r>
              <w:rPr>
                <w:rFonts w:ascii="Arial" w:cs="Arial" w:eastAsia="Arial" w:hAnsi="Arial"/>
                <w:sz w:val="18"/>
                <w:szCs w:val="18"/>
                <w:color w:val="auto"/>
              </w:rPr>
              <w:t>US$</w:t>
            </w:r>
          </w:p>
        </w:tc>
        <w:tc>
          <w:tcPr>
            <w:tcW w:w="2340" w:type="dxa"/>
            <w:vAlign w:val="bottom"/>
            <w:gridSpan w:val="3"/>
          </w:tcPr>
          <w:p>
            <w:pPr>
              <w:jc w:val="right"/>
              <w:ind w:right="1188"/>
              <w:spacing w:after="0"/>
              <w:rPr>
                <w:sz w:val="20"/>
                <w:szCs w:val="20"/>
                <w:color w:val="auto"/>
              </w:rPr>
            </w:pPr>
            <w:r>
              <w:rPr>
                <w:rFonts w:ascii="Arial" w:cs="Arial" w:eastAsia="Arial" w:hAnsi="Arial"/>
                <w:sz w:val="18"/>
                <w:szCs w:val="18"/>
                <w:color w:val="auto"/>
              </w:rPr>
              <w:t>US$</w:t>
            </w:r>
          </w:p>
        </w:tc>
        <w:tc>
          <w:tcPr>
            <w:tcW w:w="1100" w:type="dxa"/>
            <w:vAlign w:val="bottom"/>
            <w:gridSpan w:val="3"/>
          </w:tcPr>
          <w:p>
            <w:pPr>
              <w:jc w:val="right"/>
              <w:ind w:righ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US$6.7 million. [We have agreed to reimburse the underwriters for certain of their expenses in an amount up to US$1.0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offers or sales in the United States will be conducted by broker-dealers registered with the SEC.</w:t>
      </w:r>
    </w:p>
    <w:p>
      <w:pPr>
        <w:spacing w:after="0" w:line="21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Goldman Sachs (Asia) L.L.C. will offer ADSs in the United States through its SEC-registered broker-dealer affiliate in the United States, Goldman Sachs &amp; Co. LLC. The address of Goldman Sachs (Asia) L.L.C. is 68th Floor, Cheung Kong Center, 2 Queens Road, Central, Hong Kong.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ADSs have been approved for listing on the New York Stock Exchange under the trading symbol “NIO”.</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We have agreed that, without the prior written consent of the representatives on behalf of the underwriters, we will not, during the period ending 180 days after the date of this prospectus, or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76" w:lineRule="exact"/>
        <w:rPr>
          <w:sz w:val="20"/>
          <w:szCs w:val="20"/>
          <w:color w:val="auto"/>
        </w:rPr>
      </w:pPr>
    </w:p>
    <w:p>
      <w:pPr>
        <w:ind w:left="1060" w:right="200" w:hanging="424"/>
        <w:spacing w:after="0" w:line="264"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w:t>
      </w:r>
    </w:p>
    <w:p>
      <w:pPr>
        <w:spacing w:after="0" w:line="86"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our Class A ordinary shares or ADSs or any securities convertible into or exercisable or exchangeable for our Class A ordinary shares or ADSs;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7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whether any such transaction described above is to be settled by delivery of our Class A ordinary shares or ADSs or such other securities, in cash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60" w:hanging="424"/>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sale of our Class A ordinary shares or ADSs to the underwriters; or</w:t>
      </w:r>
    </w:p>
    <w:p>
      <w:pPr>
        <w:spacing w:after="0" w:line="130" w:lineRule="exact"/>
        <w:rPr>
          <w:rFonts w:ascii="Arial" w:cs="Arial" w:eastAsia="Arial" w:hAnsi="Arial"/>
          <w:sz w:val="18"/>
          <w:szCs w:val="18"/>
          <w:color w:val="auto"/>
        </w:rPr>
      </w:pPr>
    </w:p>
    <w:p>
      <w:pPr>
        <w:ind w:left="1060" w:right="420" w:hanging="424"/>
        <w:spacing w:after="0" w:line="308"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issuance by the Company of our Class A ordinary shares or ADSs upon the exercise of an option or a warrant or the conversion of a security outstanding on the date of this prospectus of which the underwriters have been advised in writing; or</w:t>
      </w:r>
    </w:p>
    <w:p>
      <w:pPr>
        <w:spacing w:after="0" w:line="51"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our Class A ordinary shares or ADSs during the restricted period and (ii) no public announcement or filing under the Exchange Act is required of or voluntarily made by or on behalf of us regarding the establishment of such plan.</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directors, executive officers and shareholders holding substantially all of our existing shares have agreed that, without the prior written consent of the representatives on behalf of the underwriters, they will not, during the restricted period:</w:t>
      </w:r>
    </w:p>
    <w:p>
      <w:pPr>
        <w:spacing w:after="0" w:line="76" w:lineRule="exact"/>
        <w:rPr>
          <w:sz w:val="20"/>
          <w:szCs w:val="20"/>
          <w:color w:val="auto"/>
        </w:rPr>
      </w:pPr>
    </w:p>
    <w:p>
      <w:pPr>
        <w:ind w:left="1060" w:right="160" w:hanging="424"/>
        <w:spacing w:after="0" w:line="264"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 or</w:t>
      </w:r>
    </w:p>
    <w:p>
      <w:pPr>
        <w:spacing w:after="0" w:line="86"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7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our Class A ordinary shares or ADSs or such other securities, in cash or otherwise. In addition, each such person agrees that, without the prior written consent of the representatives on behalf of the underwriters, such person will not, during the restricted period, make any demand for, or exercise any right with respect to, the registration of any of our Class A ordinary shares or ADSs or any security convertible into or exercisable or exchangeable for our Class A ordinary shares or ADSs.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60" w:right="60" w:hanging="424"/>
        <w:spacing w:after="0" w:line="312" w:lineRule="auto"/>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transactions relating to our Class A ordinary shares or ADSs or other securities acquired in open market transactions after the completion of the offering of the ADSs; provided that no filing under the Exchange Act or other public announcement is required or voluntarily made in connection with subsequent sales of our Class A ordinary shares or ADSs or other securities acquired in such open market transactions;</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transfers of our Class A ordinary shares or ADSs or any security convertible into our Class A ordinary shares or ADSs as a bona fide gift;</w:t>
      </w:r>
    </w:p>
    <w:p>
      <w:pPr>
        <w:spacing w:after="0" w:line="153"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or distributions of our Class A ordinary shares or ADSs or any security convertible into our Class A ordinary shares or ADSs to affiliates, limited partners or shareholders of the such person;</w:t>
      </w:r>
    </w:p>
    <w:p>
      <w:pPr>
        <w:spacing w:after="0" w:line="75"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 or</w:t>
      </w:r>
    </w:p>
    <w:p>
      <w:pPr>
        <w:spacing w:after="0" w:line="92"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remaining shareholders are subject to similar lock-up restrictions for the same period.</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representatives, in their sole discretion, may release our Class A ordinary shares and ADSs and other securities subject to the lock-up agreements described above in whole or in part at any time.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order to facilitate the offering of the ADSs, the underwriters may engage in transactions that stabilize, maintain or otherwise affect the price of the ADSs pursuant to Regulation M of the Securities Act of 1933.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If the representatives of the underwriters purchase the ADSs in the open market in stabilizing transactions or to cover short sales, the representatives can require the underwriters that sold those shares as part of this offering to repay the underwriting discount received by them.</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A prospectus in electric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Class A ordinary shares or the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At our request, the underwriters have reserved up to 5% of the ADSs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ADSs, but any purchases they do make will reduce the number of ADSs available to the general public. Any reserved ADSs that are not so purchased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will be offered by the underwriters to the general public on the same terms as the other ADSs offered by this prospectus. Any ADSs sold in the directed share program to our directors, executive officers or shareholders shall be subject to the lock-up agreements described above.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ADSs in the Cayman Islands.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This prospectus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nor taken steps to verify the information set out in it, and has no responsibility for it. The ADSs which are the subject of the offering contemplated by this prospectus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for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77"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1060" w:right="140" w:hanging="424"/>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right="3380" w:hanging="444"/>
        <w:spacing w:after="0" w:line="383" w:lineRule="auto"/>
        <w:tabs>
          <w:tab w:leader="none" w:pos="10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 Such offers, sales and distributions will be made in France only:</w:t>
      </w:r>
    </w:p>
    <w:p>
      <w:pPr>
        <w:spacing w:after="0" w:line="1"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Germany</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This prospectus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is strictly for use of the person who has received it. It may not be forwarded to other persons or published in Germany.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Italy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offering of ADSs has not been registered with the Commissione Nazionale per le Società e la Borsa, or CONSOB, pursuant to Italian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legislation and, accordingly, no ADSs may be offered, sold or delivered, nor copies of this prospectus or any other documents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ADSs may not be distributed in Italy except:</w:t>
      </w:r>
    </w:p>
    <w:p>
      <w:pPr>
        <w:spacing w:after="0" w:line="116" w:lineRule="exact"/>
        <w:rPr>
          <w:sz w:val="20"/>
          <w:szCs w:val="20"/>
          <w:color w:val="auto"/>
        </w:rPr>
      </w:pPr>
    </w:p>
    <w:p>
      <w:pPr>
        <w:ind w:left="1060" w:right="100" w:hanging="424"/>
        <w:spacing w:after="0" w:line="259"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“qualified investors,” as referred to in Article 100 of Legislative Decree No. 58 of February 24, 1998, as amended, or the Decree No. 58, and defined in Article 26, paragraph 1, letter d) of CONSOB Regulation No. 16190 of October 29, 2007, as amended, or Regulation No. 16190, pursuant to Article 34-ter, paragraph 1, letter. b) of CONSOB Regulation No. 11971 of May 14, 1999, as amended, or Regulation No. 11971, or</w:t>
      </w:r>
    </w:p>
    <w:p>
      <w:pPr>
        <w:spacing w:after="0" w:line="92"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offer, sale or delivery of the ADSs or distribution of copies of this prospectus or any other documents relating to the ADSs in the Republic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Italy must be:</w:t>
      </w:r>
    </w:p>
    <w:p>
      <w:pPr>
        <w:spacing w:after="0" w:line="116" w:lineRule="exact"/>
        <w:rPr>
          <w:sz w:val="20"/>
          <w:szCs w:val="20"/>
          <w:color w:val="auto"/>
        </w:rPr>
      </w:pPr>
    </w:p>
    <w:p>
      <w:pPr>
        <w:ind w:left="10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 Non-QII Investors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or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has not been registered as a prospectus in Singapore with the Monetary Authority of Singapore. Accordingly, this prospectus and any other documents or material in connection with the offer or sale, or invitation for subscription or purchase, of the ADSs may not be circulated or distributed, nor may the ADSs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offered or sold, or be made the subject of an invitation for subscription or purchase, whether directly or indirectly, to persons in Singapore other than (i) to an institutional investor under Section 274 of the Securities and Futures Act, Chapter 289 of Singapore, or the SFA, or (ii) to a relevant person pursuant to Section 275(1), or to any person pursuant to Section 275(1A), and in accordance with the conditions specified in Section 275, of the SFA or (iii) otherwise pursuant to, and in accordance with the conditions of, any other applicable provision of the SFA.</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60" w:right="180" w:hanging="299"/>
        <w:spacing w:after="0" w:line="308"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auto"/>
        </w:rPr>
      </w:pPr>
    </w:p>
    <w:p>
      <w:pPr>
        <w:ind w:left="1060" w:right="400" w:hanging="310"/>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in that trust shall not be transferred within six (6) months after that corporation or that trust has acquired the ADSs pursuant to an offer made under section 275 of the SFA except:</w:t>
      </w:r>
    </w:p>
    <w:p>
      <w:pPr>
        <w:spacing w:after="0" w:line="52" w:lineRule="exact"/>
        <w:rPr>
          <w:sz w:val="20"/>
          <w:szCs w:val="20"/>
          <w:color w:val="auto"/>
        </w:rPr>
      </w:pPr>
    </w:p>
    <w:p>
      <w:pPr>
        <w:ind w:left="1060" w:right="100" w:hanging="310"/>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Notification under Section 309B(1)(c) of the SFA: </w:t>
      </w:r>
      <w:r>
        <w:rPr>
          <w:rFonts w:ascii="Arial" w:cs="Arial" w:eastAsia="Arial" w:hAnsi="Arial"/>
          <w:sz w:val="16"/>
          <w:szCs w:val="16"/>
          <w:color w:val="auto"/>
        </w:rPr>
        <w:t>The ADSs shall be (A) prescribed capital markets products (as defined in the Securities and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Futures (Capital Markets Products) Regulations 2018) and (B) Excluded Investment Products (as defined in MAS Notice SFA 04-N12: Notice 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 of Investment Products and MAS Notice FAA-N16: Notice on Recommendations on Investment Products).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This prospectus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prospectus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nor any other offering or marketing material relating to the ADSs may be publicly distributed or otherwise made publicly available in Switzerland.</w:t>
      </w:r>
    </w:p>
    <w:p>
      <w:pPr>
        <w:spacing w:after="0" w:line="165"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Neither this prospectus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and investors in the ADSs will not benefit from protection or supervision by such authority.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Arab Emirates (Excluding the Dubai International Financial Center)</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or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060" w:right="40" w:hanging="424"/>
        <w:spacing w:after="0" w:line="259"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w:t>
      </w:r>
    </w:p>
    <w:p>
      <w:pPr>
        <w:spacing w:after="0" w:line="92"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 that we expect to incur in connection with this offering. With the exception of the SEC registration fee, the Financial Industry Regulatory Authority, or FINRA, filing fee, and the New York Stock Exchange market entry and listing fee, all amounts are estimates.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48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FINRA Filing Fee</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New York Stock Exchange Market Entry and Listing Fee</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2,574,270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5"/>
              </w:rPr>
              <w:t>US$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6,683,761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160" w:type="dxa"/>
            <w:vAlign w:val="bottom"/>
            <w:vMerge w:val="restart"/>
          </w:tcPr>
          <w:p>
            <w:pPr>
              <w:jc w:val="right"/>
              <w:ind w:right="4190"/>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Grandall Law Firm (Shanghai). Skadden, Arps, Slate, Meagher &amp; Flom LLP may rely upon Maples and Calder (Hong Kong) LLP with respect to matters governed by Cayman Islands law and Han Kun Law Offices with respect to matters governed by PRC law. Latham &amp; Watkins LLP may rely upon Grandall Law Firm (Shanghai) with respect to matters governed by PRC law.</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financial statements as of December 31, 2016 and 2017, and for each of the two years in the two year period ended December 31, 2017 and the related financial statement schedule included in this prospectus, have been audited by PricewaterhouseCoopers Zhong Tian LLP, an independent registered public accounting firm, as stated in their report appearing herein. Such financial statements and financial statement schedule have been so included in reliance upon the report of such firm given upon their authority as experts in accounting and auditing.</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200120, the People’s Republic of China.</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40"/>
          </w:cols>
          <w:pgMar w:left="240" w:top="460" w:right="6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80" w:type="dxa"/>
            <w:vAlign w:val="bottom"/>
            <w:gridSpan w:val="1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32">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Consolidated Balance Sheets as of December 31, 2016 and 2017</w:t>
              </w:r>
            </w:hyperlink>
          </w:p>
        </w:tc>
        <w:tc>
          <w:tcPr>
            <w:tcW w:w="59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80" w:type="dxa"/>
            <w:vAlign w:val="bottom"/>
            <w:gridSpan w:val="12"/>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Consolidated Statements of Comprehensive Loss for the Years Ended December 31, 2016 and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37">
              <w:r>
                <w:rPr>
                  <w:rFonts w:ascii="Arial" w:cs="Arial" w:eastAsia="Arial" w:hAnsi="Arial"/>
                  <w:sz w:val="18"/>
                  <w:szCs w:val="18"/>
                  <w:color w:val="0000EE"/>
                  <w:w w:val="89"/>
                </w:rPr>
                <w:t>Consolidated Statements of Shareholders’ Deficit for the Years Ended December 31, 2016 and 2017</w:t>
              </w:r>
            </w:hyperlink>
          </w:p>
        </w:tc>
        <w:tc>
          <w:tcPr>
            <w:tcW w:w="33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39">
              <w:r>
                <w:rPr>
                  <w:rFonts w:ascii="Arial" w:cs="Arial" w:eastAsia="Arial" w:hAnsi="Arial"/>
                  <w:sz w:val="18"/>
                  <w:szCs w:val="18"/>
                  <w:color w:val="0000EE"/>
                  <w:w w:val="89"/>
                </w:rPr>
                <w:t>Consolidated Statements of Cash Flows for the Years Ended December 31, 2016 and 2017</w:t>
              </w:r>
            </w:hyperlink>
          </w:p>
        </w:tc>
        <w:tc>
          <w:tcPr>
            <w:tcW w:w="4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41">
              <w:r>
                <w:rPr>
                  <w:rFonts w:ascii="Arial" w:cs="Arial" w:eastAsia="Arial" w:hAnsi="Arial"/>
                  <w:sz w:val="18"/>
                  <w:szCs w:val="18"/>
                  <w:color w:val="0000EE"/>
                  <w:w w:val="89"/>
                </w:rPr>
                <w:t>Notes to Consolidated Financial Statements</w:t>
              </w:r>
            </w:hyperlink>
          </w:p>
        </w:tc>
        <w:tc>
          <w:tcPr>
            <w:tcW w:w="742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10580" w:type="dxa"/>
            <w:vAlign w:val="bottom"/>
            <w:gridSpan w:val="12"/>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Unaudited Interim Condensed Consolidated Balance Sheets as of December 31, 2017 and June 30, 2018</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3">
              <w:r>
                <w:rPr>
                  <w:rFonts w:ascii="Arial" w:cs="Arial" w:eastAsia="Arial" w:hAnsi="Arial"/>
                  <w:sz w:val="18"/>
                  <w:szCs w:val="18"/>
                  <w:color w:val="0000EE"/>
                </w:rPr>
                <w:t>Unaudited Interim Condensed Consolidated Statements of Comprehensive Loss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4">
              <w:r>
                <w:rPr>
                  <w:rFonts w:ascii="Arial" w:cs="Arial" w:eastAsia="Arial" w:hAnsi="Arial"/>
                  <w:sz w:val="18"/>
                  <w:szCs w:val="18"/>
                  <w:color w:val="0000EE"/>
                </w:rPr>
                <w:t>Unaudited Interim Condensed Consolidated Statements of Shareholders’ Deficit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6">
              <w:r>
                <w:rPr>
                  <w:rFonts w:ascii="Arial" w:cs="Arial" w:eastAsia="Arial" w:hAnsi="Arial"/>
                  <w:sz w:val="18"/>
                  <w:szCs w:val="18"/>
                  <w:color w:val="0000EE"/>
                </w:rPr>
                <w:t>Unaudited Interim Condensed Consolidated Statements of Cash Flows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7">
              <w:r>
                <w:rPr>
                  <w:rFonts w:ascii="Arial" w:cs="Arial" w:eastAsia="Arial" w:hAnsi="Arial"/>
                  <w:sz w:val="18"/>
                  <w:szCs w:val="18"/>
                  <w:color w:val="0000EE"/>
                </w:rPr>
                <w:t>Notes to Unaudited Interim Condensed Consolidated Financial Statements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31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20" w:type="dxa"/>
            <w:vAlign w:val="bottom"/>
            <w:gridSpan w:val="8"/>
          </w:tcPr>
          <w:p>
            <w:pPr>
              <w:ind w:left="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NIO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NIO Inc. and its subsidiaries (the “Company”) as of December 31, 2017 and 2016, and the related consolidated statements of comprehensive loss, of shareholders’ deficit and of cash flows for each of the two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27, 2018, except for the presentation of the consolidated statements of cash flows as described in note 2(g), which is as of June 7, 2018.</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240" w:top="459" w:right="5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581,296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89,464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875,027</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8,310,005</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15,335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14,293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833,004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1,911,013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6,345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4,457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895,451</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2,158,029</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1,770,478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Short-term borrowings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28,787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20,837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3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685,323</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1,285,592</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1,618,514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1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825,264</w:t>
            </w: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2,402,028</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24)</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100" w:type="dxa"/>
            <w:vAlign w:val="bottom"/>
            <w:gridSpan w:val="2"/>
          </w:tcPr>
          <w:p>
            <w:pPr>
              <w:jc w:val="right"/>
              <w:ind w:right="2693"/>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180" w:type="dxa"/>
            <w:vAlign w:val="bottom"/>
            <w:gridSpan w:val="2"/>
          </w:tcPr>
          <w:p>
            <w:pPr>
              <w:jc w:val="center"/>
              <w:ind w:left="115"/>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Series A-1 and A-2 convertible redeemable preferred shares </w:t>
            </w:r>
            <w:r>
              <w:rPr>
                <w:rFonts w:ascii="Arial" w:cs="Arial" w:eastAsia="Arial" w:hAnsi="Arial"/>
                <w:sz w:val="18"/>
                <w:szCs w:val="18"/>
                <w:color w:val="auto"/>
              </w:rPr>
              <w:t>(USD0.00025 par value;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295,000,000 authorized, issued and outstanding as of December 31, 2016 and 2017)</w:t>
            </w:r>
          </w:p>
        </w:tc>
        <w:tc>
          <w:tcPr>
            <w:tcW w:w="880" w:type="dxa"/>
            <w:vAlign w:val="bottom"/>
          </w:tcPr>
          <w:p>
            <w:pPr>
              <w:jc w:val="right"/>
              <w:spacing w:after="0"/>
              <w:rPr>
                <w:sz w:val="20"/>
                <w:szCs w:val="20"/>
                <w:color w:val="auto"/>
              </w:rPr>
            </w:pPr>
            <w:r>
              <w:rPr>
                <w:rFonts w:ascii="Arial" w:cs="Arial" w:eastAsia="Arial" w:hAnsi="Arial"/>
                <w:sz w:val="18"/>
                <w:szCs w:val="18"/>
                <w:color w:val="auto"/>
              </w:rPr>
              <w:t>2,810,189</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5,011,731</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757,390</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Series A-3 convertible redeemable preferred shares </w:t>
            </w:r>
            <w:r>
              <w:rPr>
                <w:rFonts w:ascii="Arial" w:cs="Arial" w:eastAsia="Arial" w:hAnsi="Arial"/>
                <w:sz w:val="18"/>
                <w:szCs w:val="18"/>
                <w:color w:val="auto"/>
              </w:rPr>
              <w:t>(USD0.00025 par value; 31,720,364</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24,210,431 issued and outstanding as of December 31, 2016 and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Series B convertible redeemable preferred shares </w:t>
            </w:r>
            <w:r>
              <w:rPr>
                <w:rFonts w:ascii="Arial" w:cs="Arial" w:eastAsia="Arial" w:hAnsi="Arial"/>
                <w:sz w:val="18"/>
                <w:szCs w:val="18"/>
                <w:color w:val="auto"/>
              </w:rPr>
              <w:t>(USD0.00025 par value; 114,867,321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authorized as of December 31, 2016 and 2017; 102,144,675 and 114,867,321 issued and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outstanding as of December 31, 2016 and 2017,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2,014,903</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2,294,980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346,826</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Series C convertible redeemable preferred shares </w:t>
            </w:r>
            <w:r>
              <w:rPr>
                <w:rFonts w:ascii="Arial" w:cs="Arial" w:eastAsia="Arial" w:hAnsi="Arial"/>
                <w:sz w:val="18"/>
                <w:szCs w:val="18"/>
                <w:color w:val="auto"/>
                <w:w w:val="94"/>
              </w:rPr>
              <w:t>(USD0.00025 par value; nil and 167,142,990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authorized, nil and 166,205,830 issued and outstanding as of December 31, 2016 and 2017,</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673,195</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 xml:space="preserve">Series D convertible redeemable preferred shares </w:t>
            </w:r>
            <w:r>
              <w:rPr>
                <w:rFonts w:ascii="Arial" w:cs="Arial" w:eastAsia="Arial" w:hAnsi="Arial"/>
                <w:sz w:val="18"/>
                <w:szCs w:val="18"/>
                <w:color w:val="auto"/>
                <w:w w:val="94"/>
              </w:rPr>
              <w:t>(USD0.00025 par value; nil and 240,000,000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9"/>
              </w:rPr>
              <w:t>authorized, nil and 213,585,003 issued and outstanding as of December 31, 2016 and 2017,</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7,547,760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1,140,645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 holder of Series A-1 convertible redeemable preferred shares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(270,196)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Receivable from a holder of Series D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(78,410)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2,970,755</w:t>
            </w:r>
          </w:p>
        </w:tc>
        <w:tc>
          <w:tcPr>
            <w:tcW w:w="14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7480" w:type="dxa"/>
            <w:vAlign w:val="bottom"/>
          </w:tcPr>
          <w:p>
            <w:pPr>
              <w:ind w:left="5360"/>
              <w:spacing w:after="0"/>
              <w:rPr>
                <w:sz w:val="20"/>
                <w:szCs w:val="20"/>
                <w:color w:val="auto"/>
              </w:rPr>
            </w:pPr>
            <w:r>
              <w:rPr>
                <w:rFonts w:ascii="Arial" w:cs="Arial" w:eastAsia="Arial" w:hAnsi="Arial"/>
                <w:sz w:val="18"/>
                <w:szCs w:val="18"/>
                <w:color w:val="auto"/>
              </w:rPr>
              <w:t>F-4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140" w:type="dxa"/>
            <w:vAlign w:val="bottom"/>
            <w:gridSpan w:val="2"/>
          </w:tcPr>
          <w:p>
            <w:pPr>
              <w:jc w:val="center"/>
              <w:ind w:left="94"/>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 xml:space="preserve">Ordinary shares </w:t>
            </w:r>
            <w:r>
              <w:rPr>
                <w:rFonts w:ascii="Arial" w:cs="Arial" w:eastAsia="Arial" w:hAnsi="Arial"/>
                <w:sz w:val="18"/>
                <w:szCs w:val="18"/>
                <w:color w:val="auto"/>
                <w:w w:val="92"/>
              </w:rPr>
              <w:t>(USD0.00025 par value; 1,558,412,315 and 1,151,269,325 shares authorized as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December 31, 2016 and 2017, respectively; 32,003,810 and 36,727,350 shares issued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4"/>
              </w:rPr>
              <w:t>17,773,459 and 23,850,343 shares outstanding as of December 31, 2016 and 2017,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70,850</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131,907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(13,922)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(4,076,945)</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(11,711,948)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(1,769,952)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NIO Inc. shareholders’ (deficit)/equity</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(3,904,777)</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(11,603,089)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(1,753,501)</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3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(3,916,360)</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(11,591,780)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(1,751,792)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1,770,478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10,468,034</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5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6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(1,465,353)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(2,602,889)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(1,137,187)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(2,350,707)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(355,247)</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(2,602,540)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(4,953,596)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(748,605)</w:t>
            </w:r>
          </w:p>
        </w:tc>
        <w:tc>
          <w:tcPr>
            <w:tcW w:w="0" w:type="dxa"/>
            <w:vAlign w:val="bottom"/>
          </w:tcPr>
          <w:p>
            <w:pPr>
              <w:spacing w:after="0"/>
              <w:rPr>
                <w:sz w:val="1"/>
                <w:szCs w:val="1"/>
                <w:color w:val="auto"/>
              </w:rPr>
            </w:pPr>
          </w:p>
        </w:tc>
      </w:tr>
      <w:tr>
        <w:trPr>
          <w:trHeight w:val="324"/>
        </w:trPr>
        <w:tc>
          <w:tcPr>
            <w:tcW w:w="7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27,556</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(18,084)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 of losses of equity investee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income/(loss),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(58,681)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(2,568,940)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(5,013,268)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(757,623)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0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(5,021,174)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(981,233)</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(2,576,935)</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(3,517,549)</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(7,561,669)</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(5,021,174)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(124,374)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(2,517,761)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(5,145,548)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(981,233)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(2,576,935)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ordinary shareholders of NIO Inc.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(3,462,056)</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(7,686,043)</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used in computing net loss per share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and diluted</w:t>
            </w:r>
          </w:p>
        </w:tc>
        <w:tc>
          <w:tcPr>
            <w:tcW w:w="960" w:type="dxa"/>
            <w:vAlign w:val="bottom"/>
          </w:tcPr>
          <w:p>
            <w:pPr>
              <w:jc w:val="right"/>
              <w:spacing w:after="0"/>
              <w:rPr>
                <w:sz w:val="20"/>
                <w:szCs w:val="20"/>
                <w:color w:val="auto"/>
              </w:rPr>
            </w:pPr>
            <w:r>
              <w:rPr>
                <w:rFonts w:ascii="Arial" w:cs="Arial" w:eastAsia="Arial" w:hAnsi="Arial"/>
                <w:sz w:val="18"/>
                <w:szCs w:val="18"/>
                <w:color w:val="auto"/>
              </w:rPr>
              <w:t>16,697,527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21,801,525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21,801,525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and diluted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(210.66)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(346.84)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Paid in</w:t>
            </w:r>
          </w:p>
        </w:tc>
        <w:tc>
          <w:tcPr>
            <w:tcW w:w="1080" w:type="dxa"/>
            <w:vAlign w:val="bottom"/>
            <w:gridSpan w:val="2"/>
          </w:tcPr>
          <w:p>
            <w:pPr>
              <w:jc w:val="center"/>
              <w:ind w:left="34"/>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Shareholders’</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Income/(loss)</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28,900,001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(18,400,000)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54,959</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(559,396)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(499,828)</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(499,828)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(798,481)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(798,481)</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(798,481)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9"/>
              </w:rPr>
              <w:t>Accretion on Series B</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(152,769)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(152,769)</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(152,769)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(3,103,809)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7,273,458</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Capital injection by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25,355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(2,536,316)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(2,536,316)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(36,938)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(2,573,254)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F-7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8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33"/>
              <w:spacing w:after="0" w:line="125"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shareholders’</w:t>
            </w:r>
          </w:p>
        </w:tc>
        <w:tc>
          <w:tcPr>
            <w:tcW w:w="94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6"/>
              </w:rPr>
              <w:t>Controlling</w:t>
            </w:r>
          </w:p>
        </w:tc>
        <w:tc>
          <w:tcPr>
            <w:tcW w:w="1040" w:type="dxa"/>
            <w:vAlign w:val="bottom"/>
            <w:gridSpan w:val="2"/>
          </w:tcPr>
          <w:p>
            <w:pPr>
              <w:jc w:val="right"/>
              <w:ind w:right="42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income/(loss)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(4,076,945)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(3,916,360)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(2,205,227)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(2,205,227)</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(2,205,227)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(120,451)</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B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(40,011)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(40,011)</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(56,283)</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D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(154,963)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(154,963)</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(154,963)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2,723,540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6,207</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Vesting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3,353,344</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30,127</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Capital injection by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additional</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interests 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w w:val="98"/>
              </w:rPr>
              <w:t>subsidiaries from</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(73,334)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45,956</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(27,378)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(124,374)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(124,374)</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(4,984,734)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(4,984,734)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(36,440)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(5,021,174)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36,727,350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(12,877,007)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(11,711,948)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(11,603,089)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(11,591,780)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302"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20" w:type="dxa"/>
            <w:vAlign w:val="bottom"/>
          </w:tcPr>
          <w:p>
            <w:pPr>
              <w:jc w:val="right"/>
              <w:ind w:right="2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(2,573,254)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(5,021,174)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auto"/>
              </w:rPr>
              <w:t>46,087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167,858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Share-based compensation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76,684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Share of losses of equity investee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Prepayments and other current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(209,784)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(404,762)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(89,464)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920" w:type="dxa"/>
            <w:vAlign w:val="bottom"/>
          </w:tcPr>
          <w:p>
            <w:pPr>
              <w:jc w:val="right"/>
              <w:spacing w:after="0"/>
              <w:rPr>
                <w:sz w:val="20"/>
                <w:szCs w:val="20"/>
                <w:color w:val="auto"/>
              </w:rPr>
            </w:pPr>
            <w:r>
              <w:rPr>
                <w:rFonts w:ascii="Arial" w:cs="Arial" w:eastAsia="Arial" w:hAnsi="Arial"/>
                <w:sz w:val="18"/>
                <w:szCs w:val="18"/>
                <w:color w:val="auto"/>
              </w:rPr>
              <w:t>15,633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other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603,374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78,629</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(2,201,564)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(4,574,719)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(691,349)</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plant and equipment and intangible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(654,455)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(1,113,893)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Purchase of held for trading securities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(2,346,261)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(1,337,413)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held for trading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3,118,559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Acquisitions of equity investees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(52,500)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additional interests in subsidiaries from non-controlling interests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(27,378)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117,843</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(1,190,273)</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(8,408)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w w:val="92"/>
              </w:rPr>
              <w:t>Proceeds from issuance of series A convertible redeemable preferred shares,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401,478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273,686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issuance of series B convertible redeemable preferred shares, 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1,862,134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w w:val="92"/>
              </w:rPr>
              <w:t>Proceeds from issuance of series C convertible redeemable preferred shares, net of issuance costs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4,398,313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664,689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issuance of series D convertible redeemable preferred shares, net of issuance costs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7,314,387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borrowings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312,624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convertible promissory note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700" w:type="dxa"/>
            <w:vAlign w:val="bottom"/>
          </w:tcPr>
          <w:p>
            <w:pPr>
              <w:ind w:left="5360"/>
              <w:spacing w:after="0"/>
              <w:rPr>
                <w:sz w:val="20"/>
                <w:szCs w:val="20"/>
                <w:color w:val="auto"/>
              </w:rPr>
            </w:pPr>
            <w:r>
              <w:rPr>
                <w:rFonts w:ascii="Arial" w:cs="Arial" w:eastAsia="Arial" w:hAnsi="Arial"/>
                <w:sz w:val="18"/>
                <w:szCs w:val="18"/>
                <w:color w:val="auto"/>
              </w:rPr>
              <w:t>F-9</w:t>
            </w: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32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tcBorders>
            <w:gridSpan w:val="2"/>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88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8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12,867,334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40,539</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(168,120)</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6,934,222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596,631</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series D convertible redeemable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interests in the form of net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25,355</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25,355</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plans to offer energy and service packages to its users. As of December 31, 2016 and 2017, its primary operations are conducted in the People’s Republic of China (“PRC”) and mainly focused on research and development activities. The Company’s principal subsidiaries and VIEs are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20" w:type="dxa"/>
            <w:vAlign w:val="bottom"/>
          </w:tcPr>
          <w:p>
            <w:pPr>
              <w:spacing w:after="0"/>
              <w:rPr>
                <w:sz w:val="14"/>
                <w:szCs w:val="14"/>
                <w:color w:val="auto"/>
              </w:rPr>
            </w:pP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640" w:type="dxa"/>
            <w:vAlign w:val="bottom"/>
            <w:gridSpan w:val="3"/>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held</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NIO NextEV Limited (“NIO HK”) (formerly</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February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NIO GmbH (formerly known as NextEV</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9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Design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GmbH)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Germany, May 2015</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Co., Ltd. (“NIO SH”) (formerly known as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Headquarter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NextEV Co., Ltd.)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Shanghai, PRC, May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w w:val="99"/>
              </w:rPr>
              <w:t>NIO USA, Inc. (“NIO US”) (formerly known as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NextEV USA, Inc.)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United States, November 2015</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Limited (“XPT”)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December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NIO NextEV (UK) Ltd. (formerly known as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9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Marketing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NextEV (UK) Limited)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United Kingdom, February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Sport Limited (“NIO Sport”) (formerly</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NIO Sport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April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Racing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XPT Technology Limited (“XPT Technology”)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Hong Kong, April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Inc. (“XPT US”)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United States, April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XPT (Jiangsu) Investment Co., Ltd. (“XPT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Jiangsu”)</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Jiangsu, PRC, May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XPT Technology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Shanghai, PRC, May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XPT (Nanjing) E-Powertrain Technology Co.,</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Ltd.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Nanjing, PRC, July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Manufacturing of E-Powertrain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XPT (Nanjing) Energy Storage System Co.,</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Ltd. (“XPT NJES”)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Nanjing, PRC, October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Manufacturing of battery pack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NIO Power Express Limited (“PE HK)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Hong Kong, January 2017</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ind w:left="380"/>
              <w:spacing w:after="0"/>
              <w:rPr>
                <w:sz w:val="20"/>
                <w:szCs w:val="20"/>
                <w:color w:val="auto"/>
              </w:rPr>
            </w:pPr>
            <w:r>
              <w:rPr>
                <w:rFonts w:ascii="Arial" w:cs="Arial" w:eastAsia="Arial" w:hAnsi="Arial"/>
                <w:sz w:val="18"/>
                <w:szCs w:val="18"/>
                <w:color w:val="auto"/>
              </w:rPr>
              <w:t>F-11</w:t>
            </w: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760" w:type="dxa"/>
            <w:vAlign w:val="bottom"/>
          </w:tcPr>
          <w:p>
            <w:pPr>
              <w:jc w:val="right"/>
              <w:ind w:right="99"/>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40" w:type="dxa"/>
            <w:vAlign w:val="bottom"/>
          </w:tcPr>
          <w:p>
            <w:pPr>
              <w:spacing w:after="0"/>
              <w:rPr>
                <w:sz w:val="14"/>
                <w:szCs w:val="14"/>
                <w:color w:val="auto"/>
              </w:rPr>
            </w:pPr>
          </w:p>
        </w:tc>
        <w:tc>
          <w:tcPr>
            <w:tcW w:w="25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620" w:type="dxa"/>
            <w:vAlign w:val="bottom"/>
            <w:gridSpan w:val="3"/>
            <w:vMerge w:val="continue"/>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held</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4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NIO User Enterprise Limited (“UE HK”)</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Hong Kong, February 2017</w:t>
            </w: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Shanghai NIO Sales and Services Co., Ltd.</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Shanghai, PRC, March 2017</w:t>
            </w:r>
          </w:p>
        </w:tc>
        <w:tc>
          <w:tcPr>
            <w:tcW w:w="29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6"/>
              </w:rPr>
              <w:t>Investment holding and sales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(“UE CNHC”)</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after sales management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NIO Energy Investment (Hubei) Co., Ltd. (“PE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CNHC”)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Wuhan PRC, April 2017</w:t>
            </w: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Wuhan NIO Energy Co., Ltd. (“PE WHJV”)</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Wuhan, PRC, May 2017</w:t>
            </w: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XTRONICS (Nanjing) Automotive Intelligent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Technologies Co., Ltd. (“XPT NJWL”)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Nanjing, PRC, June 2017</w:t>
            </w: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Manufacturing of components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169"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Prime Hubs Limited (“Prime Hubs”)</w:t>
      </w:r>
    </w:p>
    <w:p>
      <w:pPr>
        <w:spacing w:after="0" w:line="8" w:lineRule="exact"/>
        <w:rPr>
          <w:sz w:val="20"/>
          <w:szCs w:val="20"/>
          <w:color w:val="auto"/>
        </w:rPr>
      </w:pPr>
    </w:p>
    <w:p>
      <w:pPr>
        <w:ind w:left="380" w:right="140" w:hanging="179"/>
        <w:spacing w:after="0" w:line="276" w:lineRule="auto"/>
        <w:rPr>
          <w:sz w:val="20"/>
          <w:szCs w:val="20"/>
          <w:color w:val="auto"/>
        </w:rPr>
      </w:pPr>
      <w:r>
        <w:rPr>
          <w:rFonts w:ascii="Arial" w:cs="Arial" w:eastAsia="Arial" w:hAnsi="Arial"/>
          <w:sz w:val="18"/>
          <w:szCs w:val="18"/>
          <w:color w:val="auto"/>
        </w:rPr>
        <w:t>NIO Technology Co., Ltd. (“NIO SHTECH”) (formerly known as Shanghai NextEV Technology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5"/>
              </w:rPr>
              <w:t>Economic</w:t>
            </w:r>
          </w:p>
        </w:tc>
        <w:tc>
          <w:tcPr>
            <w:tcW w:w="24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r>
      <w:tr>
        <w:trPr>
          <w:trHeight w:val="176"/>
        </w:trPr>
        <w:tc>
          <w:tcPr>
            <w:tcW w:w="11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88"/>
              </w:rPr>
              <w:t>interest held</w:t>
            </w:r>
          </w:p>
        </w:tc>
        <w:tc>
          <w:tcPr>
            <w:tcW w:w="24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r>
      <w:tr>
        <w:trPr>
          <w:trHeight w:val="224"/>
        </w:trPr>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BVI, October 2014</w:t>
            </w:r>
          </w:p>
        </w:tc>
      </w:tr>
      <w:tr>
        <w:trPr>
          <w:trHeight w:val="418"/>
        </w:trPr>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100%</w:t>
            </w:r>
          </w:p>
        </w:tc>
        <w:tc>
          <w:tcPr>
            <w:tcW w:w="3560" w:type="dxa"/>
            <w:vAlign w:val="bottom"/>
            <w:gridSpan w:val="2"/>
          </w:tcPr>
          <w:p>
            <w:pPr>
              <w:ind w:left="240"/>
              <w:spacing w:after="0"/>
              <w:rPr>
                <w:sz w:val="20"/>
                <w:szCs w:val="20"/>
                <w:color w:val="auto"/>
              </w:rPr>
            </w:pPr>
            <w:r>
              <w:rPr>
                <w:rFonts w:ascii="Arial" w:cs="Arial" w:eastAsia="Arial" w:hAnsi="Arial"/>
                <w:sz w:val="18"/>
                <w:szCs w:val="18"/>
                <w:color w:val="auto"/>
              </w:rPr>
              <w:t>Shanghai, PRC, November 2014</w:t>
            </w:r>
          </w:p>
        </w:tc>
      </w:tr>
    </w:tbl>
    <w:p>
      <w:pPr>
        <w:spacing w:after="0" w:line="201" w:lineRule="exact"/>
        <w:rPr>
          <w:sz w:val="20"/>
          <w:szCs w:val="20"/>
          <w:color w:val="auto"/>
        </w:rPr>
      </w:pPr>
    </w:p>
    <w:p>
      <w:pPr>
        <w:sectPr>
          <w:pgSz w:w="11900" w:h="16838" w:orient="portrait"/>
          <w:cols w:equalWidth="0" w:num="2">
            <w:col w:w="5820" w:space="720"/>
            <w:col w:w="4700"/>
          </w:cols>
          <w:pgMar w:left="240" w:top="459" w:right="419" w:bottom="1440" w:gutter="0" w:footer="0" w:header="0"/>
          <w:type w:val="continuous"/>
        </w:sectPr>
      </w:pPr>
    </w:p>
    <w:p>
      <w:pPr>
        <w:jc w:val="both"/>
        <w:ind w:left="200" w:right="480" w:firstLine="441"/>
        <w:spacing w:after="0" w:line="264" w:lineRule="auto"/>
        <w:rPr>
          <w:sz w:val="20"/>
          <w:szCs w:val="20"/>
          <w:color w:val="auto"/>
        </w:rPr>
      </w:pPr>
      <w:r>
        <w:rPr>
          <w:rFonts w:ascii="Arial" w:cs="Arial" w:eastAsia="Arial" w:hAnsi="Arial"/>
          <w:sz w:val="18"/>
          <w:szCs w:val="18"/>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left="200" w:right="160" w:firstLine="441"/>
        <w:spacing w:after="0" w:line="253" w:lineRule="auto"/>
        <w:rPr>
          <w:sz w:val="20"/>
          <w:szCs w:val="20"/>
          <w:color w:val="auto"/>
        </w:rPr>
      </w:pPr>
      <w:r>
        <w:rPr>
          <w:rFonts w:ascii="Arial" w:cs="Arial" w:eastAsia="Arial" w:hAnsi="Arial"/>
          <w:sz w:val="18"/>
          <w:szCs w:val="18"/>
          <w:color w:val="auto"/>
        </w:rPr>
        <w:t>NIO SHTECH was established by Li Bin and Qin Lihong (the “Nominee Shareholders”) in November 2014. In 2015, NIO SH, NIO SHTECH, and the Nominee Shareholders of NIO SHTECH entered into a series of 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As of December 31, 2016 and 2017, NIO SHTECH did not have significant operations, nor any material assets or liabilities.</w:t>
      </w:r>
    </w:p>
    <w:p>
      <w:pPr>
        <w:spacing w:after="0" w:line="19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2016 and 2017, Prime Hubs held 26,900,001 ordinary shares of the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59" w:right="41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Group has been incurring losses from operations since inception. The Group incurred net losses of RMB2,573,254 and RMB5,021,174 in the years ended December 31, 2016 and 2017, respectively. Accumulated deficit amounted to RMB4,076,945 and RMB11,711,948 as of December 31, 2016 and 2017, respectively. Net cash used in operating activities was approximately RMB2,201,564 and RMB4,574,719 for the years ended December 31, 2016 and 2017, respectively. As of December 31, 2017, the Group’s working capital was RMB6,691,491.</w:t>
      </w:r>
    </w:p>
    <w:p>
      <w:pPr>
        <w:spacing w:after="0" w:line="17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the Group’s balance of cash and cash equivalents was RMB7,505,954. In addition, up to April 27, 2018, the Company has entered into loan facility agreements with several banks in China for a total principal amount of RMB3,730 million, which will be due by May 17, 2022. Moreover, the Group can adjust the pace of its operation expansion and control the operating expenses of the Group.</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292" w:lineRule="exact"/>
        <w:rPr>
          <w:sz w:val="20"/>
          <w:szCs w:val="20"/>
          <w:color w:val="auto"/>
        </w:rPr>
      </w:pPr>
    </w:p>
    <w:p>
      <w:pPr>
        <w:ind w:left="380" w:hanging="176"/>
        <w:spacing w:after="0"/>
        <w:tabs>
          <w:tab w:leader="none" w:pos="3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the VIE for which the Company is the ultimate primary beneficiary.</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66"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60"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All significant transactions and balances between the Company, its subsidiaries and the VIE have been eliminated upon consolidation. The non-controlling interests in consolidated subsidiaries are shown separately in the consolidated financial statements.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the valuation and recognition of share-based compensation arrangements, depreciable lives of property, equipment and software, useful life of intangible assets, assessment for impairment of long-lived assets and intangible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The Group’s reporting currency is the Renminbi (“RMB”). The functional currency of the Company and its subsidiaries which are incorporated in HK is United States dollars (“USD”),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(loss)/income in the consolidated statements of comprehensive gain or loss, and the accumulated foreign currency translation adjustments are presented as a component of accumulated other comprehensive loss in the consolidated statements of convertible redeemable preferred shares and shareholders’ deficit. Total foreign currency translation adjustment (gains)/losses were RMB(55,493) and RMB124,374 for the years ended December 31, 2016 and 2017, respectively. The grant-date fair value of the Group’s share-based compensation expenses is reported in USD as the respective valuation is conducted in USD as the shares are denominated in USD.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Translations of balances in the consolidated balance sheets, consolidated statements of comprehensive loss and consolidated statements of cash flows from RMB into USD as of and for the year ended December 31, 2017 are solely for the convenience of the reader and were calculated at the rate of USD1.00 = RMB6.6171, representing the noon buying rate in The City of New York for cable transfers of RMB as certified for customs purposes by the Federal Reserve Bank of New York on June 29, 2018. No representation is made that the RMB amounts represent or could have been, or could be, converted, realized or settled into USD at that rate on June 30, 2018, or at any other rate.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Fair value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1—Quoted prices (unadjusted)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2—Observable, market-based inputs, other than quoted prices,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3—Unobservable inputs to the valuation methodology that are significant to the measurement of the fair value of the assets or liabilities.</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Financial assets and liabilities of the Group primarily consist of cash and cash equivalents, restricted cash, short-term investments, trade receivable, amounts due from related parties, prepayments and other current assets, trade payable, amounts due to related parties, short-term borrowings, taxes payable, accruals and other liabilities. As of December 31, 2016 and 2017, the carrying values of these financial instruments are approximated to their fair values due to the short-term maturity of these instruments.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Below is a description of the valuation techniques that the Group uses to measure the fair value of assets that the Group reports on its consolidated balance sheets at fair value on a recurring basis.</w:t>
      </w:r>
    </w:p>
    <w:p>
      <w:pPr>
        <w:spacing w:after="0" w:line="17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Time deposits. </w:t>
      </w:r>
      <w:r>
        <w:rPr>
          <w:rFonts w:ascii="Arial" w:cs="Arial" w:eastAsia="Arial" w:hAnsi="Arial"/>
          <w:sz w:val="17"/>
          <w:szCs w:val="17"/>
          <w:color w:val="auto"/>
        </w:rPr>
        <w:t>The Group values its time deposits held in certain bank accounts using quoted prices for securities with similar characteristics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observable inputs, and accordingly, the Group classifies the valuation techniques that use these inputs as Level 2.</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 xml:space="preserve">Short-term borrowings. </w:t>
      </w:r>
      <w:r>
        <w:rPr>
          <w:rFonts w:ascii="Arial" w:cs="Arial" w:eastAsia="Arial" w:hAnsi="Arial"/>
          <w:sz w:val="18"/>
          <w:szCs w:val="18"/>
          <w:color w:val="auto"/>
        </w:rPr>
        <w:t>The rates of interest under the loan agreements with the lending banks were determined based on the prevailing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in the market. The Group classifies the valuation techniques that use these inputs as Level 2.</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i w:val="1"/>
          <w:iCs w:val="1"/>
          <w:color w:val="auto"/>
        </w:rPr>
        <w:t xml:space="preserve">Short-term receivables and payables. </w:t>
      </w:r>
      <w:r>
        <w:rPr>
          <w:rFonts w:ascii="Arial" w:cs="Arial" w:eastAsia="Arial" w:hAnsi="Arial"/>
          <w:sz w:val="18"/>
          <w:szCs w:val="18"/>
          <w:color w:val="auto"/>
        </w:rPr>
        <w:t>Trade receivable and prepayments and other current assets are financial assets with carrying values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 term nature. Trade payable, accruals and other liabilities are financial liabilities with carrying values that approximate fair value due to their short term nature.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Prepayments and other assets in non-current assets. </w:t>
      </w:r>
      <w:r>
        <w:rPr>
          <w:rFonts w:ascii="Arial" w:cs="Arial" w:eastAsia="Arial" w:hAnsi="Arial"/>
          <w:sz w:val="18"/>
          <w:szCs w:val="18"/>
          <w:color w:val="auto"/>
        </w:rPr>
        <w:t>Prepayments and other assets in non-current assets are financial assets with carrying values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approximates fair value due to the change in fair value after considering the discount rate. The Group estimated fair values of non-current prepayments and other assets using the discount cash flow method.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Cash and cash equivalents represent cash on hand, time deposits and highly-liquid investments placed with banks or other financial institutions, which are unrestricted as to withdrawal and use, and which have original maturities of three months or less. The Group adopted ASU No. 2016-18, </w:t>
      </w:r>
      <w:r>
        <w:rPr>
          <w:rFonts w:ascii="Arial" w:cs="Arial" w:eastAsia="Arial" w:hAnsi="Arial"/>
          <w:sz w:val="18"/>
          <w:szCs w:val="18"/>
          <w:i w:val="1"/>
          <w:iCs w:val="1"/>
          <w:color w:val="auto"/>
        </w:rPr>
        <w:t xml:space="preserve">Statement of Cash Flows: Restricted Cash (Topic 230) </w:t>
      </w:r>
      <w:r>
        <w:rPr>
          <w:rFonts w:ascii="Arial" w:cs="Arial" w:eastAsia="Arial" w:hAnsi="Arial"/>
          <w:sz w:val="18"/>
          <w:szCs w:val="18"/>
          <w:color w:val="auto"/>
        </w:rPr>
        <w:t>for interim periods beginning after January 1, 2018, using a retrospective method to each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The changes in restricted cash in the consolidated cash flow were RMB15,335 and RMB9,564 for the years ended December 31, 2016 and 2017, respectively, which were no longer presented within investing activities and were retrospectively included in the changes of cash, cash equivalents and restricted cash as required.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Restricted cash</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Cash that is restricted as to withdrawal for use or pledged as security is reported separately on the face of the Consolidated Balance Sheets, and is not included in the total cash and cash equivalents in the Consolidated Statements of Cash Flows. The Group’s restricted cash mainly represents (a) the secured deposits held in designated bank accounts for issuance of bank credit card; (b) time deposit that are pledged for property lease.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 Inventories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Should estimates of future selling prices or production costs change, additional and potentially material increases to this reserve may be required.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small change in the estimates may result in a material charge to the reported financial results.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 Trading securities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Trading securities are comprised of bonds and are all designated as trading securities as they have been acquired principally for the purpose of selling in the near term. They are recognized on the trade date, when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Group enters into contractual arrangements with counterparties, and are normally derecognized when sold. They are initially measured at fair value, with transaction costs taken to the statements of operations and comprehensive loss. Subsequent changes in their fair values and interest are recognized in the statements of comprehensive loss.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 Property, plant and equipment, net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Production facilities</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Purchased software</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Office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4320" w:type="dxa"/>
            <w:vAlign w:val="bottom"/>
            <w:gridSpan w:val="2"/>
            <w:shd w:val="clear" w:color="auto" w:fill="CCEEFF"/>
          </w:tcPr>
          <w:p>
            <w:pPr>
              <w:ind w:left="1480"/>
              <w:spacing w:after="0" w:line="201" w:lineRule="exact"/>
              <w:rPr>
                <w:sz w:val="20"/>
                <w:szCs w:val="20"/>
                <w:color w:val="auto"/>
              </w:rPr>
            </w:pPr>
            <w:r>
              <w:rPr>
                <w:rFonts w:ascii="Arial" w:cs="Arial" w:eastAsia="Arial" w:hAnsi="Arial"/>
                <w:sz w:val="18"/>
                <w:szCs w:val="18"/>
                <w:color w:val="auto"/>
                <w:w w:val="95"/>
              </w:rPr>
              <w:t>Shorter of the estimated useful life or</w:t>
            </w: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remaining lease term</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Others</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to 5 years</w:t>
            </w:r>
          </w:p>
        </w:tc>
      </w:tr>
    </w:tbl>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 Intangible assets, net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Intangible assets are carried at cost less accumulated amortization and impairment, if any. Intangible assets are amortized using the straight-line method over the estimated useful lives as below:</w:t>
      </w:r>
    </w:p>
    <w:p>
      <w:pPr>
        <w:spacing w:after="0" w:line="18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Useful lives</w:t>
      </w: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18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2230"/>
              <w:spacing w:after="0"/>
              <w:rPr>
                <w:sz w:val="20"/>
                <w:szCs w:val="20"/>
                <w:color w:val="auto"/>
              </w:rPr>
            </w:pPr>
            <w:r>
              <w:rPr>
                <w:rFonts w:ascii="Arial" w:cs="Arial" w:eastAsia="Arial" w:hAnsi="Arial"/>
                <w:sz w:val="18"/>
                <w:szCs w:val="18"/>
                <w:color w:val="auto"/>
                <w:w w:val="81"/>
              </w:rPr>
              <w:t>3 years</w:t>
            </w: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Domain names and others</w:t>
            </w:r>
          </w:p>
        </w:tc>
        <w:tc>
          <w:tcPr>
            <w:tcW w:w="4660" w:type="dxa"/>
            <w:vAlign w:val="bottom"/>
            <w:gridSpan w:val="2"/>
          </w:tcPr>
          <w:p>
            <w:pPr>
              <w:jc w:val="right"/>
              <w:ind w:right="2230"/>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estimated useful lives of amortized intangible assets are reassessed if circumstances occur that indicate the original estimated useful lives have changed.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 Long-term investments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December 31, 2017, the Group’s long-term investments was accounted for using equity method. Investments in entities in which the Group can exercise significant influence and holds an investment in voting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common stock or in-substance common stock (or both) of the investee but does not own a majority equity interest or control are accounted for using the equity method of accounting in accordance with ASC topic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(“ASC 323”). Under the equity method, the Group initially records its investments at cost.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 Impairment of long-lived assets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 was recognized for the years ended December 31, 2016 and 2017.</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 Revenue recognition</w:t>
      </w:r>
    </w:p>
    <w:p>
      <w:pPr>
        <w:spacing w:after="0" w:line="117"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The Group did not generate revenue in 2016 and 2017. It launched the first volume manufactured electric vehicle, the ES8, to the public in December 2017 and will start making deliveries to users in June 2018. The Group’s revenue is expected to be primarily derived from sales of the electrical vehicles and provision of charging solutions and service packages to its users.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 Customer incentives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Group offers customer loyalty program points as customer incentives. For customer incentives offered where prior purchase is not required, the Group accounts for them as selling and marketing expense when the points are generated. Unredeemed incentives are recorded in other current liabilities in the consolidated balance sheet until they are redeemed for merchandise. The Group estimates liabilities under the customer loyalty program based on accumulated customer incentives, and the estimate of probability of redemption in accordance with the historical redemption pattern. As the Group currently does not have sufficient historical information for now to determine point forfeitures or breakage, the Group recorded estimated liabilities for all points earned by customers. As of December 31, 2016 and 2017, liabilities recorded related to membership points are nil and RMB16,460, respectively.</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 Sales and marketing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 31, 2016 and 2017, advertising costs totaled RMB4,095 and RMB63,427,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 Research and development expenses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 General and administrative expenses</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General and administrative expenses consist primarily of salaries, bonuses, share-based compensation and benefits for employees involved in general corporate functions and those not specifically dedicated to research and development activities, depreciation and amortization of fixed assets which are not used in research and development activities, legal and professional services fees, rental and other general corporate related expenses.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 Employee benefits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RMB105,955 and RMB231,070 for the years ended December 31, 2016 and 2017, respectively.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 Government grants</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Group’s PRC based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income upon receipt as further performance by the Group is not required.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 Income taxes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 xml:space="preserve">Current income taxes are recorded in accordance with the regulations of the relevant tax jurisdiction. The Group accounts for income taxes under the asset and liability method in accordance with ASC 740, </w:t>
      </w:r>
      <w:r>
        <w:rPr>
          <w:rFonts w:ascii="Arial" w:cs="Arial" w:eastAsia="Arial" w:hAnsi="Arial"/>
          <w:sz w:val="17"/>
          <w:szCs w:val="17"/>
          <w:i w:val="1"/>
          <w:iCs w:val="1"/>
          <w:color w:val="auto"/>
        </w:rPr>
        <w:t>Income Tax</w:t>
      </w:r>
      <w:r>
        <w:rPr>
          <w:rFonts w:ascii="Arial" w:cs="Arial" w:eastAsia="Arial" w:hAnsi="Arial"/>
          <w:sz w:val="17"/>
          <w:szCs w:val="17"/>
          <w:color w:val="auto"/>
        </w:rPr>
        <w:t>.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2016 and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 Share-based compensation</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Company grants restricted shares (“RS”) and share options to eligible employees and non-employee consultants and accounts for share-based compensation in accordance with ASC 718, Compensation—</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and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24"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Employees’ share-based compensation awards are measured at the grant date fair value of the awards and recognized as expenses a) immediately at grant date if no vesting conditions are required; or b) for share options or restricted shares granted with only service conditions, using the straight-line vesting method, net of estimated forfeitures, over the vesting period; or c) for share options granted with service conditions and the occurrence of an initial public offering (“IPO”) as performance condition, cumulative share-based compensation expenses for the options that have satisfied the service condition will be recorded upon the completion of the IPO, using the graded vesting method; or d) for share options where the underlying share is liability within the scope of ASC 480, using graded vesting method, net of estimated forfeitures, over the vesting period, and remeasure the fair value of the award at each reporting period end until the award is settled.</w:t>
      </w:r>
    </w:p>
    <w:p>
      <w:pPr>
        <w:spacing w:after="0" w:line="17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The Group applies the guidance in ASC 505-50 to measure share options and restricted shares granted to non-employees based on the then-current fair value at each reporting date.</w:t>
      </w:r>
    </w:p>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fair value of the restricted shares were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In addition, 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dividends. The fair value of these awards was determined taking into account independent valuation advice.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173"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Group uses historical data to estimate pre-vesting option and records share-based compensation expenses only for those awards that are expected to vest.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(x) Comprehensive income/(loss)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The Group applies 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(loss)/income, which mainly consists of the foreign currency translation adjustment that have been excluded from the determination of net loss.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 Leases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Leases are classified at the inception date as either a capital lease or an operating lease.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73"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All other leases are accounted for as operating leases wherein rental payments are expensed as incurred. The Group has not capitalized leases for the years ended December 31, 2016 and 2017. Payments made under operating lease to the lessors are charged to the consolidated statement of comprehensive loss on a straight-line basis over the lease period. Operating lease expenses recorded in the accompanying consolidated statements of comprehensive loss amounted to RMB102,020 and RMB228,478 for the years ended December 31, 2016 and 2017, respectively.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 Dividends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Dividends are recognized when declared. No dividends were declared for the years ended December 31, 2016 and 2017, respectively.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(aa) Earnings/(Loss) per share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Basic earnings/(loss) per share is computed by dividing net income/(loss) attributable to holders of ordinary shares, considering the accretions to redemption value of the preferred shares, by the weighted average number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restricted share units and ordinary shares issuable upon the exercise of outstanding share option (using the treasury stock method). Ordinary equivalent shares are not included in the denominator of the diluted earnings per share calculation when inclusion of such shares would be anti-dilutive.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 Segment reporting</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establishes standards for companies to report in their financial statements information about operating segments, products, services, geographic areas, and major customers.</w:t>
      </w:r>
    </w:p>
    <w:p>
      <w:pPr>
        <w:spacing w:after="0" w:line="170"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 Revision to previously issued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financial statements as of and for the year ended December 31, 2016 are being revised to correct errors primarily related to:</w:t>
      </w:r>
    </w:p>
    <w:p>
      <w:pPr>
        <w:spacing w:after="0" w:line="117" w:lineRule="exact"/>
        <w:rPr>
          <w:sz w:val="20"/>
          <w:szCs w:val="20"/>
          <w:color w:val="auto"/>
        </w:rPr>
      </w:pPr>
    </w:p>
    <w:p>
      <w:pPr>
        <w:ind w:left="640" w:right="100" w:firstLine="428"/>
        <w:spacing w:after="0" w:line="257"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limited recourse loan provided to an executive by the Company for the issuance of Series A-3 convertible redeemable preferred shares (“Series A-3 Preferred Shares”), which was previously accounted for as non-current receivables with an amount of RMB80,809. It has been revised to account for the limited recourse loan as an option provided to the executive to purchase the Series A-3 Preferred Shares. Accordingly, share based compensation expenses amounting to RMB19,581 should be recognized in the Company’s consolidated financial statements for the year ended December 31, 2016;</w:t>
      </w:r>
    </w:p>
    <w:p>
      <w:pPr>
        <w:spacing w:after="0" w:line="80" w:lineRule="exact"/>
        <w:rPr>
          <w:rFonts w:ascii="Arial" w:cs="Arial" w:eastAsia="Arial" w:hAnsi="Arial"/>
          <w:sz w:val="18"/>
          <w:szCs w:val="18"/>
          <w:color w:val="auto"/>
        </w:rPr>
      </w:pPr>
    </w:p>
    <w:p>
      <w:pPr>
        <w:ind w:left="640" w:firstLine="428"/>
        <w:spacing w:after="0" w:line="264"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of software to be sold, leased, or marketed, amounting to RMB59,052, which was previously capitalized by the Group. The Group has revised its consolidated financial statements for the year ended December 31, 2016 to expense the software development costs due to the capitalization criteria was not met.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impact of these revisions on the previously issued consolidated financial statements are not material.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240" w:top="460"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beginning after December 15, 2017, with early adoption permitted for interim and annual periods beginning after December 15, 2016. The Group has not started to generate revenue yet, therefore, there will be no impact when it is adopted in 2018.</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The main objective of this update is to enhance the reporting model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March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Company is in the process of evaluating the impact of ASU 2016-01 on its consolidated financial statements.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ASU is effective for reporting periods beginning after December 15, 2018 and interim periods within those fiscal years. Early adoption is permitted. The ASU will require lessees to report most leases as assets and liabilities on the balance sheet, while lessor accounting will remain substantially unchanged. The ASU requires a modified retrospective transition approach for existing leases, whereby the new rules will be applied to the earliest year presented. The Group is currently evaluating the impact that the adoption of this standard will have on its financial condition and results from operations.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2016-09”). ASU 2016-09 simplifies the accounting for share-based payment transactions specifically related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 amendments are effective for fiscal years beginning after December 15, 2017, and interim periods within those fiscal years. Early adoption is permitted. The Group is currently evaluating the impact that the adoption of this standard will have on its financial condition and results from operations.</w:t>
      </w:r>
    </w:p>
    <w:p>
      <w:pPr>
        <w:spacing w:after="0" w:line="19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 (Topic 230)</w:t>
      </w:r>
      <w:r>
        <w:rPr>
          <w:rFonts w:ascii="Arial" w:cs="Arial" w:eastAsia="Arial" w:hAnsi="Arial"/>
          <w:sz w:val="18"/>
          <w:szCs w:val="18"/>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ASU is effective for fiscal years beginning after December 15, 2017, and interim periods within fiscal years beginning after December 15, 2018. Early adoption is permitted, including adoption in an interim period. The Group does not expect the adoption to have a material impact on its consolidated financial statements.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380" w:hanging="176"/>
        <w:spacing w:after="0"/>
        <w:tabs>
          <w:tab w:leader="none" w:pos="3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and Risks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Assets that potentially subject the Group to significant concentrations of credit risk primarily consist of cash and cash equivalents, restricted cash and trade receivable. The maximum exposure of such assets to credit risk is their carrying amounts as of the balance sheet dates. As of December 31, 2016 and 2017, all of the Group’s cash and cash equivalents, restricted cash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Currency convertibility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PRC government imposes controls on the convertibility of RMB into foreign currencies. The Group’s cash and cash equivalents and restricted cash denominated in RMB that are subject to such government controls amounted to RMB83,153 and RMB914,460 as of December 31, 2016 and 2017,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40" w:type="dxa"/>
            <w:vAlign w:val="bottom"/>
          </w:tcPr>
          <w:p>
            <w:pPr>
              <w:spacing w:after="0"/>
              <w:rPr>
                <w:sz w:val="14"/>
                <w:szCs w:val="14"/>
                <w:color w:val="auto"/>
              </w:rPr>
            </w:pPr>
          </w:p>
        </w:tc>
        <w:tc>
          <w:tcPr>
            <w:tcW w:w="3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 in process</w:t>
            </w:r>
          </w:p>
        </w:tc>
        <w:tc>
          <w:tcPr>
            <w:tcW w:w="2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22,262</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Merchandise</w:t>
            </w:r>
          </w:p>
        </w:tc>
        <w:tc>
          <w:tcPr>
            <w:tcW w:w="2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6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89,464</w:t>
            </w:r>
          </w:p>
        </w:tc>
        <w:tc>
          <w:tcPr>
            <w:tcW w:w="6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Raw materials and work in process as of December 31, 2017 are mainly used for research and development purpose and will be expensed when incurred.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Merchandise inventory includes branded merchandise of NIO which can be redeemed by deducting membership rewards points of customer loyalty program in the Group’s application store.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Prepayments and other 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VAT input</w:t>
            </w: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152,457</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Prepayment to vendors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102,326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185,401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receivables</w:t>
            </w:r>
          </w:p>
        </w:tc>
        <w:tc>
          <w:tcPr>
            <w:tcW w:w="2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28,734</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Prepayment to vendors mainly consist of prepaid rental for offices and NIO Houses, and prepaid expenses for R&amp;D services provided by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and related accumulated depreciation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60" w:type="dxa"/>
            <w:vAlign w:val="bottom"/>
          </w:tcPr>
          <w:p>
            <w:pPr>
              <w:spacing w:after="0"/>
              <w:rPr>
                <w:sz w:val="14"/>
                <w:szCs w:val="14"/>
                <w:color w:val="auto"/>
              </w:rPr>
            </w:pPr>
          </w:p>
        </w:tc>
        <w:tc>
          <w:tcPr>
            <w:tcW w:w="2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199,947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413,368</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83,585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178,534</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Purchased software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55,814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135,775</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173,741</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Production facilities</w:t>
            </w:r>
          </w:p>
        </w:tc>
        <w:tc>
          <w:tcPr>
            <w:tcW w:w="16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134,080</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Motor vehicles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19,681</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12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Subtotal</w:t>
            </w:r>
          </w:p>
        </w:tc>
        <w:tc>
          <w:tcPr>
            <w:tcW w:w="1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879,724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2,132,441</w:t>
            </w:r>
          </w:p>
        </w:tc>
        <w:tc>
          <w:tcPr>
            <w:tcW w:w="12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(46,720)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(221,428)</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1,911,013</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The Group recorded depreciation expenses of RMB45,013 and RMB165,960 for the years ended December 31, 2016 and 2017, respectively. F-25</w:t>
      </w:r>
    </w:p>
    <w:p>
      <w:pPr>
        <w:sectPr>
          <w:pgSz w:w="11900" w:h="16838" w:orient="portrait"/>
          <w:cols w:equalWidth="0" w:num="1">
            <w:col w:w="10780"/>
          </w:cols>
          <w:pgMar w:left="240" w:top="460" w:right="8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and related accumulated amortization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5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7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 and others</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(1,017)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w:t>
            </w:r>
          </w:p>
        </w:tc>
        <w:tc>
          <w:tcPr>
            <w:tcW w:w="5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3,199</w:t>
            </w:r>
          </w:p>
        </w:tc>
        <w:tc>
          <w:tcPr>
            <w:tcW w:w="1700" w:type="dxa"/>
            <w:vAlign w:val="bottom"/>
            <w:gridSpan w:val="3"/>
          </w:tcPr>
          <w:p>
            <w:pPr>
              <w:ind w:left="880"/>
              <w:spacing w:after="0"/>
              <w:rPr>
                <w:sz w:val="20"/>
                <w:szCs w:val="20"/>
                <w:color w:val="auto"/>
              </w:rPr>
            </w:pPr>
            <w:r>
              <w:rPr>
                <w:rFonts w:ascii="Arial" w:cs="Arial" w:eastAsia="Arial" w:hAnsi="Arial"/>
                <w:sz w:val="18"/>
                <w:szCs w:val="18"/>
                <w:color w:val="auto"/>
              </w:rPr>
              <w:t>(1,955)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7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recorded amortization expenses of RMB1,074 and RMB1,898 for the years ended December 31, 2016 and 2017, respectively.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amortization expenses related to the intangible assets for future periods are estimated to be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9"/>
              </w:rPr>
              <w:t>2021</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2023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expenses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2,035</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815</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614</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9. Other Non-current Assets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Other non-current assets consist of the following:</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Prepayments for purchase of property and equipment</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Long-term deposits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24,163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80,168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136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40,767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131,141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deposit mainly consists of rental deposit for offices and NIO Houses which will not be collectible within one year.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Short-term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Short-term borrowings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80" w:type="dxa"/>
            <w:vAlign w:val="bottom"/>
          </w:tcPr>
          <w:p>
            <w:pPr>
              <w:spacing w:after="0"/>
              <w:rPr>
                <w:sz w:val="14"/>
                <w:szCs w:val="14"/>
                <w:color w:val="auto"/>
              </w:rPr>
            </w:pPr>
          </w:p>
        </w:tc>
        <w:tc>
          <w:tcPr>
            <w:tcW w:w="2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December 2017, the Group entered into a loan agreement totaling RMB10,000 and bearing interest at 4.57% per annum with the maturity date of June 7,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December 2017, the Group entered into another loan agreement totaling RMB18,787 and bearing interest at 4.87% per annum with the maturity date of June 7,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Accruals and Other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Accruals and other liabilities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15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Payables for purchase of property and equipment</w:t>
            </w: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190,681</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Payable for R&amp;D expenses</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248,172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126,384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55,190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Non-recourse loan</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19,582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Payables for marketing events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payables</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Payables for traveling</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payables</w:t>
            </w:r>
          </w:p>
        </w:tc>
        <w:tc>
          <w:tcPr>
            <w:tcW w:w="124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38,302</w:t>
            </w:r>
          </w:p>
        </w:tc>
        <w:tc>
          <w:tcPr>
            <w:tcW w:w="6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685,323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Long-term Borrowings</w:t>
            </w: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Long-term borrowings consist of the following:</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loan</w:t>
            </w: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Loan from joint investor</w:t>
            </w:r>
          </w:p>
        </w:tc>
        <w:tc>
          <w:tcPr>
            <w:tcW w:w="11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 announced by PBOC. Given Nanjing Xingzhi does not bear the risk of the losses and only entitles to fixed interest income, the Group regarded it a loan in substance and recorded it in liability with the interest expenses amortized through the period.</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May 17, 2017, the Group entered into a secured loan agreement with the Bank of Nanjing of a facility amount of RMB685,000 with a maturity date of May 17, 2022. As of December 31, 2017, the aggregated draw amounted to RMB454,901 and the loan interest payable to Bank of Nanjing was RMB718 with an effective interest rate of 4.75% which is the current market rate. The loan was guaranteed by Nanjing Xingzhi as an incentive for XPT NJES to continue doing business in the respective region. There is no restrictive financial covenants attached to the loan.</w:t>
      </w:r>
    </w:p>
    <w:p>
      <w:pPr>
        <w:spacing w:after="0" w:line="17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 May 18, 2017, the Group entered into a joint investment agreement with Wuhan Donghu New Technology Development Zone Management Committee (“Wuhan Donghu”) to set up a joint venture entity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“PE WHJV”). Wuhan Donghu subscribed for RMB384,000 paid in capital in PE WHJV with 49% of the shares. As of December 31, 2017, Wuhan Donghu injected RMB150,000 in cash to PE WHJV.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Other Non-Current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liabilities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construction allowance</w:t>
            </w:r>
          </w:p>
        </w:tc>
        <w:tc>
          <w:tcPr>
            <w:tcW w:w="17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14,652</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Rental payable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26,425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48,926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payable represents the difference between the straight-line rental expenses and the actual rental fee paid for long term rental agreements.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Design and development expenses</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948,753</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1,455,297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Employee compensation</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451,284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1,004,835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7,819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38,940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Others</w:t>
            </w:r>
          </w:p>
        </w:tc>
        <w:tc>
          <w:tcPr>
            <w:tcW w:w="2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1,465,353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2,602,889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gridSpan w:val="2"/>
          </w:tcPr>
          <w:p>
            <w:pPr>
              <w:jc w:val="right"/>
              <w:ind w:right="2677"/>
              <w:spacing w:after="0"/>
              <w:rPr>
                <w:sz w:val="20"/>
                <w:szCs w:val="20"/>
                <w:color w:val="auto"/>
              </w:rPr>
            </w:pPr>
            <w:r>
              <w:rPr>
                <w:rFonts w:ascii="Arial" w:cs="Arial" w:eastAsia="Arial" w:hAnsi="Arial"/>
                <w:sz w:val="18"/>
                <w:szCs w:val="18"/>
                <w:color w:val="auto"/>
              </w:rPr>
              <w:t>F-28</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240" w:top="460" w:right="5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Selling,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general and administrative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473,302</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Marketing and promotional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239,549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523,535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Professional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133,368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128,918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IT consumable, office supply and other low value consumable</w:t>
            </w:r>
          </w:p>
        </w:tc>
        <w:tc>
          <w:tcPr>
            <w:tcW w:w="780" w:type="dxa"/>
            <w:vAlign w:val="bottom"/>
          </w:tcPr>
          <w:p>
            <w:pPr>
              <w:jc w:val="right"/>
              <w:spacing w:after="0"/>
              <w:rPr>
                <w:sz w:val="20"/>
                <w:szCs w:val="20"/>
                <w:color w:val="auto"/>
              </w:rPr>
            </w:pPr>
            <w:r>
              <w:rPr>
                <w:rFonts w:ascii="Arial" w:cs="Arial" w:eastAsia="Arial" w:hAnsi="Arial"/>
                <w:sz w:val="18"/>
                <w:szCs w:val="18"/>
                <w:color w:val="auto"/>
              </w:rPr>
              <w:t>21,621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1,137,187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2,350,707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Acquisition and Investment in Equity Investees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June 1, 2017, the Company entered into an agreement with the minority shareholder of NIO Sport for the purchase of the remaining 45% shares of NIO Sport at total consideration of USD4,000 and GBP200 (RMB28,417 equivalent in total). The Company recorded the difference between the carrying amount of the non-controlling interest and the consideration paid in accumulated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Convertible Promissory Note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On February 16, 2017, the Company issued convertible promissory note (“the Note”) in the aggregated principal amount of USD48,000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USD100,000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USD2.751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USD1,800 (RMB12,389 equivalent).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Convertible Redeemable Preferred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March 2015, the Company issued 165,000,000 shares of Series A-1 convertible redeemable preferred shares (“Series A-1 Preferred Shares”) for USD1.00 per share for cash of USD165,000. The total consideration was paid in three instalments and were fully paid in January 2017. In March and May 2015, the Company issued 130,000,000 shares of Series A-2 convertible redeemable preferred shares (“Series A-2 Preferred Shares”) for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USD1.00 per share for cash of USD130,000. In September 2015, the Company issued 24,210,431 shares of Series A-3 Preferred Shares for USD1.6522 per share for cash of USD40,000. The Series A-1, A-2 and A-3 Preferred Shares are collectively referred to as the “Series A Preferred Shares”.</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June, July, August, September 2016 and February 2017, the Company issued 114,867,321 shares of Series B convertible redeemable preferred shares (“Series B Preferred Shares”) for USD2.751 per share for cash of USD316,000.</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March, April, May and July 2017, the Company issued 166,205,830 shares of Series C convertible redeemable preferred shares (“Series C Preferred Shares”) for USD3.885 per share for cash of USD645,709.</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November and December 2017, the Company issued 211,156,415 shares of Series D convertible redeemable preferred shares (“Series D Preferred Shares”) for USD5.353 per share for cash of USD1,130,320. USD12,000 out of the total consideration from one of the investor was not paid until March 28, 2018 and it was treated as a reduction of Series D Preferred Shares until it was paid. In addition, a finder’s commission of USD26,000 was incurred for the Series D Preferred Shares financing. The Company paid 50% of the commission in cash amounted USD13,000 and the remaining 50% by issuance of 2,428,588 shares of Series D Preferred Shares for free to the financial advisory. The total of the finder’s commission was also recorded as an issuance cost as a deduction of the preferred shares.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Series A-1, A-2, A-3, B, C and D Preferred Shares are collectively referred to as the “Preferred Shares”. All series of Preferred Shares have the same par value of USD0.00025 per share.</w:t>
      </w:r>
    </w:p>
    <w:p>
      <w:pPr>
        <w:spacing w:after="0" w:line="170"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qualified initial public offering (“QIPO”) by December 31, 2021. The Preferred Shares are recorded initially at fair value, net of issuance costs. The issuance costs for Series A-1, A-2, A-3, B, C, and D were USD301, USD189, USD208, USD1,782, USD1,489 and USD764 (RMB1,892, RMB1,177, RMB1,296, RMB11,857, RMB10,039 and RMB5,149, equivalent).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major rights, preferences and privileges of the Preferred Shares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approval and declaration by the Board of Directors, the holders of the Preferred Shares (exclusive of unpaid shares) are entitled to receive dividends in the following order:</w:t>
      </w:r>
    </w:p>
    <w:p>
      <w:pPr>
        <w:spacing w:after="0" w:line="76" w:lineRule="exact"/>
        <w:rPr>
          <w:sz w:val="20"/>
          <w:szCs w:val="20"/>
          <w:color w:val="auto"/>
        </w:rPr>
      </w:pPr>
    </w:p>
    <w:p>
      <w:pPr>
        <w:ind w:left="1060" w:right="280" w:hanging="424"/>
        <w:spacing w:after="0" w:line="342"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1060" w:right="2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B Preferred Shareholders are entitled to receive dividends at an amount equal to 5% of the issue price prior to and in preference to any dividend on the Series A Preferred Shares and ordinary shares;</w:t>
      </w:r>
    </w:p>
    <w:p>
      <w:pPr>
        <w:spacing w:after="0" w:line="75"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A Preferred Shareholders are entitled to receive dividends at an amount equal to 5% of the issue price prior to and in preference to any ordinary shares;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dividends on preferred and ordinary shares have been declared since the issuance date through December 31, 2016 and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Preferred Shares (exclusive of unpaid shares) would automatically be converted into common shares 1) upon a QIPO; or 2) upon the written consent of the holders of a majority of the outstanding Preferred Share of each class with respect to conversion of each class.</w:t>
      </w:r>
    </w:p>
    <w:p>
      <w:pPr>
        <w:spacing w:after="0" w:line="14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60"/>
          </w:cols>
          <w:pgMar w:left="24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Company shall redeem, at the option of any holder of outstanding Preferred Shares, all of the outstanding Preferred Shares (other than the unpaid shares) held by the requesting holder, at any time after the 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8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Company recognized accretion to the respective redemption value of the Preferred Shares over the period starting from issuance date to December 31, 2021, the earliest redemption date. According to the redemption price calculation described above, the Company recognized accretion of the Preferred Shares amounted to RMB981,233 and RMB2,576,935 during the years ended December 31, 2016 and 2017, respectively.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convertible redeemable preferred shares activities for the year ended December 31, 2016 and 2017 are summarized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Series A-1 &amp; A-2</w:t>
            </w:r>
          </w:p>
        </w:tc>
        <w:tc>
          <w:tcPr>
            <w:tcW w:w="100" w:type="dxa"/>
            <w:vAlign w:val="bottom"/>
          </w:tcPr>
          <w:p>
            <w:pPr>
              <w:spacing w:after="0"/>
              <w:rPr>
                <w:sz w:val="14"/>
                <w:szCs w:val="14"/>
                <w:color w:val="auto"/>
              </w:rPr>
            </w:pPr>
          </w:p>
        </w:tc>
        <w:tc>
          <w:tcPr>
            <w:tcW w:w="13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Series A-3</w:t>
            </w:r>
          </w:p>
        </w:tc>
        <w:tc>
          <w:tcPr>
            <w:tcW w:w="100" w:type="dxa"/>
            <w:vAlign w:val="bottom"/>
          </w:tcPr>
          <w:p>
            <w:pPr>
              <w:spacing w:after="0"/>
              <w:rPr>
                <w:sz w:val="14"/>
                <w:szCs w:val="14"/>
                <w:color w:val="auto"/>
              </w:rPr>
            </w:pPr>
          </w:p>
        </w:tc>
        <w:tc>
          <w:tcPr>
            <w:tcW w:w="156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4"/>
                <w:szCs w:val="14"/>
                <w:color w:val="auto"/>
              </w:rPr>
            </w:pPr>
          </w:p>
        </w:tc>
        <w:tc>
          <w:tcPr>
            <w:tcW w:w="15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4"/>
                <w:szCs w:val="14"/>
                <w:color w:val="auto"/>
              </w:rPr>
            </w:pPr>
          </w:p>
        </w:tc>
        <w:tc>
          <w:tcPr>
            <w:tcW w:w="15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Series D</w:t>
            </w:r>
          </w:p>
        </w:tc>
        <w:tc>
          <w:tcPr>
            <w:tcW w:w="100" w:type="dxa"/>
            <w:vAlign w:val="bottom"/>
          </w:tcPr>
          <w:p>
            <w:pPr>
              <w:spacing w:after="0"/>
              <w:rPr>
                <w:sz w:val="14"/>
                <w:szCs w:val="14"/>
                <w:color w:val="auto"/>
              </w:rPr>
            </w:pPr>
          </w:p>
        </w:tc>
        <w:tc>
          <w:tcPr>
            <w:tcW w:w="1680" w:type="dxa"/>
            <w:vAlign w:val="bottom"/>
            <w:gridSpan w:val="4"/>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January 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1,340,034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276,695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319,210,431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1,616,729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Proceeds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Series A-1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w w:val="94"/>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401,478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401,478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1,862,134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1,862,134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Accretion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redeemable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w w:val="98"/>
              </w:rPr>
              <w:t>preferred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to redemption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798,481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29,983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152,769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981,233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2,539,993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2,014,903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421,355,106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4,861,574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5"/>
                <w:szCs w:val="15"/>
                <w:color w:val="auto"/>
              </w:rPr>
              <w:t>Proceeds from</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Series A-1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w w:val="94"/>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12,722,646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240,066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4,398,313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7,314,387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392,513,479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11,952,766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Accretion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redeemable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w w:val="98"/>
              </w:rPr>
              <w:t>preferred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to redemption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2,205,227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120,451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40,011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56,283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154,963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2,576,935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5,011,731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427,129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2,294,980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4,454,596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7,469,350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813,868,585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19,657,786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Ordinary Shares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Upon inception, each ordinary share was issued at a par value of USD0.00025 per share. Various numbers of ordinary shares were issued to share-based compensation award recipients. As of December 31, 2017,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USD0.00025 per share.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As of December 31, 2016 and 2017, 1,558,412,315 and 1,151,269,325 ordinary shares were authorized, respectively, 32,003,810 and 36,727,350 shares were issued and 17,773,459 and 23,850,343 shares were outstanding as of December 31, 2016 and 2017, respectively.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expenses recognized for share-based awards granted by the Company were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62,200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76,684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81" w:lineRule="auto"/>
        <w:rPr>
          <w:sz w:val="20"/>
          <w:szCs w:val="20"/>
          <w:color w:val="auto"/>
        </w:rPr>
      </w:pPr>
      <w:r>
        <w:rPr>
          <w:rFonts w:ascii="Arial" w:cs="Arial" w:eastAsia="Arial" w:hAnsi="Arial"/>
          <w:sz w:val="15"/>
          <w:szCs w:val="15"/>
          <w:color w:val="auto"/>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2016 and 2017.</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Prime Hubs’ Restricted Shares Plan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granted under the Prime Hubs Plan: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Employees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Employees</w:t>
            </w:r>
          </w:p>
        </w:tc>
        <w:tc>
          <w:tcPr>
            <w:tcW w:w="2080" w:type="dxa"/>
            <w:vAlign w:val="bottom"/>
          </w:tcPr>
          <w:p>
            <w:pPr>
              <w:spacing w:after="0"/>
              <w:rPr>
                <w:sz w:val="14"/>
                <w:szCs w:val="14"/>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1"/>
              </w:rPr>
              <w:t>Number of Shares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350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gridSpan w:val="2"/>
          </w:tcPr>
          <w:p>
            <w:pPr>
              <w:jc w:val="right"/>
              <w:ind w:right="1280"/>
              <w:spacing w:after="0" w:line="158"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49"/>
        </w:trPr>
        <w:tc>
          <w:tcPr>
            <w:tcW w:w="68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Borders>
              <w:top w:val="single" w:sz="8" w:color="auto"/>
            </w:tcBorders>
          </w:tcPr>
          <w:p>
            <w:pPr>
              <w:jc w:val="right"/>
              <w:ind w:right="455"/>
              <w:spacing w:after="0" w:line="149"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2015</w:t>
            </w:r>
          </w:p>
        </w:tc>
        <w:tc>
          <w:tcPr>
            <w:tcW w:w="432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13,450,000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jc w:val="right"/>
              <w:ind w:right="1060"/>
              <w:spacing w:after="0"/>
              <w:rPr>
                <w:sz w:val="20"/>
                <w:szCs w:val="20"/>
                <w:color w:val="auto"/>
              </w:rPr>
            </w:pPr>
            <w:r>
              <w:rPr>
                <w:rFonts w:ascii="Arial" w:cs="Arial" w:eastAsia="Arial" w:hAnsi="Arial"/>
                <w:sz w:val="18"/>
                <w:szCs w:val="18"/>
                <w:color w:val="auto"/>
              </w:rPr>
              <w:t>(3,362,500)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(1,687,500)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Unvested as of December 31, 2016</w:t>
            </w:r>
          </w:p>
        </w:tc>
        <w:tc>
          <w:tcPr>
            <w:tcW w:w="20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8,400,000</w:t>
            </w:r>
          </w:p>
        </w:tc>
        <w:tc>
          <w:tcPr>
            <w:tcW w:w="1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jc w:val="right"/>
              <w:ind w:right="1060"/>
              <w:spacing w:after="0"/>
              <w:rPr>
                <w:sz w:val="20"/>
                <w:szCs w:val="20"/>
                <w:color w:val="auto"/>
              </w:rPr>
            </w:pPr>
            <w:r>
              <w:rPr>
                <w:rFonts w:ascii="Arial" w:cs="Arial" w:eastAsia="Arial" w:hAnsi="Arial"/>
                <w:sz w:val="18"/>
                <w:szCs w:val="18"/>
                <w:color w:val="auto"/>
              </w:rPr>
              <w:t>(3,133,329)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(208,333)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Unvested as of December 31, 2017</w:t>
            </w:r>
          </w:p>
        </w:tc>
        <w:tc>
          <w:tcPr>
            <w:tcW w:w="20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7,058,338</w:t>
            </w:r>
          </w:p>
        </w:tc>
        <w:tc>
          <w:tcPr>
            <w:tcW w:w="1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320" w:type="dxa"/>
            <w:vAlign w:val="bottom"/>
            <w:gridSpan w:val="3"/>
          </w:tcPr>
          <w:p>
            <w:pPr>
              <w:jc w:val="right"/>
              <w:ind w:right="3020"/>
              <w:spacing w:after="0"/>
              <w:rPr>
                <w:sz w:val="20"/>
                <w:szCs w:val="20"/>
                <w:color w:val="auto"/>
              </w:rPr>
            </w:pPr>
            <w:r>
              <w:rPr>
                <w:rFonts w:ascii="Arial" w:cs="Arial" w:eastAsia="Arial" w:hAnsi="Arial"/>
                <w:sz w:val="18"/>
                <w:szCs w:val="18"/>
                <w:color w:val="auto"/>
              </w:rPr>
              <w:t>F-34</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years ended December 31, 2016 and 2017, total share-based compensation expenses recognized for the employee restricted shares granted under the Prime Hubs Plan were RMB8,435 and RMB20,572, respectively.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there were RMB33,251 and RMB37,651 of unrecognized share-based compensation expenses related to the employee restricted shares granted under the Prime Hubs Plan. Such unrecognized expenses are expected to be recognized over a weighted-average period of 2.14 and 1.69 years, respectively, as of December 31, 2016 and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Non-Employees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Non-Employees</w:t>
            </w:r>
          </w:p>
        </w:tc>
        <w:tc>
          <w:tcPr>
            <w:tcW w:w="22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Number of Shares</w:t>
            </w: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5"/>
        </w:trPr>
        <w:tc>
          <w:tcPr>
            <w:tcW w:w="5540" w:type="dxa"/>
            <w:vAlign w:val="bottom"/>
            <w:gridSpan w:val="3"/>
            <w:vMerge w:val="continue"/>
          </w:tcPr>
          <w:p>
            <w:pPr>
              <w:spacing w:after="0"/>
              <w:rPr>
                <w:sz w:val="14"/>
                <w:szCs w:val="14"/>
                <w:color w:val="auto"/>
              </w:rPr>
            </w:pPr>
          </w:p>
        </w:tc>
        <w:tc>
          <w:tcPr>
            <w:tcW w:w="2280" w:type="dxa"/>
            <w:vAlign w:val="bottom"/>
            <w:gridSpan w:val="2"/>
          </w:tcPr>
          <w:p>
            <w:pPr>
              <w:jc w:val="right"/>
              <w:ind w:right="1340"/>
              <w:spacing w:after="0" w:line="158"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1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Vested</w:t>
            </w:r>
          </w:p>
        </w:tc>
        <w:tc>
          <w:tcPr>
            <w:tcW w:w="2280" w:type="dxa"/>
            <w:vAlign w:val="bottom"/>
            <w:gridSpan w:val="2"/>
          </w:tcPr>
          <w:p>
            <w:pPr>
              <w:jc w:val="right"/>
              <w:ind w:right="1100"/>
              <w:spacing w:after="0"/>
              <w:rPr>
                <w:sz w:val="20"/>
                <w:szCs w:val="20"/>
                <w:color w:val="auto"/>
              </w:rPr>
            </w:pPr>
            <w:r>
              <w:rPr>
                <w:rFonts w:ascii="Arial" w:cs="Arial" w:eastAsia="Arial" w:hAnsi="Arial"/>
                <w:sz w:val="18"/>
                <w:szCs w:val="18"/>
                <w:color w:val="auto"/>
              </w:rPr>
              <w:t>(2,950,000)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2016 and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900" w:firstLine="441"/>
        <w:spacing w:after="0" w:line="277" w:lineRule="auto"/>
        <w:rPr>
          <w:sz w:val="20"/>
          <w:szCs w:val="20"/>
          <w:color w:val="auto"/>
        </w:rPr>
      </w:pPr>
      <w:r>
        <w:rPr>
          <w:rFonts w:ascii="Arial" w:cs="Arial" w:eastAsia="Arial" w:hAnsi="Arial"/>
          <w:sz w:val="18"/>
          <w:szCs w:val="18"/>
          <w:color w:val="auto"/>
        </w:rPr>
        <w:t>In January 2017, the Company agreed to repurchase 250,000 vested Prime Hubs restricted shares from a non-employee with total cash consideration of RMB1,686.</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For the years ended December 31, 2016 and 2017, total share-based compensation expenses recognized for the non-employee restricted shares granted the Prime Hubs Plan were RMB24,532 and nil, respectively.</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December 31, 2016, all share-based compensation expenses related to the non-employee restricted shares granted the Prime Hubs Plan had been recognized.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NIO Incentive Plans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2015, the Company adopted the 2015 Stock Incentive Plan (the “2015 Plan”), which allows the plan administrator to grant options and restricted shares of the Company to its employees, directors, and consultants.</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granted share options to the Group’s non-NIO US employees and both share options and restricted shares to the employees of NIO US.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the Board of Directors further approved the 2016 Stock Incentive Plan (the “2016 Plan”) and the 2017 Stock Incentive Plan (the “2017 Plan”). The 2016 and 2017 Plans have the same terms as 2015 Plan.</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As of December 31, 2016 and 2017,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Share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share options under the 2015, 2016 and 2017 Plans: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5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 Years</w:t>
            </w:r>
          </w:p>
        </w:tc>
        <w:tc>
          <w:tcPr>
            <w:tcW w:w="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53,576,606</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(945,346)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52,623,554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13,460,477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(2,723,540)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(5,236,562)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57,775,914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50,782,627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December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1,297,535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55,832,678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December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5,089,894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20" w:firstLine="441"/>
        <w:spacing w:after="0" w:line="308" w:lineRule="auto"/>
        <w:rPr>
          <w:sz w:val="20"/>
          <w:szCs w:val="20"/>
          <w:color w:val="auto"/>
        </w:rPr>
      </w:pPr>
      <w:r>
        <w:rPr>
          <w:rFonts w:ascii="Arial" w:cs="Arial" w:eastAsia="Arial" w:hAnsi="Arial"/>
          <w:sz w:val="17"/>
          <w:szCs w:val="17"/>
          <w:color w:val="auto"/>
        </w:rPr>
        <w:t>The weighted-average grant date fair value for options granted under the Company’s 2015, 2016 and 2017 Plans during the years ended December 31, 2016 and 2017 was USD0.90 and USD1.21, respectively, computed using the binomial option pricing model.</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total share-based compensation expenses recognized for share options during the years ended December 31, 2016 and 2017 was RMB17,998 and RMB30,127 respectively.</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fair value of each option granted under the Company’s 2015, 2016 and 2017 Plans during 2016 and 2017 was estimated on the date of each grant using the binomial option pricing model with the assumptions (or ranges thereof) in the following table:</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5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2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0.10-0.61</w:t>
            </w:r>
          </w:p>
        </w:tc>
        <w:tc>
          <w:tcPr>
            <w:tcW w:w="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1"/>
              </w:rPr>
              <w:t>Fair value of the ordinary shares on the date of option grant (USD)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0.96-1.30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1.30-2.55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1.46%-1.78%</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F-36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 of December 31, 2016 and 2017, there were RMB106,675 and RMB58,444 of unrecognized compensation expenses related to the stock options granted to the employees of NIO US, which is expected to be recognized over a weighted-average period of 3.37 and 2.53 years, respectively.</w:t>
      </w:r>
    </w:p>
    <w:p>
      <w:pPr>
        <w:spacing w:after="0" w:line="12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2016 and 2017, there were RMB192,340 and RMB275,473 of unrecognized compensation expenses related to the stocks options granted to the Group’s non-NIO US employees with a performance condition of an IPO, out of which, unrecognized compensation expenses of RMB54,529 and RMB138,884 related to options for which the service condition had been met and are expected to be recognized when the performance target of an IPO is achieved.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Restricted shares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fair value of each restricted share granted with service conditions is estimated based on the fair market value of the underlying ordinary shares of the Company on the date of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under the 2015 plan:</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Number of Restricted</w:t>
            </w:r>
          </w:p>
        </w:tc>
        <w:tc>
          <w:tcPr>
            <w:tcW w:w="5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Shares Outstanding</w:t>
            </w:r>
          </w:p>
        </w:tc>
        <w:tc>
          <w:tcPr>
            <w:tcW w:w="194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10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3,103,809</w:t>
            </w:r>
          </w:p>
        </w:tc>
        <w:tc>
          <w:tcPr>
            <w:tcW w:w="5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(960,958)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tcPr>
          <w:p>
            <w:pPr>
              <w:spacing w:after="0"/>
              <w:rPr>
                <w:sz w:val="19"/>
                <w:szCs w:val="19"/>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(305,464)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106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1,837,387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2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(470,015)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(254,395)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Unvested at December 31, 2017</w:t>
            </w:r>
          </w:p>
        </w:tc>
        <w:tc>
          <w:tcPr>
            <w:tcW w:w="10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1,112,977</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there were RMB11,735 and RMB6,095 of unrecognized compensation expenses related to restricted shares granted to the employees of NIO US, which is expected to be recognized over a weighted-average period of 2.75 and 1.75 years, respectively.</w:t>
      </w:r>
    </w:p>
    <w:p>
      <w:pPr>
        <w:spacing w:after="0" w:line="124"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Share-based compensation expenses of RMB6,137 and RMB4,151 related to restricted shares granted to the employees of NIO US was recognized for the years ended December 31, 2016 and 2017,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Non-recourse Loan</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November 2015, the Company issued an offer letter to one of its key management team member (“the Borrower”). In the offer letter, the Company offered the Borrower to purchase 7,509,933 Series A-3 Preferred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Shares of the Company at the price of USD1.6522 per share, which equals to the purchase price paid for the same class of preferred shares by other third party investors in the most recent round of financing prior to the offer letter. In addition, the Company agreed to provide a loan in the amount of USD12,408 with an interest rate of 1.8% compounded semiannually to fund the purchase of such Series A-3 Preferred Shares by the Borrower (“the Loan”). The Loan agreement was signed on March 10, 2016, the date of her employment. The Loan is subject to a three-year service condition with</w:t>
      </w:r>
    </w:p>
    <w:p>
      <w:pPr>
        <w:spacing w:after="0" w:line="2"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19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The fair value of the Award granted was estimated on each reporting date using the Black-Scholes option pricing model with the assumptions (or ranges thereof) in the following table:</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Fair value of the Preferred Shares on the measurement date</w:t>
            </w: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47-51%</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Share-based compensation expenses related to the Award of RMB19,582 and RMB35,446 was recognized for the years ended December 31, 2016 and 2017, respectively.</w:t>
      </w:r>
    </w:p>
    <w:p>
      <w:pPr>
        <w:spacing w:after="0" w:line="275" w:lineRule="exact"/>
        <w:rPr>
          <w:sz w:val="20"/>
          <w:szCs w:val="20"/>
          <w:color w:val="auto"/>
        </w:rPr>
      </w:pPr>
    </w:p>
    <w:p>
      <w:pPr>
        <w:ind w:left="480" w:hanging="276"/>
        <w:spacing w:after="0"/>
        <w:tabs>
          <w:tab w:leader="none" w:pos="4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Chinese companies are subject to enterprise income tax (“EIT”) at a uniform rate of 25%.</w:t>
      </w:r>
    </w:p>
    <w:p>
      <w:pPr>
        <w:spacing w:after="0" w:line="22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4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According to relevant laws and regulations promulgated by the State Administration of Tax of the PRC effective from 2008 onwards, enterprises engaging in research and development activities are entitled to claim 150% of their qualified research and development expenses so incurred as tax deductible expenses when determining their assessable profits for the year (‘Super Deduction’). The additional deduction of 50% of qualified research and development expenses can only be claimed directly in the annual EIT filing and subject to the approval from the relevant tax authorities.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maximum applicable income tax rates of other countries where the Company’s subsidiaries having significant operations in the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2016 and 2017 are as follows:</w:t>
      </w:r>
    </w:p>
    <w:p>
      <w:pPr>
        <w:spacing w:after="0" w:line="229"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w:t>
      </w:r>
    </w:p>
    <w:p>
      <w:pPr>
        <w:jc w:val="center"/>
        <w:ind w:left="564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94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c>
          <w:tcPr>
            <w:tcW w:w="7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United Kingdom</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Composition of income tax expense for the periods presented are as follows: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4,314</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60" w:type="dxa"/>
            <w:vAlign w:val="bottom"/>
            <w:vMerge w:val="restart"/>
          </w:tcPr>
          <w:p>
            <w:pPr>
              <w:ind w:left="3960"/>
              <w:spacing w:after="0"/>
              <w:rPr>
                <w:sz w:val="20"/>
                <w:szCs w:val="20"/>
                <w:color w:val="auto"/>
              </w:rPr>
            </w:pPr>
            <w:r>
              <w:rPr>
                <w:rFonts w:ascii="Arial" w:cs="Arial" w:eastAsia="Arial" w:hAnsi="Arial"/>
                <w:sz w:val="18"/>
                <w:szCs w:val="18"/>
                <w:color w:val="auto"/>
              </w:rPr>
              <w:t>F-39</w:t>
            </w: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60" w:right="5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Reconciliations of the income tax expense computed by applying the PRC statutory income tax rate of 25% to the Group’s income tax expense of the periods presented are as follows:</w:t>
      </w:r>
    </w:p>
    <w:p>
      <w:pPr>
        <w:spacing w:after="0" w:line="189"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For the</w:t>
      </w:r>
    </w:p>
    <w:p>
      <w:pPr>
        <w:jc w:val="center"/>
        <w:ind w:left="682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(2,568,940)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(5,013,268)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tax expense computed at PRC statutory income tax rate of 25%</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(642,235)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(1,253,318)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91,915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Foreign tax rates differential</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52,495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Additional 50% tax deduction for qualified research and development expenses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Tax exempted interest income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 of U.S. tax law change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US tax credits</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(5,716)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Prior year adjustments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Tax benefit not utilized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550,840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PRC statutory income tax rate was used because the majority of the Group’s operations are based in PRC.</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Deferred tax</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deferred tax assets consist of the following components: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567,844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39,174</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expenses in excess of deduction limit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700" w:type="dxa"/>
            <w:vAlign w:val="bottom"/>
          </w:tcPr>
          <w:p>
            <w:pPr>
              <w:jc w:val="right"/>
              <w:spacing w:after="0"/>
              <w:rPr>
                <w:sz w:val="20"/>
                <w:szCs w:val="20"/>
                <w:color w:val="auto"/>
              </w:rPr>
            </w:pPr>
            <w:r>
              <w:rPr>
                <w:rFonts w:ascii="Arial" w:cs="Arial" w:eastAsia="Arial" w:hAnsi="Arial"/>
                <w:sz w:val="18"/>
                <w:szCs w:val="18"/>
                <w:color w:val="auto"/>
              </w:rPr>
              <w:t>13,735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700" w:type="dxa"/>
            <w:vAlign w:val="bottom"/>
          </w:tcPr>
          <w:p>
            <w:pPr>
              <w:jc w:val="right"/>
              <w:spacing w:after="0"/>
              <w:rPr>
                <w:sz w:val="20"/>
                <w:szCs w:val="20"/>
                <w:color w:val="auto"/>
              </w:rPr>
            </w:pPr>
            <w:r>
              <w:rPr>
                <w:rFonts w:ascii="Arial" w:cs="Arial" w:eastAsia="Arial" w:hAnsi="Arial"/>
                <w:sz w:val="18"/>
                <w:szCs w:val="18"/>
                <w:color w:val="auto"/>
              </w:rPr>
              <w:t>9,478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1,643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Unrealized foreign exchange loss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Less: Valuation allowance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(672,889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(1,878,643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allowance</w:t>
            </w: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13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40" w:type="dxa"/>
            <w:vAlign w:val="bottom"/>
            <w:gridSpan w:val="3"/>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672,889</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1,205,754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672,889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Group has tax losses arising in Mainland China of RMB4,620,424 that will expire in one to four years for deduction against future taxable profit.</w:t>
      </w:r>
    </w:p>
    <w:p>
      <w:pPr>
        <w:spacing w:after="0" w:line="212"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expiring in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expiring in 2020</w:t>
            </w:r>
          </w:p>
        </w:tc>
        <w:tc>
          <w:tcPr>
            <w:tcW w:w="780" w:type="dxa"/>
            <w:vAlign w:val="bottom"/>
          </w:tcPr>
          <w:p>
            <w:pPr>
              <w:jc w:val="right"/>
              <w:spacing w:after="0"/>
              <w:rPr>
                <w:sz w:val="20"/>
                <w:szCs w:val="20"/>
                <w:color w:val="auto"/>
              </w:rPr>
            </w:pPr>
            <w:r>
              <w:rPr>
                <w:rFonts w:ascii="Arial" w:cs="Arial" w:eastAsia="Arial" w:hAnsi="Arial"/>
                <w:sz w:val="18"/>
                <w:szCs w:val="18"/>
                <w:color w:val="auto"/>
              </w:rPr>
              <w:t>186,827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expiring in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1,335,168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expiring in 2022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3,098,425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4,620,424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Group has tax losses arising in Hong Kong and United Kingdom of RMB705,077 for which could be carried forward indefinitely against future taxable income.</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Group has tax losses arising in United States of RMB22,960, RMB232,429 and RMB894,771 that will expire in eighteen, nineteen and twenty years for deduction against future taxable income.</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20"/>
          </w:cols>
          <w:pgMar w:left="240" w:top="460" w:right="7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7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December 2017, the Securities and Exchange Commission issued Staff Accounting Bulletin No. 118, Income Tax Accounting Implications of the Tax Cuts and Jobs Act (“SAB 118”), which allows the Group to 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Uncertain Tax Position</w:t>
      </w:r>
    </w:p>
    <w:p>
      <w:pPr>
        <w:spacing w:after="0" w:line="117"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Loss Per Share</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Basic loss per share and diluted loss per share have been calculated in accordance with ASC 260 on computation of earnings per share for the years ended December 31, 2016 and 2017 as follows:</w:t>
      </w:r>
    </w:p>
    <w:p>
      <w:pPr>
        <w:spacing w:after="0" w:line="18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For the 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(2,573,254)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(981,233)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 of NIO Inc. for basic/dilutive net loss per share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(3,517,549)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(7,561,669)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ordinary shares outstanding — basic and 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16,697,527</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21,801,525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attributable to ordinary shareholders of</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NIO Inc.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210.66</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the years ended December 31, 2016 and 2017, assumed conversion of the Preferred Shares into ordinary shares were excluded from the calculations of diluted net loss per share of the Company due to the anti-dilutive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effect. The effects of all outstanding share options have also been excluded from the computation of diluted net loss per share for the years ended December 31, 2016 and 2017 as their effects would be anti-dilutive.</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years ended December 31, 2016 and 2017, the Company had potential ordinary shares, including non-vested restricted shares, options granted and Preferred Shares. As the Group incurred losses for the years ended December 31, 2016 and 2017,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 Company were 12,198,170, 26,311,777 and 369,222,548 as of December 31, 2016, 8,323,591, 27,495,737 and 593,611,970 as of December 31, 2017,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Related Party Balances and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related parties with which the Group had transactions during the years presented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Name of Entity or Individual</w:t>
            </w:r>
          </w:p>
        </w:tc>
        <w:tc>
          <w:tcPr>
            <w:tcW w:w="340" w:type="dxa"/>
            <w:vAlign w:val="bottom"/>
          </w:tcPr>
          <w:p>
            <w:pPr>
              <w:spacing w:after="0"/>
              <w:rPr>
                <w:sz w:val="16"/>
                <w:szCs w:val="16"/>
                <w:color w:val="auto"/>
              </w:rPr>
            </w:pPr>
          </w:p>
        </w:tc>
        <w:tc>
          <w:tcPr>
            <w:tcW w:w="3760" w:type="dxa"/>
            <w:vAlign w:val="bottom"/>
          </w:tcPr>
          <w:p>
            <w:pPr>
              <w:ind w:left="900"/>
              <w:spacing w:after="0"/>
              <w:rPr>
                <w:sz w:val="20"/>
                <w:szCs w:val="20"/>
                <w:color w:val="auto"/>
              </w:rPr>
            </w:pPr>
            <w:r>
              <w:rPr>
                <w:rFonts w:ascii="Arial" w:cs="Arial" w:eastAsia="Arial" w:hAnsi="Arial"/>
                <w:sz w:val="14"/>
                <w:szCs w:val="14"/>
                <w:b w:val="1"/>
                <w:bCs w:val="1"/>
                <w:color w:val="auto"/>
              </w:rPr>
              <w:t>Relationship with the Company</w:t>
            </w:r>
          </w:p>
        </w:tc>
      </w:tr>
      <w:tr>
        <w:trPr>
          <w:trHeight w:val="189"/>
        </w:trPr>
        <w:tc>
          <w:tcPr>
            <w:tcW w:w="1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Bin Li</w:t>
            </w:r>
          </w:p>
        </w:tc>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Principal Shareholder, Chairman of the Board and</w:t>
            </w:r>
          </w:p>
        </w:tc>
      </w:tr>
      <w:tr>
        <w:trPr>
          <w:trHeight w:val="216"/>
        </w:trPr>
        <w:tc>
          <w:tcPr>
            <w:tcW w:w="1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Lihong Qin</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w w:val="90"/>
              </w:rPr>
              <w:t>Principal Shareholder, Director and President of the</w:t>
            </w:r>
          </w:p>
        </w:tc>
      </w:tr>
      <w:tr>
        <w:trPr>
          <w:trHeight w:val="216"/>
        </w:trPr>
        <w:tc>
          <w:tcPr>
            <w:tcW w:w="1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Company</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Baidu Capital L.P.</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Suzhou Zenlead XPT New Energy Technologies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Jiangsu Xindian Automotive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CHJ Information Technology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w w:val="96"/>
              </w:rPr>
              <w:t>Hubei Changjiang Nextev New Energy Industry Development Capital Partnership (Limited</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Partnership)</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Chehui Hudong Guanggao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Xinyi Hudong Guanggao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Bite Shijie (Beijing) Keji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The Group entered into the following significant related 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Provision of service</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years ended December 31, 2016 and 2017, service income was primarily generated from property management and miscellaneous research and development services the Group provided to its related parties.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Beijing CHJ Information Technology Co., Ltd.</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Hubei Changjiang Nextev New Energy Industry Development Capital Partnership (Limited Partnership)</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Jiangsu Xindian Automotive Co., Ltd.</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5320"/>
              <w:spacing w:after="0"/>
              <w:rPr>
                <w:sz w:val="20"/>
                <w:szCs w:val="20"/>
                <w:color w:val="auto"/>
              </w:rPr>
            </w:pPr>
            <w:r>
              <w:rPr>
                <w:rFonts w:ascii="Arial" w:cs="Arial" w:eastAsia="Arial" w:hAnsi="Arial"/>
                <w:sz w:val="18"/>
                <w:szCs w:val="18"/>
                <w:color w:val="auto"/>
              </w:rPr>
              <w:t>F-43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(All amounts in thousands, except for share and per share data)</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Acceptance of marketing and advertising service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Xinyi Hudong Guanggao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Bite Shijie (Beijing) Keji Co., Ltd.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Chehui Hudong Guanggao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(iii) Loan to related party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Ningbo Meishan Free Trade Port Zone Weilan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(iv) Cost of manufacturing consignment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Suzhou Zenlead XPT New Energy Technologies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 Purchase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Bite Shijie (Beijing) Keji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(vi) Interest payable on behalf of related 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Baidu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jc w:val="center"/>
        <w:ind w:right="2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r>
      <w:tr>
        <w:trPr>
          <w:trHeight w:val="195"/>
        </w:trPr>
        <w:tc>
          <w:tcPr>
            <w:tcW w:w="46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8,021</w:t>
            </w:r>
          </w:p>
        </w:tc>
      </w:tr>
      <w:tr>
        <w:trPr>
          <w:trHeight w:val="216"/>
        </w:trPr>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6,987</w:t>
            </w:r>
          </w:p>
        </w:tc>
      </w:tr>
      <w:tr>
        <w:trPr>
          <w:trHeight w:val="230"/>
        </w:trPr>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544</w:t>
            </w:r>
          </w:p>
        </w:tc>
      </w:tr>
      <w:tr>
        <w:trPr>
          <w:trHeight w:val="223"/>
        </w:trPr>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-3175</wp:posOffset>
            </wp:positionV>
            <wp:extent cx="14751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40"/>
        <w:spacing w:after="0"/>
        <w:tabs>
          <w:tab w:leader="none" w:pos="16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ind w:left="240"/>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19685</wp:posOffset>
            </wp:positionV>
            <wp:extent cx="317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36830</wp:posOffset>
            </wp:positionV>
            <wp:extent cx="317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19685</wp:posOffset>
            </wp:positionV>
            <wp:extent cx="5143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36830</wp:posOffset>
            </wp:positionV>
            <wp:extent cx="5143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2">
            <w:col w:w="8200" w:space="720"/>
            <w:col w:w="226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The Group had the following significant related party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Amounts due from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Baidu Capital L.P.</w:t>
            </w:r>
          </w:p>
        </w:tc>
        <w:tc>
          <w:tcPr>
            <w:tcW w:w="116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21,671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CHJ Information Technology Co., Ltd.</w:t>
            </w:r>
          </w:p>
        </w:tc>
        <w:tc>
          <w:tcPr>
            <w:tcW w:w="11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Bin Li</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11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5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79,556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(ii) Amounts due to related parties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760" w:type="dxa"/>
            <w:vAlign w:val="bottom"/>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5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Suzhou Zenlead XPT New Energy Technologies Co., Ltd.</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Bin Li</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15,170</w:t>
            </w: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Lihong Qin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5,667</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Beijing Chehui Hudong Guanggao Co., Ltd.</w:t>
            </w: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116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20,837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276"/>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expenditures contracted for at the balance sheet dates but not recognized in the Group’s consolidated financial statements are as follows:</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1,020,637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1,020,637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1,721,212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Operating lease commitments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Group leases certain office premises and buildings under non-cancelable leases. Rental expenses under operating leases for the years ended December 31, 2016 and 2017 were RMB102,020 and RMB228,478 respectively.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40"/>
          </w:cols>
          <w:pgMar w:left="240" w:top="459" w:right="6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As of December 31, 2016 and 2017, the Group had remaining outstanding commitments non-cancelable agreements in respect to its operating leases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127,819</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1 to 2 years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139,442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261,846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More than 3 years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538,654</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937,944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 March 28, 2018, the outstanding consideration of RMB78,410 (USD12,000 equivalent) for Series D Preferred Shares was paid in full by the investor.</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On April 10, 2018, NIO SH provided an interest free shareholder loan to one of the Series C Preferred Shareholders of the Company with principal amount of RMB703,956. The loan will be due on May 27, 2018 without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Parent Company Only Condensed Financial Information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did not have significant capital and other commitments, or guarantees as of December 31,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8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20" w:type="dxa"/>
            <w:vAlign w:val="bottom"/>
            <w:gridSpan w:val="2"/>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880" w:type="dxa"/>
            <w:vAlign w:val="bottom"/>
            <w:tcBorders>
              <w:top w:val="single" w:sz="8" w:color="auto"/>
            </w:tcBorders>
          </w:tcPr>
          <w:p>
            <w:pPr>
              <w:jc w:val="right"/>
              <w:ind w:right="191"/>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20,837</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1,243,251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1,268,163</w:t>
            </w:r>
          </w:p>
        </w:tc>
        <w:tc>
          <w:tcPr>
            <w:tcW w:w="4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6,977,051</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6,977,051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8,245,214</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1,246,046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135,490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190,517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190,517</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A-1 and A-2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2,810,189</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5,011,731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757,390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Series A-3 convertible redeemable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B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2,014,903</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2,294,980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redeemable preferred shares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D convertible redeemable preferred shares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7,547,760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1,140,645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 holder of Series A-1 convertible redeemable preferred shares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(270,196)</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Receivable from a holder of Series D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(78,410)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4,861,574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4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Treasury shares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(9,186)</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(9,186)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880" w:type="dxa"/>
            <w:vAlign w:val="bottom"/>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tcPr>
          <w:p>
            <w:pPr>
              <w:spacing w:after="0"/>
              <w:rPr>
                <w:sz w:val="18"/>
                <w:szCs w:val="18"/>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(13,922)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(4,076,945)</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(11,711,948)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(1,769,952)</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(3,904,777</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(11,603,089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(1,753,501)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1,014,145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8,245,214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5320"/>
              <w:spacing w:after="0"/>
              <w:rPr>
                <w:sz w:val="20"/>
                <w:szCs w:val="20"/>
                <w:color w:val="auto"/>
              </w:rPr>
            </w:pPr>
            <w:r>
              <w:rPr>
                <w:rFonts w:ascii="Arial" w:cs="Arial" w:eastAsia="Arial" w:hAnsi="Arial"/>
                <w:sz w:val="18"/>
                <w:szCs w:val="18"/>
                <w:color w:val="auto"/>
              </w:rPr>
              <w:t>F-47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Statements of Comprehensive Loss</w:t>
      </w:r>
    </w:p>
    <w:p>
      <w:pPr>
        <w:spacing w:after="0" w:line="24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For the</w:t>
      </w:r>
    </w:p>
    <w:p>
      <w:pPr>
        <w:jc w:val="center"/>
        <w:ind w:left="726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(24,684)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(52,518)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(24,684)</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(24,684)</w:t>
            </w:r>
          </w:p>
        </w:tc>
        <w:tc>
          <w:tcPr>
            <w:tcW w:w="4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(52,518)</w:t>
            </w:r>
          </w:p>
        </w:tc>
        <w:tc>
          <w:tcPr>
            <w:tcW w:w="4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(12,389)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subsidiaries and VIEs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(2,539,323)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(4,924,897)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Investment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income/(loss),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(2,536,316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(4,984,734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(2,536,316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(4,984,734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(981,233)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(2,576,935)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(389,436)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(3,517,549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(7,561,669</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Statements of Cash Flows</w:t>
      </w:r>
    </w:p>
    <w:p>
      <w:pPr>
        <w:spacing w:after="0" w:line="24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w:t>
      </w:r>
    </w:p>
    <w:p>
      <w:pPr>
        <w:jc w:val="center"/>
        <w:ind w:left="758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0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(2,540,639)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(4,920,905)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sale of trading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3,118,559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1,340,911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held for trading securities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(2,346,261)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(1,337,413)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Acquisitions of equity investees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(669,433)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(6,223,178)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(940,469)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(6,219,680)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(939,941)</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312,624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convertible promissory note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redeemable preferred shares, net of issuance costs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2,260,444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11,093,377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1,676,471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2,260,444</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11,087,195</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(184,653)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264,344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Company’s accounting policies are the same as the Group’s accounting policies with the exception of the accounting for the investments in subsidiaries and VIEs.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Company only condensed financial information, the Company records its investments in subsidiaries and VIEs under the equity method of accounting as prescribed in ASC 323, Investments—Equity Method and Joint Ventures.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Such investments are presented on the Condensed Balance Sheets as “Investments in subsidiaries and VIEs” and shares in the subsidiaries and VIEs’ loss are presented as “Equity in loss of subsidiaries and VIEs” on the Condensed Statements of Comprehensive Loss. The parent company only condensed financial information should be read in conjunction with the Group’ consolidated financial statements.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92"/>
              </w:rPr>
              <w:t>As of December 31,</w:t>
            </w:r>
          </w:p>
        </w:tc>
        <w:tc>
          <w:tcPr>
            <w:tcW w:w="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4"/>
                <w:szCs w:val="14"/>
                <w:b w:val="1"/>
                <w:bCs w:val="1"/>
                <w:color w:val="auto"/>
              </w:rPr>
              <w:t>As of June 30,</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40" w:type="dxa"/>
            <w:vAlign w:val="bottom"/>
            <w:gridSpan w:val="2"/>
          </w:tcPr>
          <w:p>
            <w:pPr>
              <w:jc w:val="center"/>
              <w:ind w:left="752"/>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2"/>
                <w:szCs w:val="12"/>
                <w:color w:val="auto"/>
              </w:rPr>
            </w:pPr>
          </w:p>
        </w:tc>
        <w:tc>
          <w:tcPr>
            <w:tcW w:w="86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96"/>
              </w:rPr>
              <w:t>2018</w:t>
            </w:r>
          </w:p>
        </w:tc>
        <w:tc>
          <w:tcPr>
            <w:tcW w:w="124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60" w:type="dxa"/>
            <w:vAlign w:val="bottom"/>
            <w:tcBorders>
              <w:top w:val="single" w:sz="8" w:color="auto"/>
            </w:tcBorders>
          </w:tcPr>
          <w:p>
            <w:pPr>
              <w:jc w:val="right"/>
              <w:ind w:right="177"/>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38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2(e)</w:t>
            </w: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 forma</w:t>
            </w:r>
          </w:p>
        </w:tc>
        <w:tc>
          <w:tcPr>
            <w:tcW w:w="3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(Note 28)</w:t>
            </w:r>
          </w:p>
        </w:tc>
        <w:tc>
          <w:tcPr>
            <w:tcW w:w="3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(Note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4,423,234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4,423,234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Restricted cash</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29,556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8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674,425</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1,221,337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184,573</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1,221,337</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8,310,005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6,472,044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6,472,044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1,911,013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3,189,004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481,934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3,189,004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481,934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Land use rights, net</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221,090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33,412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221,090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2,158,029</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3,804,053</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574,882</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3,804,053</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borrowings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28,787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180,583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27,290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180,583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portion of long-term borrowings</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1,285,592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2,218,926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2,020,132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1,618,514</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3,306,488</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499,687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3,107,694</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Long-term borrowings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642,401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932,652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140,946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932,652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783,514</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1,126,574</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170,252</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1,126,574</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4,433,062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669,939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 (Note 27)</w:t>
            </w:r>
          </w:p>
        </w:tc>
        <w:tc>
          <w:tcPr>
            <w:tcW w:w="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8"/>
                <w:szCs w:val="18"/>
                <w:color w:val="auto"/>
              </w:rPr>
              <w:t>F-50</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gridSpan w:val="2"/>
          </w:tcPr>
          <w:p>
            <w:pPr>
              <w:jc w:val="center"/>
              <w:ind w:left="173"/>
              <w:spacing w:after="0" w:line="142" w:lineRule="exact"/>
              <w:rPr>
                <w:sz w:val="20"/>
                <w:szCs w:val="20"/>
                <w:color w:val="auto"/>
              </w:rPr>
            </w:pPr>
            <w:r>
              <w:rPr>
                <w:rFonts w:ascii="Arial" w:cs="Arial" w:eastAsia="Arial" w:hAnsi="Arial"/>
                <w:sz w:val="14"/>
                <w:szCs w:val="14"/>
                <w:b w:val="1"/>
                <w:bCs w:val="1"/>
                <w:color w:val="auto"/>
                <w:w w:val="89"/>
              </w:rPr>
              <w:t>2018</w:t>
            </w:r>
          </w:p>
        </w:tc>
        <w:tc>
          <w:tcPr>
            <w:tcW w:w="1120" w:type="dxa"/>
            <w:vAlign w:val="bottom"/>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9"/>
              </w:rPr>
              <w:t>2018</w:t>
            </w:r>
          </w:p>
        </w:tc>
        <w:tc>
          <w:tcPr>
            <w:tcW w:w="960" w:type="dxa"/>
            <w:vAlign w:val="bottom"/>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2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2(e)</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Pro forma</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Note 2(e)</w:t>
            </w: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28)</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28)</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rPr>
              <w:t>Series A-1 and A-2 convertible redeemable preferred shares</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(USD0.00025 par value; 295,000,000 authorized,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5,011,731</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8,863,640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1,339,505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Series A-3 convertible redeemable preferred shares </w:t>
            </w:r>
            <w:r>
              <w:rPr>
                <w:rFonts w:ascii="Arial" w:cs="Arial" w:eastAsia="Arial" w:hAnsi="Arial"/>
                <w:sz w:val="18"/>
                <w:szCs w:val="18"/>
                <w:color w:val="auto"/>
                <w:w w:val="94"/>
              </w:rPr>
              <w:t>(USD0.00025</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31,720,364 authorized, 24,210,431 issued and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111,147</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 xml:space="preserve">Series B convertible redeemable preferred shares </w:t>
            </w:r>
            <w:r>
              <w:rPr>
                <w:rFonts w:ascii="Arial" w:cs="Arial" w:eastAsia="Arial" w:hAnsi="Arial"/>
                <w:sz w:val="18"/>
                <w:szCs w:val="18"/>
                <w:color w:val="auto"/>
                <w:w w:val="97"/>
              </w:rPr>
              <w:t>(USD0.00025</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9"/>
              </w:rPr>
              <w:t>par value; 114,867,321 authorized, issued and outstanding as of</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December 31, 2017 and June 30, 2018; no shares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2,294,980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3,584,015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541,629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 xml:space="preserve">Series C convertible redeemable preferred shares </w:t>
            </w:r>
            <w:r>
              <w:rPr>
                <w:rFonts w:ascii="Arial" w:cs="Arial" w:eastAsia="Arial" w:hAnsi="Arial"/>
                <w:sz w:val="18"/>
                <w:szCs w:val="18"/>
                <w:color w:val="auto"/>
                <w:w w:val="97"/>
              </w:rPr>
              <w:t>(USD0.00025</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167,142,990 authorized, 166,205,830 issued and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5,501,198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831,361</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 xml:space="preserve">Series D convertible redeemable preferred shares </w:t>
            </w:r>
            <w:r>
              <w:rPr>
                <w:rFonts w:ascii="Arial" w:cs="Arial" w:eastAsia="Arial" w:hAnsi="Arial"/>
                <w:sz w:val="18"/>
                <w:szCs w:val="18"/>
                <w:color w:val="auto"/>
                <w:w w:val="97"/>
              </w:rPr>
              <w:t>(USD0.00025</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par value; 240,000,000 authorized, 213,585,003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7,547,760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7,796,397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1,178,220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Receivable from a holder of Series D convertible redeemable</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1,124,900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169,999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1,124,900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169,999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27,605,620</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4,171,861</w:t>
            </w: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1,124,900</w:t>
            </w: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169,999</w:t>
            </w:r>
          </w:p>
        </w:tc>
        <w:tc>
          <w:tcPr>
            <w:tcW w:w="8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580" w:type="dxa"/>
            <w:vAlign w:val="bottom"/>
            <w:gridSpan w:val="2"/>
          </w:tcPr>
          <w:p>
            <w:pPr>
              <w:jc w:val="right"/>
              <w:ind w:right="1200"/>
              <w:spacing w:after="0"/>
              <w:rPr>
                <w:sz w:val="20"/>
                <w:szCs w:val="20"/>
                <w:color w:val="auto"/>
              </w:rPr>
            </w:pPr>
            <w:r>
              <w:rPr>
                <w:rFonts w:ascii="Arial" w:cs="Arial" w:eastAsia="Arial" w:hAnsi="Arial"/>
                <w:sz w:val="18"/>
                <w:szCs w:val="18"/>
                <w:color w:val="auto"/>
                <w:w w:val="97"/>
              </w:rPr>
              <w:t>F-51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As of December 31,</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As of 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20" w:type="dxa"/>
            <w:vAlign w:val="bottom"/>
            <w:gridSpan w:val="2"/>
          </w:tcPr>
          <w:p>
            <w:pPr>
              <w:jc w:val="center"/>
              <w:ind w:left="14"/>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3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Note 2(e)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Pro forma</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Note 2(e)</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(Note 28)</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(Note 28)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(USD0.00025 par value; 1,151,269,325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shares authorized as of December 31, 2017 and June 30,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2018; 36,727,350 and 41,178,902 shares issued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23,850,343 and 31,540,943 shares outstanding as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December 31, 2017 and June 30, 2018, respectively; No</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shares issued and outstanding on a pro-forma basis as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June 30, 2018)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Class A Ordinary shares </w:t>
            </w:r>
            <w:r>
              <w:rPr>
                <w:rFonts w:ascii="Arial" w:cs="Arial" w:eastAsia="Arial" w:hAnsi="Arial"/>
                <w:sz w:val="18"/>
                <w:szCs w:val="18"/>
                <w:color w:val="auto"/>
                <w:w w:val="94"/>
              </w:rPr>
              <w:t>(USD0.00025 par value; No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June 30, 2018; 582,027,198 shares issued and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570,511,756 shares outstanding on a pro-forma basis as of</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2018)</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 xml:space="preserve">Class B Ordinary Shares </w:t>
            </w:r>
            <w:r>
              <w:rPr>
                <w:rFonts w:ascii="Arial" w:cs="Arial" w:eastAsia="Arial" w:hAnsi="Arial"/>
                <w:sz w:val="18"/>
                <w:szCs w:val="18"/>
                <w:color w:val="auto"/>
                <w:w w:val="94"/>
              </w:rPr>
              <w:t>(USD0.00025 par value; No shares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0"/>
              </w:rPr>
              <w:t>June 30, 2018; 132,030,222 shares issued and outstanding on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 pro-forma basis as of June 30, 2018)</w:t>
            </w:r>
          </w:p>
        </w:tc>
        <w:tc>
          <w:tcPr>
            <w:tcW w:w="1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Class C Ordinary Shares </w:t>
            </w:r>
            <w:r>
              <w:rPr>
                <w:rFonts w:ascii="Arial" w:cs="Arial" w:eastAsia="Arial" w:hAnsi="Arial"/>
                <w:sz w:val="18"/>
                <w:szCs w:val="18"/>
                <w:color w:val="auto"/>
                <w:w w:val="94"/>
              </w:rPr>
              <w:t>(USD0.00025 par value; No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June 30, 2018; 148,500,000 shares issued and outstanding on</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pro-forma basis as of June 30, 2018)</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Treasury shares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(9,186)</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(9,186)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(1,388)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(9,186)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26,847,735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4,057,325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(13,922)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(167,077)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(25,249)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(167,077)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(25,249)</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(11,711,948)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(21,766,482)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(3,289,429)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(21,766,482)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(3,289,429)</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Total NIO Inc. shareholders’ (deficit)/equity</w:t>
            </w: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(11,603,089)</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(21,773,116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(3,290,431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4,906,398</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741,472</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CEEFF"/>
          </w:tcPr>
          <w:p>
            <w:pPr>
              <w:spacing w:after="0"/>
              <w:rPr>
                <w:sz w:val="18"/>
                <w:szCs w:val="18"/>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(11,591,780)</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(21,762,585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(3,288,840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4,916,929</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743,063</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Total liabilities, mezzanine equity and shareholders’ equity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10,276,097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560" w:type="dxa"/>
            <w:vAlign w:val="bottom"/>
            <w:tcBorders>
              <w:bottom w:val="single" w:sz="8" w:color="auto"/>
            </w:tcBorders>
            <w:gridSpan w:val="5"/>
          </w:tcPr>
          <w:p>
            <w:pPr>
              <w:jc w:val="center"/>
              <w:ind w:left="712"/>
              <w:spacing w:after="0"/>
              <w:rPr>
                <w:sz w:val="20"/>
                <w:szCs w:val="20"/>
                <w:color w:val="auto"/>
              </w:rPr>
            </w:pPr>
            <w:r>
              <w:rPr>
                <w:rFonts w:ascii="Arial" w:cs="Arial" w:eastAsia="Arial" w:hAnsi="Arial"/>
                <w:sz w:val="14"/>
                <w:szCs w:val="14"/>
                <w:b w:val="1"/>
                <w:bCs w:val="1"/>
                <w:color w:val="auto"/>
                <w:w w:val="92"/>
              </w:rPr>
              <w:t>Six Months Ended 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4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(185,531)</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(199,179)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(1,031,253)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(1,459,344)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(964,363)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(1,726,297)</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(1,995,616)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(3,185,641)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(481,425)</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(1,995,616)</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(3,338,829)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(12,681)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(19,642)</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equity investee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(2,016,197)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(3,321,161)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(1,139,341)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(1,019,220)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(3,130,592)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(10,054,534)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(1,519,476)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(29,678)</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(153,155)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(2,050,200)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(3,478,684)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(1,139,341)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(1,019,220)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(3,160,270)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(10,207,689)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(1,542,621)</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used in computing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20,141,298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28,661,459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28,661,459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UNAUDITED INTERIM CONDENSED 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Paid in</w:t>
            </w:r>
          </w:p>
        </w:tc>
        <w:tc>
          <w:tcPr>
            <w:tcW w:w="126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Shareholders’</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Income/(Loss)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(4,076,945)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(3,916,360)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(1,019,848)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(1,019,848)</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(1,019,848)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w w:val="95"/>
              </w:rPr>
              <w:t>Accretion on Series B</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(34,166)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(34,166)</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Accretion on Series C</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577,038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2,743,688</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(29,678)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(29,678)</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(1,991,251)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(1,991,251)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(29,271)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(2,020,522)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June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32,580,848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(11,486,663)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(7,207,537)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(7,039,754)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(40,854)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(7,080,608)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F-54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UNAUDITED INTERIM CONDENSED CONSOLIDATED STATEMENTS OF SHAREHOLDERS’ DEFICIT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2"/>
                <w:szCs w:val="12"/>
                <w:color w:val="auto"/>
              </w:rPr>
            </w:pPr>
          </w:p>
        </w:tc>
        <w:tc>
          <w:tcPr>
            <w:tcW w:w="16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Paid in</w:t>
            </w:r>
          </w:p>
        </w:tc>
        <w:tc>
          <w:tcPr>
            <w:tcW w:w="126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96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1040" w:type="dxa"/>
            <w:vAlign w:val="bottom"/>
            <w:gridSpan w:val="2"/>
          </w:tcPr>
          <w:p>
            <w:pPr>
              <w:jc w:val="right"/>
              <w:ind w:right="44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36,727,350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(12,877,007)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(11,711,948)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(11,603,089)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(11,591,780)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A-1 and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A-2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(3,851,909)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(3,851,909)</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(3,851,909)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A-3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(308,341)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(308,341)</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B</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(1,289,035)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(1,289,035)</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(1,289,035)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C</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(1,046,602)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(1,046,602)</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(248,396)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(248,396)</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Vesting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4"/>
              </w:rPr>
              <w:t>restricted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3,239,048</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Capital injection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by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(153,155)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(153,155)</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(3,310,251)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(3,310,251)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(15,278)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(3,325,529)</w:t>
            </w:r>
          </w:p>
        </w:tc>
        <w:tc>
          <w:tcPr>
            <w:tcW w:w="0" w:type="dxa"/>
            <w:vAlign w:val="bottom"/>
          </w:tcPr>
          <w:p>
            <w:pPr>
              <w:spacing w:after="0"/>
              <w:rPr>
                <w:sz w:val="1"/>
                <w:szCs w:val="1"/>
                <w:color w:val="auto"/>
              </w:rPr>
            </w:pPr>
          </w:p>
        </w:tc>
      </w:tr>
      <w:tr>
        <w:trPr>
          <w:trHeight w:val="205"/>
        </w:trPr>
        <w:tc>
          <w:tcPr>
            <w:tcW w:w="14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b w:val="1"/>
                <w:bCs w:val="1"/>
                <w:color w:val="auto"/>
              </w:rPr>
              <w:t>June 30, 2018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41,178,902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(9,637,959)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169,562</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(167,077)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(21,766,482)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(21,773,116)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10,531</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(21,762,585)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80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(2,020,522)</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(3,325,529)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(502,565)</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jc w:val="right"/>
              <w:spacing w:after="0"/>
              <w:rPr>
                <w:sz w:val="20"/>
                <w:szCs w:val="20"/>
                <w:color w:val="auto"/>
              </w:rPr>
            </w:pPr>
            <w:r>
              <w:rPr>
                <w:rFonts w:ascii="Arial" w:cs="Arial" w:eastAsia="Arial" w:hAnsi="Arial"/>
                <w:sz w:val="16"/>
                <w:szCs w:val="16"/>
                <w:color w:val="auto"/>
              </w:rPr>
              <w:t>66,519</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145,074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exchange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Share-based compensation expenses</w:t>
            </w:r>
          </w:p>
        </w:tc>
        <w:tc>
          <w:tcPr>
            <w:tcW w:w="800" w:type="dxa"/>
            <w:vAlign w:val="bottom"/>
          </w:tcPr>
          <w:p>
            <w:pPr>
              <w:jc w:val="right"/>
              <w:spacing w:after="0"/>
              <w:rPr>
                <w:sz w:val="20"/>
                <w:szCs w:val="20"/>
                <w:color w:val="auto"/>
              </w:rPr>
            </w:pPr>
            <w:r>
              <w:rPr>
                <w:rFonts w:ascii="Arial" w:cs="Arial" w:eastAsia="Arial" w:hAnsi="Arial"/>
                <w:sz w:val="16"/>
                <w:szCs w:val="16"/>
                <w:color w:val="auto"/>
              </w:rPr>
              <w:t>35,838</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105,564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Share of losses of equity investee</w:t>
            </w:r>
          </w:p>
        </w:tc>
        <w:tc>
          <w:tcPr>
            <w:tcW w:w="80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7,358</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 of property and equipment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Prepayments and other 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(135,253)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(539,363)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(75,161)</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(632,416)</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(95,573)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non-current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(67,444)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(72,052)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Taxes payable</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3,409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Accruals and other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610,038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53,603</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(2,132,644)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(3,634,780)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(549,301)</w:t>
            </w: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 of property, plant and equipment and intangible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(469,618)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(1,079,270)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Purchase of trading securities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(1,337,413)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 of held for trading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Loan to related parties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(65,342)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Acquisitions of equity investees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60" w:type="dxa"/>
            <w:vAlign w:val="bottom"/>
            <w:gridSpan w:val="2"/>
            <w:vMerge w:val="continue"/>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(1,721,738)</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(1,153,962)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(174,391)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946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11,771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series A convertible redeemable preferred shares,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273,686</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issuance of series B convertible redeemable preferred shares, net of issuance costs</w:t>
            </w:r>
          </w:p>
        </w:tc>
        <w:tc>
          <w:tcPr>
            <w:tcW w:w="800" w:type="dxa"/>
            <w:vAlign w:val="bottom"/>
          </w:tcPr>
          <w:p>
            <w:pPr>
              <w:jc w:val="right"/>
              <w:spacing w:after="0"/>
              <w:rPr>
                <w:sz w:val="20"/>
                <w:szCs w:val="20"/>
                <w:color w:val="auto"/>
              </w:rPr>
            </w:pPr>
            <w:r>
              <w:rPr>
                <w:rFonts w:ascii="Arial" w:cs="Arial" w:eastAsia="Arial" w:hAnsi="Arial"/>
                <w:sz w:val="16"/>
                <w:szCs w:val="16"/>
                <w:color w:val="auto"/>
              </w:rPr>
              <w:t>240,066</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series C convertible redeemable preferred shares,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4,031,971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collection of receivable from a holder of Series D convertible redeemable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78,651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injection from non-controlling interests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issuance of redeemable non-controlling interests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1,124,900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 of non-recourse loan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800" w:type="dxa"/>
            <w:vAlign w:val="bottom"/>
          </w:tcPr>
          <w:p>
            <w:pPr>
              <w:jc w:val="right"/>
              <w:spacing w:after="0"/>
              <w:rPr>
                <w:sz w:val="20"/>
                <w:szCs w:val="20"/>
                <w:color w:val="auto"/>
              </w:rPr>
            </w:pPr>
            <w:r>
              <w:rPr>
                <w:rFonts w:ascii="Arial" w:cs="Arial" w:eastAsia="Arial" w:hAnsi="Arial"/>
                <w:sz w:val="16"/>
                <w:szCs w:val="16"/>
                <w:color w:val="auto"/>
              </w:rPr>
              <w:t>160,617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613,934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convertible promissory note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312,624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Repayment of borrowings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(28,787)</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 of convertible promissory note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(325,013)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60" w:type="dxa"/>
            <w:vAlign w:val="bottom"/>
            <w:gridSpan w:val="2"/>
          </w:tcPr>
          <w:p>
            <w:pPr>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4,694,897</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1,897,832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(18,567)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(160,219)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800" w:type="dxa"/>
            <w:vAlign w:val="bottom"/>
          </w:tcPr>
          <w:p>
            <w:pPr>
              <w:jc w:val="right"/>
              <w:spacing w:after="0"/>
              <w:rPr>
                <w:sz w:val="20"/>
                <w:szCs w:val="20"/>
                <w:color w:val="auto"/>
              </w:rPr>
            </w:pPr>
            <w:r>
              <w:rPr>
                <w:rFonts w:ascii="Arial" w:cs="Arial" w:eastAsia="Arial" w:hAnsi="Arial"/>
                <w:sz w:val="16"/>
                <w:szCs w:val="16"/>
                <w:color w:val="auto"/>
              </w:rPr>
              <w:t>821,948</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(3,051,129)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(461,098)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596,631</w:t>
            </w:r>
          </w:p>
        </w:tc>
        <w:tc>
          <w:tcPr>
            <w:tcW w:w="2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7,530,853</w:t>
            </w:r>
          </w:p>
        </w:tc>
        <w:tc>
          <w:tcPr>
            <w:tcW w:w="2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1,138,090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end of the period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1,418,579</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4,479,724</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676,992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800" w:type="dxa"/>
            <w:vAlign w:val="bottom"/>
          </w:tcPr>
          <w:p>
            <w:pPr>
              <w:jc w:val="right"/>
              <w:spacing w:after="0"/>
              <w:rPr>
                <w:sz w:val="20"/>
                <w:szCs w:val="20"/>
                <w:color w:val="auto"/>
              </w:rPr>
            </w:pPr>
            <w:r>
              <w:rPr>
                <w:rFonts w:ascii="Arial" w:cs="Arial" w:eastAsia="Arial" w:hAnsi="Arial"/>
                <w:sz w:val="16"/>
                <w:szCs w:val="16"/>
                <w:color w:val="auto"/>
              </w:rPr>
              <w:t>12,634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41,002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paid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offers Energy and Service Packages to its users. As of December 31, 2017 and June 30, 2018, its primary operations are conducted in the People’s Republic of China (“PRC”). The Group began to sell its first vehicles in June 2018. The Company’s principal subsidiaries and VIEs are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1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00" w:type="dxa"/>
            <w:vAlign w:val="bottom"/>
          </w:tcPr>
          <w:p>
            <w:pPr>
              <w:spacing w:after="0"/>
              <w:rPr>
                <w:sz w:val="14"/>
                <w:szCs w:val="14"/>
                <w:color w:val="auto"/>
              </w:rPr>
            </w:pPr>
          </w:p>
        </w:tc>
        <w:tc>
          <w:tcPr>
            <w:tcW w:w="25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interest held</w:t>
            </w:r>
          </w:p>
        </w:tc>
        <w:tc>
          <w:tcPr>
            <w:tcW w:w="1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0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NIO NextEV Limited (“NIO HK”) (formerly</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Hong Kong, February 2015</w:t>
            </w:r>
          </w:p>
        </w:tc>
        <w:tc>
          <w:tcPr>
            <w:tcW w:w="3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NextEV Limited)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GmbH (formerly known as NextEV</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Germany, May 2015</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Design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GmbH)</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Co., Ltd. (“NIO SH”) (formerly known</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 PRC, May 2015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Headquarter and technology</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 NextEV Co., Ltd.)</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USA, Inc. (“NIO US”)</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United States, November 2015</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(formerly known as NextEV USA, Inc.)</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Limited (“XPT”)</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Hong Kong, December 2015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NextEV (UK) Ltd. (formerly known as</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United Kingdom, February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Marketing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NextEV (UK) Limited)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Sport Limited (“NIO Sport”) (formerly</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Hong Kong, April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Racing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NIO Sport Limited)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XPT Technology Limited (“XPT</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Hong Kong, April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Inc. (“XPT US”)</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States, April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XPT (Jiangsu) Investment Co., Ltd. (“XPT</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Jiangsu, PRC, May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Jiangsu”)</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XPT Technology Limited</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 PRC, May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F-57</w:t>
            </w: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20" w:type="dxa"/>
            <w:vAlign w:val="bottom"/>
          </w:tcPr>
          <w:p>
            <w:pPr>
              <w:spacing w:after="0"/>
              <w:rPr>
                <w:sz w:val="14"/>
                <w:szCs w:val="14"/>
                <w:color w:val="auto"/>
              </w:rPr>
            </w:pPr>
          </w:p>
        </w:tc>
        <w:tc>
          <w:tcPr>
            <w:tcW w:w="24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interest held</w:t>
            </w:r>
          </w:p>
        </w:tc>
        <w:tc>
          <w:tcPr>
            <w:tcW w:w="1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XPT (Nanjing) E-Powertrain Technology</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Nanjing, PRC, July 2016</w:t>
            </w:r>
          </w:p>
        </w:tc>
        <w:tc>
          <w:tcPr>
            <w:tcW w:w="3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Manufacturing of E-Powertrain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 Ltd. (“XPT NJEP”)</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w w:val="97"/>
              </w:rPr>
              <w:t>XPT (Nanjing) Energy Storage System Co.,</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Nanjing, PRC, October 2016</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Manufacturing of battery pack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Ltd. (“XPT NJES”)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Power Express Limited</w:t>
            </w:r>
          </w:p>
        </w:tc>
        <w:tc>
          <w:tcPr>
            <w:tcW w:w="1300" w:type="dxa"/>
            <w:vAlign w:val="bottom"/>
            <w:gridSpan w:val="3"/>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Hong Kong, January 2017</w:t>
            </w:r>
          </w:p>
        </w:tc>
        <w:tc>
          <w:tcPr>
            <w:tcW w:w="28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 HK)</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NextEV User Enterprise Limited</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Hong Kong, February 2017</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(“UE HK”)</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NIO Sales and Services</w:t>
            </w:r>
          </w:p>
        </w:tc>
        <w:tc>
          <w:tcPr>
            <w:tcW w:w="1300" w:type="dxa"/>
            <w:vAlign w:val="bottom"/>
            <w:gridSpan w:val="3"/>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Shanghai, PRC, March 2017</w:t>
            </w:r>
          </w:p>
        </w:tc>
        <w:tc>
          <w:tcPr>
            <w:tcW w:w="28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Investment holding and sales and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 Ltd. (“UE CNHC”)</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after sales management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Energy Investment (Hubei)</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Wuhan PRC, April 2017</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Co., Ltd. (“PE CNHC”)</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Wuhan NIO Energy Co., Ltd. (“PE WHJV”)</w:t>
            </w:r>
          </w:p>
        </w:tc>
        <w:tc>
          <w:tcPr>
            <w:tcW w:w="1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Wuhan, PRC, May 2017</w:t>
            </w: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XTRONICS (Nanjing) Automotive</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50%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Nanjing, PRC, June 2017</w:t>
            </w:r>
          </w:p>
        </w:tc>
        <w:tc>
          <w:tcPr>
            <w:tcW w:w="2800" w:type="dxa"/>
            <w:vAlign w:val="bottom"/>
            <w:gridSpan w:val="2"/>
          </w:tcPr>
          <w:p>
            <w:pPr>
              <w:ind w:left="320"/>
              <w:spacing w:after="0"/>
              <w:rPr>
                <w:sz w:val="20"/>
                <w:szCs w:val="20"/>
                <w:color w:val="auto"/>
              </w:rPr>
            </w:pPr>
            <w:r>
              <w:rPr>
                <w:rFonts w:ascii="Arial" w:cs="Arial" w:eastAsia="Arial" w:hAnsi="Arial"/>
                <w:sz w:val="18"/>
                <w:szCs w:val="18"/>
                <w:color w:val="auto"/>
              </w:rPr>
              <w:t>Manufacturing of components</w:t>
            </w: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8"/>
          <w:szCs w:val="18"/>
          <w:color w:val="auto"/>
        </w:rPr>
        <w:t>Intelligent Technologies Co., Ltd. (“XPT</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NJWL”)</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VIE and VIE’s subsidiaries</w:t>
            </w:r>
          </w:p>
        </w:tc>
        <w:tc>
          <w:tcPr>
            <w:tcW w:w="30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Economic</w:t>
            </w:r>
          </w:p>
        </w:tc>
        <w:tc>
          <w:tcPr>
            <w:tcW w:w="240" w:type="dxa"/>
            <w:vAlign w:val="bottom"/>
          </w:tcPr>
          <w:p>
            <w:pPr>
              <w:spacing w:after="0"/>
              <w:rPr>
                <w:sz w:val="14"/>
                <w:szCs w:val="14"/>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0" w:type="dxa"/>
            <w:vAlign w:val="bottom"/>
          </w:tcPr>
          <w:p>
            <w:pPr>
              <w:spacing w:after="0"/>
              <w:rPr>
                <w:sz w:val="1"/>
                <w:szCs w:val="1"/>
                <w:color w:val="auto"/>
              </w:rPr>
            </w:pPr>
          </w:p>
        </w:tc>
      </w:tr>
      <w:tr>
        <w:trPr>
          <w:trHeight w:val="162"/>
        </w:trPr>
        <w:tc>
          <w:tcPr>
            <w:tcW w:w="4860" w:type="dxa"/>
            <w:vAlign w:val="bottom"/>
            <w:gridSpan w:val="3"/>
            <w:vMerge w:val="continue"/>
          </w:tcPr>
          <w:p>
            <w:pPr>
              <w:spacing w:after="0"/>
              <w:rPr>
                <w:sz w:val="14"/>
                <w:szCs w:val="14"/>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interest held</w:t>
            </w:r>
          </w:p>
        </w:tc>
        <w:tc>
          <w:tcPr>
            <w:tcW w:w="240" w:type="dxa"/>
            <w:vAlign w:val="bottom"/>
          </w:tcPr>
          <w:p>
            <w:pPr>
              <w:spacing w:after="0"/>
              <w:rPr>
                <w:sz w:val="14"/>
                <w:szCs w:val="14"/>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Prime Hubs Limited (“Prime Hubs”)</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BVI, October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NIO Technology Co., Ltd. (“NIO SHTECH”) (formerly known</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160"/>
              <w:spacing w:after="0"/>
              <w:rPr>
                <w:sz w:val="20"/>
                <w:szCs w:val="20"/>
                <w:color w:val="auto"/>
              </w:rPr>
            </w:pPr>
            <w:r>
              <w:rPr>
                <w:rFonts w:ascii="Arial" w:cs="Arial" w:eastAsia="Arial" w:hAnsi="Arial"/>
                <w:sz w:val="18"/>
                <w:szCs w:val="18"/>
                <w:color w:val="auto"/>
              </w:rPr>
              <w:t>as Shanghai NextEV Technology Co., Ltd.)</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Shanghai, PRC, 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NIO Network Technology Co., Ltd. (“NIO BJTECH”)</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Beijing, PRC, July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Shanghai Anbin Technology Co., Ltd. (“NIO ABTECH”)</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Shanghai, PRC, April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NIO SHTECH was established by Li Bin and Qin Lihong (the “Nominee Shareholders”) in November 2014. In 2015, NIO SH, NIO SHTECH, and the Nominee Shareholders of NIO SHTECH entered into a series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240" w:top="459" w:right="4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In April 2018, the above mentioned contractual agreements were terminated. On the same date, NIO SHTECH became a subsidiary wholly owned by NIO ABTECH, who also became a VIE of the Group on that day. As of December 31, 2017 and June 30, 2018, NIO SHTECH did not have significant operations, nor any material assets or liabilities.</w:t>
      </w:r>
    </w:p>
    <w:p>
      <w:pPr>
        <w:spacing w:after="0" w:line="19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2017 and June 30, 2018, Prime Hubs held 26,900,001 ordinary shares of the Company.</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April 2018, NIO SH entered into a series of contractual arrangements with the Nominee Shareholders as well as NIO ABTECH and NIO BJTECH separately, each including a loan agreement, an equity pledge agreement, exclusive call option agreement and power of attorney that irrevocably authorized the Nominee Shareholders designated by NIO SH to exercise the equity owner’s rights over NIO ABTECH and NIO BJTECH. These agreements provide the Company, as the only shareholder of NIO SH, with effective control over NIO ABTECH and NIO BJTECH to direct the activities that most significantly impact their economic performance and enable the Company to obtain substantially all of the economic benefits arising from them. Management concluded that NIO ABTECH and NIO BJTECH are variable interest entities of the Company and the Company is the ultimate primary beneficiary of them and shall consolidate the financial results of NIO ABTECH and NIO BJTECH in the Group’s consolidated financial statements. As of June 30, 2018, NIO ABTECH and NIO BJTECH did not have significant operations, nor any material assets or liabilities.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Group has been incurring losses from operations since inception. The Group incurred net losses of RMB2,020,522 and RMB3,325,529 for the six months ended June 30, 2017 and 2018, respectively. Accumulated deficit amounted to RMB11,711,948 and RMB21,766,482 as of December 31, 2017 and June 30, 2018, respectively. Net cash used in operating activities was approximately RMB2,132,644 and RMB3,634,780 for the six months ended June 30, 2017 and 2018, respectively. As of December 31, 2017 and June 30, 2018, the Group’s working capital was RMB6,691,491 and RMB3,165,556.</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and June 30,</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2018, the Group’s balance of cash and cash equivalents was RMB7,505,954 and RMB4,423,234. In addition, up to July 30, 2018, the Company has entered into loan facility agreements with several banks in China for a total principal amount of RMB4,765,000, which will be due by May 17, 2022. Moreover, the Group can adjust the pace of its operation expansion and control the operating expenses of the Group.</w:t>
      </w:r>
    </w:p>
    <w:p>
      <w:pPr>
        <w:spacing w:after="0" w:line="166"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unaudited interim condensed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277" w:lineRule="exact"/>
        <w:rPr>
          <w:sz w:val="20"/>
          <w:szCs w:val="20"/>
          <w:color w:val="auto"/>
        </w:rPr>
      </w:pPr>
    </w:p>
    <w:p>
      <w:pPr>
        <w:ind w:left="380" w:hanging="176"/>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accompanying unaudited interim condensed consolidated financial statements of the Group have been prepared in accordance with the accounting principles generally accepted in the United States of America (“U.S. GAAP”) for interim financial information. Accordingly, they do not include all of the information and footnotes normally included in the annual financial statements prepared in accordance with U.S. GAAP. Certain information and footnote disclosures normally included in the annual financial statements prepared in accordance with U.S. GAAP have been condensed or omitted consistent with Article 10 of Regulation S-X. In the opinion of management, the Group’s unaudited interim condensed consolidated financial statements and accompanying notes include all adjustments (consisting of normal recurring adjustments) considered necessary for the fair statement of the Group’s financial position as of June 30, 2018, and results of operations and cash flows for the six months ended June 30, 2017 and 2018. Interim results of operations are not necessarily indicative of the results for the full year or for any future period. These unaudited interim condensed consolidated financial statements should be read in conjunction with the audited consolidated financial statements as of and for the year ended December 31, 2017, and related notes included in the Group’s audited consolidated financial statements. The financial information as of December 31, 2017 presented in the unaudited interim condensed consolidated financial statements is derived from the audited consolidated financial statements as of December 31, 2017. Significant accounting policies followed by the Group in the preparation of the accompanying unaudited interim condensed consolidated financial statements are summarized below.</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unaudited interim condensed consolidated financial statements include the financial statements of the Company, its subsidiaries and the VIE for which the Company is the ultimate primary beneficiary.</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66"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jc w:val="both"/>
        <w:ind w:left="200" w:right="580" w:firstLine="441"/>
        <w:spacing w:after="0" w:line="342" w:lineRule="auto"/>
        <w:rPr>
          <w:sz w:val="20"/>
          <w:szCs w:val="20"/>
          <w:color w:val="auto"/>
        </w:rPr>
      </w:pPr>
      <w:r>
        <w:rPr>
          <w:rFonts w:ascii="Arial" w:cs="Arial" w:eastAsia="Arial" w:hAnsi="Arial"/>
          <w:sz w:val="16"/>
          <w:szCs w:val="16"/>
          <w:color w:val="auto"/>
        </w:rPr>
        <w:t>All significant transactions and balances between the Company, its subsidiaries and the VIE have been eliminated upon consolidation. The non-controlling interests in consolidated subsidiaries are shown separately in the unaudited interim condensed consolidated financial statements.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preparation of the unaudited interim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interim condensed consolidated financial statements and accompanying notes. Significant accounting estimates reflected in the Group’s consolidated financial statements mainly include, but are not limited to, the valuation and recognition of share-based compensation arrangements, depreciable lives of property, equipment and software, useful life of intangible assets, assessment for impairment of long-lived assets and intangible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The Group’s reporting currency is the Renminbi (“RMB”). The functional currency of the Company and its subsidiaries which are incorporated in HK is United States dollars (“USD”),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gain or loss, and the accumulated foreign currency translation adjustments are presented as a component of accumulated other comprehensive loss in the consolidated statements of convertible redeemable preferred shares and shareholders’ deficit. Total foreign currency translation adjustment losses were RMB29,678 and RMB153,155 for the six months ended June 30, 2017 and 2018, respectively. The grant-date fair value of the Group’s share-based compensation expenses is reported in USD as the respective valuation is conducted in USD as the shares are denominated in USD.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Translations of balances in the consolidated balance sheets, consolidated statements of comprehensive loss and consolidated statements of cash flows from RMB into USD as of and for the six months ended June 30, 2018 are solely for the convenience of the reader and were calculated at the rate of USD1.00 = RMB6.6171, representing the noon buying rate in The City of New York for cable transfers of RMB as certified for customs purposes by the Federal Reserve Bank of New York on June 29, 2018. No representation is made that the RMB amounts represent or could have been, or could be, converted, realized or settled into USD at that rate on June 30, 2018, or at any other rate.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Cash, cash equivalents and restricted cash</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Cash, cash equivalents and restricted cash as reported in the consolidated statement of cash flows are presented separately on our consolidated balance sheet as follows:</w:t>
      </w:r>
    </w:p>
    <w:p>
      <w:pPr>
        <w:spacing w:after="0" w:line="17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020" w:type="dxa"/>
            <w:vAlign w:val="bottom"/>
          </w:tcPr>
          <w:p>
            <w:pPr>
              <w:spacing w:after="0"/>
              <w:rPr>
                <w:sz w:val="14"/>
                <w:szCs w:val="14"/>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4,423,234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Restricted cash</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7,530,853</w:t>
            </w:r>
          </w:p>
        </w:tc>
        <w:tc>
          <w:tcPr>
            <w:tcW w:w="4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4,479,724</w:t>
            </w: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Property, plant and equipment, net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Building and construction</w:t>
            </w:r>
          </w:p>
        </w:tc>
        <w:tc>
          <w:tcPr>
            <w:tcW w:w="1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Motor vehicle</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Production facilities</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Computer and electronic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R&amp;D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 years</w:t>
            </w: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4320" w:type="dxa"/>
            <w:vAlign w:val="bottom"/>
            <w:gridSpan w:val="2"/>
          </w:tcPr>
          <w:p>
            <w:pPr>
              <w:ind w:left="1480"/>
              <w:spacing w:after="0" w:line="201" w:lineRule="exact"/>
              <w:rPr>
                <w:sz w:val="20"/>
                <w:szCs w:val="20"/>
                <w:color w:val="auto"/>
              </w:rPr>
            </w:pPr>
            <w:r>
              <w:rPr>
                <w:rFonts w:ascii="Arial" w:cs="Arial" w:eastAsia="Arial" w:hAnsi="Arial"/>
                <w:sz w:val="18"/>
                <w:szCs w:val="18"/>
                <w:color w:val="auto"/>
                <w:w w:val="95"/>
              </w:rPr>
              <w:t>Shorter of the estimated useful life or</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lease term</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to 5 years</w:t>
            </w:r>
          </w:p>
        </w:tc>
      </w:tr>
    </w:tbl>
    <w:p>
      <w:pPr>
        <w:spacing w:after="0" w:line="20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Depreciation for tooling is computed using the units-of-production method whereby capitalized costs are amortized over the total estimated productive life of the related assets.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cost of maintenance and repairs is expensed as incurred, whereas the cost of renewals and betterment that extends the useful lives of property, plant and equipment is capitalized as additions to the related assets.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Land use rights, net</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Land use rights are recorded at cost less accumulated amortization. Amortization is provided on a straight-line basis over the estimated useful lives which are 536 months and represent the shorter of the estimated usage periods or the terms of the agreements.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208"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provides all of the benefits received and consumed simultaneously by the customer;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creates and enhances an asset that the customer controls as the Group performs; or</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does not create an asset with an alternative use to the Group and the Group has an enforceable right to payment for performance completed to date.</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judgements on these assumptions and estimates may impact the revenue recognition.</w:t>
      </w:r>
    </w:p>
    <w:p>
      <w:pPr>
        <w:spacing w:after="0" w:line="15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customer pays consideration or the Group has a right to an amount of consideration that is unconditional, before the Group transfers a good or service to the customer, the Group presents the contract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00"/>
          </w:cols>
          <w:pgMar w:left="24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were mainly resulted from the multiple performance obligations identified in the vehicle sales contract and the sales of Energy and Service Packages, which is recorded as deferred revenue and advance from customers.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 sales</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Group generates revenue from sales of electric vehicle, the ES8, together with a number of embedded products and services through a series of contracts. The Group identifies the users who purchase the ES8 as its customers. There are multiple distinct performance obligations explicitly stated in a series of contracts including sales of ES8, charging pile, vehicle internet connection service and extended lifetime warranty which are accounted for in accordance with ASC 606. The standard warranty provided by the Group is accounted for in accordance with ASC 460, Guarantees, and the estimated costs are recorded as a liability when NIO transfers the control of ES8 to the users.</w:t>
      </w:r>
    </w:p>
    <w:p>
      <w:pPr>
        <w:spacing w:after="0" w:line="1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Customers only pay the amount after deducting the government subsidy they are entitled to for the purchase of electric vehicles, which is applied on their behalf and collected by the Group or Jianghuai Automobile Group Co., Ltd. (“JAC”) from the government. The Group has concluded the government subsidy should be considered as a part of the transaction price it charges the customers for the electric vehicle, as the subsidy is granted to the buyers of the electric vehicle and the buyers remain liable for such amount if in the event the subsidies were not received by the Group. For efficiency reason, the Group or JAC applies and collects the payment on customers’ behalf. In the instance that some eligible customer selects installment payment for battery, the Group believes such arrangement contains a significant financing component and as a result adjusts the amount considering the impact of time value on the transaction price using an appropriate discount rate (i.e. the interest rates of the loan reflecting the credit risk of the borrower). Interest income resulting from a significant financing component will be presented separately from revenue from contracts with customers as this is not the Group’s ordinary business.</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Group uses a cost plus a margin approach to determine the estimated standalone selling price for each individual distinct performance obligation identified,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ES8 sales and the charging pile are recognized at a point in time when the control of the product is transferred to the customer. For the vehicle internet connection service, the Group recognizes the revenue using a straight-line method. As for the extended lifetime warranty, given limited operating history and lack of historical data, the Group decides to recognize the revenue over time base on a straight-line method initially, and will continue monitoring the cost pattern periodically and adjust the revenue recognition pattern to reflect the actual cost pattern as it becomes available.</w:t>
      </w:r>
    </w:p>
    <w:p>
      <w:pPr>
        <w:spacing w:after="0" w:line="16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As the consideration for the vehicle and all embedded services must be paid in advance, which means the payments received are prior to the transfer of goods or services by the Group, the Group records a contract liability (deferred revenue) for the allocated amount regarding to those unperformed obligations.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Energy and Service Packages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Group also sells the two packages, Energy Package and Service Package in exchange of considerations. The Energy Package provides ES8 users with a comprehensive range of charging solutions (including charging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20"/>
          </w:cols>
          <w:pgMar w:left="240" w:top="460"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jc w:val="both"/>
        <w:ind w:left="200" w:right="280"/>
        <w:spacing w:after="0" w:line="259" w:lineRule="auto"/>
        <w:rPr>
          <w:sz w:val="20"/>
          <w:szCs w:val="20"/>
          <w:color w:val="auto"/>
        </w:rPr>
      </w:pPr>
      <w:r>
        <w:rPr>
          <w:rFonts w:ascii="Arial" w:cs="Arial" w:eastAsia="Arial" w:hAnsi="Arial"/>
          <w:sz w:val="18"/>
          <w:szCs w:val="18"/>
          <w:color w:val="auto"/>
        </w:rPr>
        <w:t>and battery swapping). The energy service is applied by users on the mobile application depending on their needs and the Group can decide the most appropriate service to offer according to its available resource. Through the Service Package, the Group offers ES8 users with a “worry free” vehicle ownership experience (including free repair service with certain limitations, routine maintenance service, enhanced data package, etc.), which can be applied by user via mobile application.</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Group identifies the users who purchase Energy Package and Service Package meet the definition of a customer. The agreements for Energy Package and Service Package create legal enforceability to both parties on a monthly basis as the respective Energy or Service Packages can be canceled at any time without any penalty. The Group concludes the energy or service provided in Energy Package or Service Package respectively meets the stand-ready criteria and contains only one performance obligation within each package, the revenue is recognized overtime on a monthly basis as customer simultaneously receives and consumes the benefits provided and the term of legally enforced contract is only one month.</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w:t>
      </w:r>
    </w:p>
    <w:p>
      <w:pPr>
        <w:spacing w:after="0" w:line="117"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The Group offers a self-managed customer loyalty program points, which can be used in the Group’s online store and at NIO houses to redeem NIO merchandise. The Group determines the value of each points based on cost of the NIO merchandise that can be redeemed with points. Customers and NIO fans and advocates have a variety of ways to obtain the points. The major accounting policy for its points program is described as follows: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Sales of ES8 vehicle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Group concludes the points offered linked to the purchase transaction of the ES8 vehicle is a material right and accordingly a separate performance obligation according to ASC 606, and should be taken into consideration when allocating the transaction price of the ES8 sales. The Group also estimates the probability of the points redemption when perform the allocation. Since the historical information is not yet exist for the Group to determine any potential points forfeitures and the fact that most merchandises can be redeemed without requiring a significant amount of points comparing with the amount of points provided to users, the Group believes it is reasonable to assume all points will be redeemed and no forfeiture is estimated currently. The amount allocated to the points as separate performance obligation is recorded as contract liability (deferred revenue) and revenue should be recognized when future goods or services are transferred. The Group will continue to monitor when and if forfeiture rate data becomes available and will apply and update the estimated forfeiture rate at each reporting period.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Sales of Energy Package</w:t>
      </w:r>
    </w:p>
    <w:p>
      <w:pPr>
        <w:spacing w:after="0" w:line="117"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Energy Package—When the customers charge their ES8 without using the Group’s charging network, the Group will grant points based on the actual cost the customers incur. The Group records the value of the points as a reduction of revenue from the Energy Package.</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Since historical information does not yet exist for the Group to determine any potential points forfeiture and most merchandise can be redeemed without requiring a significant amount of points compared with the amount of points provided to users, the Group does not expect points forfeiture.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(iii) Other scenarios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Customers or the users of the mobile application can also obtain points through any other ways such as frequent sign-ins to the Group’s mobile application, sharing articles from the application to users’ own social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00"/>
          </w:cols>
          <w:pgMar w:left="24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media. The Group believes these points are to encourage user engagement and generate market awareness. As a result, the Group accounts for such points as selling and marketing expenses with a corresponding liability recorded under other current liabilities of its consolidated balance sheets upon the points offering. The Group estimates liabilities under the customer loyalty program based on cost of the NIO merchandise that can be redeemed, and its estimate of probability of redemption. At the time of redemption, the Group records a reduction of inventory and other current liabilities. In certain cases where merchandise is sold for cash in addition to points, the Group records other income, and for six months period ended June 30, 2017 and June 30, 2018, nil and RMB1,785 were recorded, respectively.</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Similar to the reasons above, the Group estimates no points forfeiture currently and continue to assess when and if a forfeiture rate should be applied.</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For the period ended June 30, 2018, the revenue portion allocated to the points as separate performance obligation was RMB90, which is recorded as contract liability (deferred revenue). For the period ended June 30, 2018, the total points recorded as a reduction of revenue was nil. For the period ended June 30, 2017 and 2018, the total points recorded as selling and marketing expenses were RMB5,569 and RMB48,012.</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and June 30, 2018, liabilities recorded related to unredeemed points were RMB 16,460 and RMB42,227,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Group follows the guidance for immaterial promises when identifying the performance obligations in the vehicle sales contracts and concludes the lifetime roadside assistance and out-of-town charging services are not performance obligations considering these two services are value-added services to enhance user experience rather than critical items for ES8 driving and forecasted usage for these two services are very limited. The Group also performs an estimation on the stand-alone fair value of each promises applying cost plus margin approach and concludes standalone fair value of roadside assistance and out-of-town charging services are insignificant individually and in aggregate, less than 1% of ES8 gross selling price and aggregate fair value of each individual promises.</w:t>
      </w:r>
    </w:p>
    <w:p>
      <w:pPr>
        <w:spacing w:after="0" w:line="193"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Considering the qualitative assessment and the result of the quantitative estimate, the Group concluded not to assess whether promises are performance obligation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 Cost of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Cost of vehicle revenue includes direct parts, material, processing fee, loss compensation to JAC, labor costs, manufacturing overhead (including depreciation of assets associated with the production), shipping and logistic costs, and reserves for estimated warranty expenses. Cost of vehicle revenue also includes adjustments to warranty expense and charges to write-down the carrying value of the inventory when it exceeds its estimated net realizable value and to provide for on-hand inventory that is either obsolete or in excess of forecasted demand.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00"/>
          </w:cols>
          <w:pgMar w:left="24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Service and Other</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Cost of service and other revenue includes direct parts, material, labor costs, vehicle internet connectivity costs, and depreciation of assets that are associated with sales of energy and service packages.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 Sales and marketing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six months ended June 30, 2017 and 2018, advertising costs totaled RMB32,048 and RMB23,620, respectively.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 Employee benefits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RMB97,982 and RMB193,079 for the six months ended June 30, 2017 and 2018, respectively.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 beginning after December 15, 2017, with early adoption permitted for interim and annual periods beginning after December 15, 2016. The Group started to generate revenue in June 2018.</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The main objective of this update is to enhance the reporting model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June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adaption of ASU 2016-01 has no impact on its consolidated financial statements.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February 2016, the FASB issued ASU No. 2016-02, Leases (Topic 842). The ASU is effective for reporting periods beginning after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15, 2018 and interim periods within those fiscal years. Early adoption is permitted. The ASU will require lessees to report most leases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assets and liabilities on the balance sheet, while lessor accounting will remain substantially unchanged. The ASU requires a modified retrospective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transition approach for existing leases, whereby the new rules will be applied to the earliest year presented. In January 2018, the FASB issued ASU</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2018-01, Land Easement Practical Expedient Transition to Topic 842, to permit an entity to elect an optional practical expedient to not evaluate land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easements under ASC 842, that exist or expired before the entity’s adoption of ASC 842 and that were not previously accounted for as leases under ASC</w:t>
      </w:r>
    </w:p>
    <w:p>
      <w:pPr>
        <w:spacing w:after="0" w:line="32" w:lineRule="exact"/>
        <w:rPr>
          <w:sz w:val="20"/>
          <w:szCs w:val="20"/>
          <w:color w:val="auto"/>
        </w:rPr>
      </w:pPr>
    </w:p>
    <w:p>
      <w:pPr>
        <w:ind w:left="200" w:right="140" w:firstLine="4"/>
        <w:spacing w:after="0" w:line="292" w:lineRule="auto"/>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ASU is effective during the same period of adoption of ASU 2016-02. We will be required to recognize and measure leases existing at, or entered into after, the beginning of the earliest comparative period presented using a modified retrospective approach, with certain practical expedients available. We intend to elect the available practical expedients upon adoption. Upon adoption, we expect our consolidated balance sheet to include a right of use asset and liability related to substantially all of our lease arrangements. We are continuing to assess the impact of adopting the ASU on our financial position, results of operations and related disclosures and have not yet determined whether the effect will be material.</w:t>
      </w:r>
    </w:p>
    <w:p>
      <w:pPr>
        <w:spacing w:after="0" w:line="16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2016-09”). ASU 2016-09 simplifies the accounting for share-based payment transactions specifically related to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There was no significant impact upon adoption in 2018.</w:t>
      </w:r>
    </w:p>
    <w:p>
      <w:pPr>
        <w:spacing w:after="0" w:line="17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Restricted Cash (Topic 230)</w:t>
      </w:r>
      <w:r>
        <w:rPr>
          <w:rFonts w:ascii="Arial" w:cs="Arial" w:eastAsia="Arial" w:hAnsi="Arial"/>
          <w:sz w:val="17"/>
          <w:szCs w:val="17"/>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adoption of this standard does not have a material impact on the Group’s consolidated financial statements, but resulted in restricted cash being included with cash and cash equivalents when reconciling the beginning-of-period and end-of-period total amounts shown on the statements of cash flows.</w:t>
      </w:r>
    </w:p>
    <w:p>
      <w:pPr>
        <w:spacing w:after="0" w:line="282" w:lineRule="exact"/>
        <w:rPr>
          <w:sz w:val="20"/>
          <w:szCs w:val="20"/>
          <w:color w:val="auto"/>
        </w:rPr>
      </w:pPr>
    </w:p>
    <w:p>
      <w:pPr>
        <w:ind w:left="380" w:hanging="176"/>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and Risks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Assets that potentially subject the Group to significant concentrations of credit risk primarily consist of cash and cash equivalents, restricted cash and trade receivable. The maximum exposure of such assets to credit risk is their carrying amounts as of the balance sheet dates. As of December 31, 2017 and June 30, 2018, all of the Group’s cash and cash equivalents, restricted cash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00"/>
          </w:cols>
          <w:pgMar w:left="24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Currency convertibility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PRC government imposes controls on the convertibility of RMB into foreign currencies. The Group’s cash and cash equivalents and restricted cash denominated in RMB that are subject to such government controls amounted to RMB914,460 and RMB1,965,536 as of December 31, 2017 and June 30, 2018,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572,248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22,262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Merchandise</w:t>
            </w:r>
          </w:p>
        </w:tc>
        <w:tc>
          <w:tcPr>
            <w:tcW w:w="2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Raw materials as of December 31, 2017 are mainly used for research and development purpose and will be expensed when incurred. In the second quarter of 2018, the Group started selling vehicles and procured raw materials for volume production purpose.</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Work in progress are mainly used for research and development of new models and will be expensed when incurred. Electric drive systems in production are also recorded as work in progress.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Finished goods include vehicles ready for transit at production factory, vehicles in transit to fulfill customer orders, new vehicles available for immediate sale at our sales and service center locations, and charging piles.</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Merchandise inventory includes branded merchandise of NIO which can be redeemed by deducting membership rewards points of customer loyalty program in the Group’s application store.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00"/>
          </w:cols>
          <w:pgMar w:left="240" w:top="460"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Prepayments and other 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3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VAT input</w:t>
            </w:r>
          </w:p>
        </w:tc>
        <w:tc>
          <w:tcPr>
            <w:tcW w:w="2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456,774</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Prepayment to vendors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185,401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468,811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receivables</w:t>
            </w:r>
          </w:p>
        </w:tc>
        <w:tc>
          <w:tcPr>
            <w:tcW w:w="2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Prepayment to vendors mainly consist of prepayment for raw materials, prepaid rental for offices and NIO Houses, and prepaid expenses for R&amp;D services provided by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and related accumulated depreciation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340" w:type="dxa"/>
            <w:vAlign w:val="bottom"/>
          </w:tcPr>
          <w:p>
            <w:pPr>
              <w:spacing w:after="0"/>
              <w:rPr>
                <w:sz w:val="14"/>
                <w:szCs w:val="14"/>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1,016,643</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Mould and tooling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871,038</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413,368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382,865</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Building and construction</w:t>
            </w:r>
          </w:p>
        </w:tc>
        <w:tc>
          <w:tcPr>
            <w:tcW w:w="17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385,403</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178,534</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281,632</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Purchased software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135,775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171,551</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243,854</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Production facilities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134,080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216,509</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35,571</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Motor vehicles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19,681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54,286</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47,640</w:t>
            </w:r>
          </w:p>
        </w:tc>
        <w:tc>
          <w:tcPr>
            <w:tcW w:w="12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Subtotal</w:t>
            </w:r>
          </w:p>
        </w:tc>
        <w:tc>
          <w:tcPr>
            <w:tcW w:w="17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2,132,441</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3,566,225</w:t>
            </w:r>
          </w:p>
        </w:tc>
        <w:tc>
          <w:tcPr>
            <w:tcW w:w="1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(221,428)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(377,221)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7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1,911,013</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3,189,004</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Group recorded depreciation expenses of RMB65,535 and RMB143,719 for the six months ended June 30, 2017 and June 30, 2018,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00"/>
          </w:cols>
          <w:pgMar w:left="24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and related accumulated amortization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8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5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6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2"/>
          </w:tcPr>
          <w:p>
            <w:pPr>
              <w:jc w:val="center"/>
              <w:ind w:left="158"/>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 and others</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(1,017)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(1,461)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3,199</w:t>
            </w:r>
          </w:p>
        </w:tc>
        <w:tc>
          <w:tcPr>
            <w:tcW w:w="52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(1,955)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1660" w:type="dxa"/>
            <w:vAlign w:val="bottom"/>
            <w:gridSpan w:val="3"/>
          </w:tcPr>
          <w:p>
            <w:pPr>
              <w:ind w:left="880"/>
              <w:spacing w:after="0"/>
              <w:rPr>
                <w:sz w:val="20"/>
                <w:szCs w:val="20"/>
                <w:color w:val="auto"/>
              </w:rPr>
            </w:pPr>
            <w:r>
              <w:rPr>
                <w:rFonts w:ascii="Arial" w:cs="Arial" w:eastAsia="Arial" w:hAnsi="Arial"/>
                <w:sz w:val="18"/>
                <w:szCs w:val="18"/>
                <w:color w:val="auto"/>
              </w:rPr>
              <w:t>(2,453)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6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(3,914)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recorded amortization expenses of RMB984 and RMB942 for the six months ended June 30, 2017 and 2018,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Land Use Rights,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Land use rights and related accumulated amortization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1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221,503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Accumulated amortization—land use rights</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Land use rights, net</w:t>
            </w:r>
          </w:p>
        </w:tc>
        <w:tc>
          <w:tcPr>
            <w:tcW w:w="1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221,090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June 2018, XPT NJEP entered into an agreement to purchase the land use rights for manufacturing of e-powertrain for the Group.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Group recorded amortization expenses for land use rights of nil and RMB413 for the six months ended June 30, 2017 and 2018,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Other Non-current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for purchase of property and equipment</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161,247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Receivable of battery installment</w:t>
            </w:r>
          </w:p>
        </w:tc>
        <w:tc>
          <w:tcPr>
            <w:tcW w:w="1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90,848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deposit mainly consists of rental deposit for offices and NIO Houses which will not be collectible within one year.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240" w:top="460" w:right="41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Short-term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Short-term borrowings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280" w:type="dxa"/>
            <w:vAlign w:val="bottom"/>
          </w:tcPr>
          <w:p>
            <w:pPr>
              <w:spacing w:after="0"/>
              <w:rPr>
                <w:sz w:val="14"/>
                <w:szCs w:val="14"/>
                <w:color w:val="auto"/>
              </w:rPr>
            </w:pPr>
          </w:p>
        </w:tc>
        <w:tc>
          <w:tcPr>
            <w:tcW w:w="8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Per Annum</w:t>
            </w: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I—IX</w:t>
            </w:r>
          </w:p>
        </w:tc>
        <w:tc>
          <w:tcPr>
            <w:tcW w:w="2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2018/8/11 - 2019/6/24</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180,583</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4.35% - 5.00%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w w:val="89"/>
              </w:rPr>
              <w:t>Bank loan</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28,787</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12. Accruals and Other Liabilities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gridSpan w:val="5"/>
          </w:tcPr>
          <w:p>
            <w:pPr>
              <w:ind w:left="420"/>
              <w:spacing w:after="0"/>
              <w:rPr>
                <w:sz w:val="20"/>
                <w:szCs w:val="20"/>
                <w:color w:val="auto"/>
              </w:rPr>
            </w:pPr>
            <w:r>
              <w:rPr>
                <w:rFonts w:ascii="Arial" w:cs="Arial" w:eastAsia="Arial" w:hAnsi="Arial"/>
                <w:sz w:val="18"/>
                <w:szCs w:val="18"/>
                <w:color w:val="auto"/>
              </w:rPr>
              <w:t>Accruals and other liabilities consist of the following:</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7"/>
          </w:tcPr>
          <w:p>
            <w:pPr>
              <w:ind w:left="11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Payables for purchase of property and equipment</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410,726</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1,006,307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Advance from customers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68,439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269,258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for R&amp;D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Salaries and benefits payable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170,274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185,542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 portion of non-recourse loan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171,104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Payables for marketing events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37,933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114,149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94,213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Loan from joint investor (current portion)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41,773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Non-recourse loan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Deposit from exercise of non-recourse loan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21,365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for traveling</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Interest payables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5,469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Warranty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73,971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60" w:type="dxa"/>
            <w:vAlign w:val="bottom"/>
            <w:gridSpan w:val="4"/>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1,285,592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2,218,926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13. Long-term Borrowings</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80" w:type="dxa"/>
            <w:vAlign w:val="bottom"/>
            <w:gridSpan w:val="6"/>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gridSpan w:val="5"/>
          </w:tcPr>
          <w:p>
            <w:pPr>
              <w:ind w:left="420"/>
              <w:spacing w:after="0"/>
              <w:rPr>
                <w:sz w:val="20"/>
                <w:szCs w:val="20"/>
                <w:color w:val="auto"/>
              </w:rPr>
            </w:pPr>
            <w:r>
              <w:rPr>
                <w:rFonts w:ascii="Arial" w:cs="Arial" w:eastAsia="Arial" w:hAnsi="Arial"/>
                <w:sz w:val="18"/>
                <w:szCs w:val="18"/>
                <w:color w:val="auto"/>
              </w:rPr>
              <w:t>Long-term borrowings consist of the following:</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Bank loan</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454,901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548,652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Loan from joint investor</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187,500</w:t>
            </w:r>
          </w:p>
        </w:tc>
        <w:tc>
          <w:tcPr>
            <w:tcW w:w="3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384,000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932,652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60" w:right="41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announced by PBOC. Given Nanjing Xingzhi does not bear the risk of the losses and only entitles to fixed interest income, the Group regarded it a loan in substance and recorded it in liability with the interest expenses amortized through the period. On May 16, 2018, the Group entered into an agreement with Nanjing Xingzhi to purchase Nanjing Xingzhi’s shareholding in XPT NJES at a price of RMB41,773, which approximately the entire principal plus interest accrued so far.</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May 17, 2017, the Group entered into a secured loan agreement with the Bank of Nanjing of a facility amount of RMB685,000 with a maturity date of May 17, 2022. As of June 30, 2018, the aggregated draw amounted to RMB576,752, among which RMB143,100 due within one year was presented under current portion of long-term borrowings and the loan interest payable to Bank of Nanjing was RMB2,621 with an effective interest rate of 4.75%~5.80% which is the current market rate. The loan was guaranteed by Nanjing Xingzhi as an incentive for XPT NJES to continue doing business in the respective region. There is no restrictive financial covenants attached to the loan.</w:t>
      </w:r>
    </w:p>
    <w:p>
      <w:pPr>
        <w:spacing w:after="0" w:line="173"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On May 18, 2017, the Group entered into a joint investment agreement with Wuhan Donghu New Technology Development Zone Management Committee (“Wuhan Donghu”) to set up a joint venture entity (the “PE WHJV”). Wuhan Donghu subscribed for RMB384,000 paid in capital in PE WHJV with 49% of the shares. On June 30, 2017, September 29, 2017 and April 16, 2018, Wuhan Donghu injected RMB50,000, RMB100,000 and RMB234,000 in cash to PE WHJV, respectively.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w:t>
      </w:r>
    </w:p>
    <w:p>
      <w:pPr>
        <w:spacing w:after="0" w:line="19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September 28, 2017, the Group entered into a loan agreement with China Merchants Bank of a facility amount of RMB200,000 with a maturity date of September 27, 2018. As of June 30, 2018, the aggregated draw amounted to RMB50,000 subject to a floating interest rate of 10% above the benchmark interest rate of three-year RMB loan announced by PBOC.</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February 2, 2018, the Group entered into a loan agreement with China CITIC Bank of a principal of RMB50,000 with a maturity date of February 1, 2021. The loan is subject to a floating interest rate of 10% above the average quoted interest rate of one-year RMB loan announced by the National Interbank Funding Center.</w:t>
      </w:r>
    </w:p>
    <w:p>
      <w:pPr>
        <w:spacing w:after="0" w:line="18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On May 14, 2018, the Group entered into a loan agreement with Bank of Shanghai of a facility amount of RMB1,500,000 with a maturity date of December 15, 2025. As of June 30, 2018, the aggregated draw amounted to RMB15,000 subject to a floating interest rate of 20% above the benchmark interest rate of five-year RMB loan announced by PBOC.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Other Non-Current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liabilities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280" w:type="dxa"/>
            <w:vAlign w:val="bottom"/>
          </w:tcPr>
          <w:p>
            <w:pPr>
              <w:spacing w:after="0"/>
              <w:rPr>
                <w:sz w:val="14"/>
                <w:szCs w:val="14"/>
                <w:color w:val="auto"/>
              </w:rPr>
            </w:pPr>
          </w:p>
        </w:tc>
        <w:tc>
          <w:tcPr>
            <w:tcW w:w="2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construction allowance</w:t>
            </w:r>
          </w:p>
        </w:tc>
        <w:tc>
          <w:tcPr>
            <w:tcW w:w="1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Rental payable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48,926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64,029</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32,163</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Warranty</w:t>
            </w: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193,922</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payable represents the difference between the straight-line rental expenses and the actual rental fee paid for long term rental agreements.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Revenue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by source consists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34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sales</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Sales of charging pile</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 Packages</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
                <w:szCs w:val="2"/>
                <w:color w:val="auto"/>
              </w:rPr>
            </w:pPr>
          </w:p>
        </w:tc>
        <w:tc>
          <w:tcPr>
            <w:tcW w:w="59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vMerge w:val="continue"/>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Deferred revenue consists of the following: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December 31,</w:t>
            </w:r>
          </w:p>
        </w:tc>
        <w:tc>
          <w:tcPr>
            <w:tcW w:w="1020" w:type="dxa"/>
            <w:vAlign w:val="bottom"/>
            <w:gridSpan w:val="3"/>
          </w:tcPr>
          <w:p>
            <w:pPr>
              <w:ind w:left="44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9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sales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other unfulfilled performance obligations other than deferred revenue.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0980"/>
          </w:cols>
          <w:pgMar w:left="240" w:top="460" w:right="6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Significant change in deferred revenue</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Deferred revenue equals to the total transaction price allocated to the performance obligations that are unsatisfied, or partially satisfied, which mainly arises from the undelivered charging pile, the vehicle internet connection service, the extended lifetime warranty service as well as the points offered to customers embedded in the ES8 sales contract. The following table shows a conciliation in the current reporting period related to carried-forward deferred revenue.</w:t>
      </w:r>
    </w:p>
    <w:p>
      <w:pPr>
        <w:spacing w:after="0" w:line="19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June 30, 2018</w:t>
            </w:r>
          </w:p>
        </w:tc>
      </w:tr>
      <w:tr>
        <w:trPr>
          <w:trHeight w:val="119"/>
        </w:trPr>
        <w:tc>
          <w:tcPr>
            <w:tcW w:w="6220" w:type="dxa"/>
            <w:vAlign w:val="bottom"/>
          </w:tcPr>
          <w:p>
            <w:pPr>
              <w:spacing w:after="0"/>
              <w:rPr>
                <w:sz w:val="10"/>
                <w:szCs w:val="10"/>
                <w:color w:val="auto"/>
              </w:rPr>
            </w:pPr>
          </w:p>
        </w:tc>
        <w:tc>
          <w:tcPr>
            <w:tcW w:w="54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2"/>
              </w:rPr>
              <w:t>Vehicle</w:t>
            </w:r>
          </w:p>
        </w:tc>
        <w:tc>
          <w:tcPr>
            <w:tcW w:w="8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Sales of</w:t>
            </w:r>
          </w:p>
        </w:tc>
        <w:tc>
          <w:tcPr>
            <w:tcW w:w="60" w:type="dxa"/>
            <w:vAlign w:val="bottom"/>
          </w:tcPr>
          <w:p>
            <w:pPr>
              <w:spacing w:after="0"/>
              <w:rPr>
                <w:sz w:val="10"/>
                <w:szCs w:val="10"/>
                <w:color w:val="auto"/>
              </w:rPr>
            </w:pPr>
          </w:p>
        </w:tc>
      </w:tr>
      <w:tr>
        <w:trPr>
          <w:trHeight w:val="171"/>
        </w:trPr>
        <w:tc>
          <w:tcPr>
            <w:tcW w:w="62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Sales</w:t>
            </w: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Packages</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 beginning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Additions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1,955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Deferred revenue – end of period</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Group expects that 54% of the transaction price allocated to unsatisfied performance obligation as at June 30, 2018 will be recognized as revenue during the period from June 30, 2018 to June 30, 2019. The remaining 46% will be recognized during the period from July 1, 2019 to December 31, 2022.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Manufacturing in collaboration with JAC</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Group entered into an arrangement with JAC for the manufacture of the ES8 for five years in May 2016. Pursuant to the arrangement, JAC will build up a new manufacturing plant (“Hefei Manufacturing Plant”) and is responsible for the equipment used on the product line while NIO is responsible for the tooling. For each vehicle produced the Group will pay processing fee to JAC on a per-vehicle basis monthly for the first three years on the basis that NIO will provide all the raw materials to JAC. In addition, for the first 36 months after agreed time of start of production, which is April 2018, the Group will compensate JAC operating losses incurred in Hefei Manufacturing Plant. For the six months ended June 30, 2017 and 2018, JAC charged the Group nil and RMB65,065, respectively, based on the actual losses incurred in Hefei Manufacturing Plant during the same periods, which was recorded into cost of sales.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441,577</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Design and development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537,418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600,576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16,903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37,144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Others</w:t>
            </w:r>
          </w:p>
        </w:tc>
        <w:tc>
          <w:tcPr>
            <w:tcW w:w="2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1,031,253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1,459,344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gridSpan w:val="2"/>
          </w:tcPr>
          <w:p>
            <w:pPr>
              <w:jc w:val="right"/>
              <w:ind w:right="2677"/>
              <w:spacing w:after="0"/>
              <w:rPr>
                <w:sz w:val="20"/>
                <w:szCs w:val="20"/>
                <w:color w:val="auto"/>
              </w:rPr>
            </w:pPr>
            <w:r>
              <w:rPr>
                <w:rFonts w:ascii="Arial" w:cs="Arial" w:eastAsia="Arial" w:hAnsi="Arial"/>
                <w:sz w:val="18"/>
                <w:szCs w:val="18"/>
                <w:color w:val="auto"/>
              </w:rPr>
              <w:t>F-75</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Selling,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general and administrative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399,729</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Marketing and promotional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220,136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263,844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Rental and related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73,513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174,567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IT consumable, office supply and other low value consumable</w:t>
            </w:r>
          </w:p>
        </w:tc>
        <w:tc>
          <w:tcPr>
            <w:tcW w:w="680" w:type="dxa"/>
            <w:vAlign w:val="bottom"/>
          </w:tcPr>
          <w:p>
            <w:pPr>
              <w:jc w:val="right"/>
              <w:spacing w:after="0"/>
              <w:rPr>
                <w:sz w:val="20"/>
                <w:szCs w:val="20"/>
                <w:color w:val="auto"/>
              </w:rPr>
            </w:pPr>
            <w:r>
              <w:rPr>
                <w:rFonts w:ascii="Arial" w:cs="Arial" w:eastAsia="Arial" w:hAnsi="Arial"/>
                <w:sz w:val="18"/>
                <w:szCs w:val="18"/>
                <w:color w:val="auto"/>
              </w:rPr>
              <w:t>25,288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59,598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51,355</w:t>
            </w: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1,726,297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Convertible Promissory Note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On February 16, 2017, the Company issued convertible promissory note (“the Note”) in the aggregated principal amount of USD48,000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USD100,000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USD2.751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USD1,800 (RMB12,389 equivalent).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Convertible Redeemable Preferred Shares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March 2015, the Company issued 165,000,000 shares of Series A-1 convertible redeemable preferred shares (“Series A-1 Preferred Shares”) for USD1.00 per share for cash of USD165,000. The total consideration was paid in three instalments and were fully paid in January 2017. In March and May 2015, the Company issued 130,000,000 shares of Series A-2 convertible redeemable preferred shares (“Series A-2 Preferred Shares”) for USD1.00 per share for cash of USD130,000. In September 2015, the Company issued 24,210,431 shares of Series A-3 Preferred Shares for USD1.6522 per share for cash of USD40,000. The Series A-1, A-2 and A-3 Preferred Shares are collectively referred to as the “Series A Preferred Shares”.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June, July, August, September 2016 and February 2017, the Company issued 114,867,321 shares of Series B convertible redeemable preferred shares (“Series B Preferred Shares”) for USD2.751 per share for cash of USD316,000.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March, April, May and July 2017, the Company issued 166,205,830 shares of Series C convertible redeemable preferred shares (“Series C Preferred Shares”) for USD3.885 per share for cash of USD645,709.</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November and December 2017, the Company issued 211,156,415 shares of Series D convertible redeemable preferred shares (“Series D Preferred Shares”) for USD5.353 per share for cash of USD1,130,320. USD12,000 out of the total consideration from one of the investor was not paid until March 28, 2018 and it was treated as a reduction of Series D Preferred Shares until it was paid. In addition, a finder’s commission of USD26,000 was incurred for the Series D Preferred Shares financing. The Company paid 50% of the commission in cash amounted USD13,000 and the remaining 50% by issuance of 2,428,588 shares of Series D Preferred Shares for free to the financial advisory. The total of the finder’s commission was also recorded as an issuance cost as a deduction of the preferred shares.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Series A-1, A-2, A-3, B, C and D Preferred Shares are collectively referred to as the “Preferred Shares”. All series of Preferred Shares have the same par value of USD0.00025 per share.</w:t>
      </w:r>
    </w:p>
    <w:p>
      <w:pPr>
        <w:spacing w:after="0" w:line="170"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QIPO by December 31, 2021. The Preferred Shares are recorded initially at fair value, net of issuance costs. The issuance costs for Series A-1, A-2, A-3, B, C, and D were USD301, USD189, USD208, USD1,782, USD1,489 and USD901 (RMB1,892, RMB1,177, RMB1,296, RMB11,857, RMB10,039 and RMB6,033, equivalent).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major rights, preferences and privileges of the Preferred Shares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approval and declaration by the Board of Directors, the holders of the Preferred Shares (exclusive of unpaid shares) are entitled to receive dividends in the following order:</w:t>
      </w:r>
    </w:p>
    <w:p>
      <w:pPr>
        <w:spacing w:after="0" w:line="76" w:lineRule="exact"/>
        <w:rPr>
          <w:sz w:val="20"/>
          <w:szCs w:val="20"/>
          <w:color w:val="auto"/>
        </w:rPr>
      </w:pPr>
    </w:p>
    <w:p>
      <w:pPr>
        <w:ind w:left="1060" w:right="280" w:hanging="424"/>
        <w:spacing w:after="0" w:line="34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29" w:lineRule="exact"/>
        <w:rPr>
          <w:rFonts w:ascii="Arial" w:cs="Arial" w:eastAsia="Arial" w:hAnsi="Arial"/>
          <w:sz w:val="16"/>
          <w:szCs w:val="16"/>
          <w:color w:val="auto"/>
        </w:rPr>
      </w:pPr>
    </w:p>
    <w:p>
      <w:pPr>
        <w:ind w:left="1060" w:right="30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Series B Preferred Shareholders are entitled to receive dividends at an amount equal to 5% of the issue price prior to and in preference to any dividend on the Series A Preferred Shares and ordinary shares;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1060" w:right="2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Series A Preferred Shareholders are entitled to receive dividends at an amount equal to 5% of the issue price prior to and in preference to any ordinary shares;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 dividends on preferred and ordinary shares have been declared since the issuance date through December 31, 2017 and June 30, 2018.</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Preferred Shares (exclusive of unpaid shares) would automatically be converted into ordinary shares 1) upon a QIPO; or 2) upon the written consent of the holders of a majority of the outstanding Preferred Share of each class with respect to conversion of each class.</w:t>
      </w:r>
    </w:p>
    <w:p>
      <w:pPr>
        <w:spacing w:after="0" w:line="14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shall redeem, at the option of any holder of outstanding Preferred Shares, all of the outstanding Preferred Shares (other than the unpaid shares) held by the requesting holder, at any time after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60"/>
          </w:cols>
          <w:pgMar w:left="240" w:top="459" w:right="4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6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00"/>
          </w:cols>
          <w:pgMar w:left="24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The Company recognized accretion to the respective redemption value of the Preferred Shares over the period starting from issuance date to December 31, 2021, the earliest redemption date. According to the redemption price calculation described above, the Company recognized accretion of the Preferred Shares amounted to RMB1,139,341 and RMB6,744,283 during the six months ended June 30, 2017 and 2018, respectively.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convertible redeemable preferred shares activities for the six months ended June 30, 2017 and 2018 are summarized below:</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Series A-1 &amp; A-2</w:t>
            </w:r>
          </w:p>
        </w:tc>
        <w:tc>
          <w:tcPr>
            <w:tcW w:w="80" w:type="dxa"/>
            <w:vAlign w:val="bottom"/>
          </w:tcPr>
          <w:p>
            <w:pPr>
              <w:spacing w:after="0"/>
              <w:rPr>
                <w:sz w:val="14"/>
                <w:szCs w:val="14"/>
                <w:color w:val="auto"/>
              </w:rPr>
            </w:pPr>
          </w:p>
        </w:tc>
        <w:tc>
          <w:tcPr>
            <w:tcW w:w="13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Series A-3</w:t>
            </w:r>
          </w:p>
        </w:tc>
        <w:tc>
          <w:tcPr>
            <w:tcW w:w="80" w:type="dxa"/>
            <w:vAlign w:val="bottom"/>
          </w:tcPr>
          <w:p>
            <w:pPr>
              <w:spacing w:after="0"/>
              <w:rPr>
                <w:sz w:val="14"/>
                <w:szCs w:val="14"/>
                <w:color w:val="auto"/>
              </w:rPr>
            </w:pPr>
          </w:p>
        </w:tc>
        <w:tc>
          <w:tcPr>
            <w:tcW w:w="156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4"/>
                <w:szCs w:val="14"/>
                <w:color w:val="auto"/>
              </w:rPr>
            </w:pPr>
          </w:p>
        </w:tc>
        <w:tc>
          <w:tcPr>
            <w:tcW w:w="1540" w:type="dxa"/>
            <w:vAlign w:val="bottom"/>
            <w:gridSpan w:val="3"/>
          </w:tcPr>
          <w:p>
            <w:pPr>
              <w:jc w:val="right"/>
              <w:ind w:right="446"/>
              <w:spacing w:after="0"/>
              <w:rPr>
                <w:sz w:val="20"/>
                <w:szCs w:val="20"/>
                <w:color w:val="auto"/>
              </w:rPr>
            </w:pPr>
            <w:r>
              <w:rPr>
                <w:rFonts w:ascii="Arial" w:cs="Arial" w:eastAsia="Arial" w:hAnsi="Arial"/>
                <w:sz w:val="14"/>
                <w:szCs w:val="14"/>
                <w:b w:val="1"/>
                <w:bCs w:val="1"/>
                <w:color w:val="auto"/>
              </w:rPr>
              <w:t>Series C</w:t>
            </w:r>
          </w:p>
        </w:tc>
        <w:tc>
          <w:tcPr>
            <w:tcW w:w="80" w:type="dxa"/>
            <w:vAlign w:val="bottom"/>
          </w:tcPr>
          <w:p>
            <w:pPr>
              <w:spacing w:after="0"/>
              <w:rPr>
                <w:sz w:val="14"/>
                <w:szCs w:val="14"/>
                <w:color w:val="auto"/>
              </w:rPr>
            </w:pPr>
          </w:p>
        </w:tc>
        <w:tc>
          <w:tcPr>
            <w:tcW w:w="156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Series D</w:t>
            </w:r>
          </w:p>
        </w:tc>
        <w:tc>
          <w:tcPr>
            <w:tcW w:w="80" w:type="dxa"/>
            <w:vAlign w:val="bottom"/>
          </w:tcPr>
          <w:p>
            <w:pPr>
              <w:spacing w:after="0"/>
              <w:rPr>
                <w:sz w:val="14"/>
                <w:szCs w:val="14"/>
                <w:color w:val="auto"/>
              </w:rPr>
            </w:pPr>
          </w:p>
        </w:tc>
        <w:tc>
          <w:tcPr>
            <w:tcW w:w="1640" w:type="dxa"/>
            <w:vAlign w:val="bottom"/>
            <w:gridSpan w:val="4"/>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7"/>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2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2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2,539,993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2,014,903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421,355,106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4,861,574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5"/>
                <w:szCs w:val="15"/>
                <w:color w:val="auto"/>
                <w:w w:val="98"/>
              </w:rPr>
              <w:t>Proceeds from Series A-1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 preferred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12,722,646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240,066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140,452,805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3,619,766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153,175,451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3,859,832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5"/>
                <w:szCs w:val="15"/>
                <w:color w:val="auto"/>
              </w:rPr>
              <w:t>Accretion on 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redeemable preferred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shares to 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1,019,848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40,755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34,166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44,572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1,139,341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9"/>
              </w:rPr>
              <w:t>Balances as of June 30,</w:t>
            </w: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3,826,352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347,433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2,289,135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140,452,805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3,664,338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574,530,557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10,127,258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b w:val="1"/>
                <w:bCs w:val="1"/>
                <w:color w:val="auto"/>
              </w:rPr>
              <w:t>December 31, 2017</w:t>
            </w:r>
          </w:p>
        </w:tc>
        <w:tc>
          <w:tcPr>
            <w:tcW w:w="800" w:type="dxa"/>
            <w:vAlign w:val="bottom"/>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5,011,731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427,129</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2,294,980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166,205,830</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4,454,596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213,585,003</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7,469,350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813,868,585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19,657,786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Proceeds from Series 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78,651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78,651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5"/>
                <w:szCs w:val="15"/>
                <w:color w:val="auto"/>
              </w:rPr>
              <w:t>Accretion on 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redeemable preferred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shares to 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3,851,909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308,341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1,289,035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1,046,602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248,396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6,744,283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9"/>
              </w:rPr>
              <w:t>Balances as of June 30,</w:t>
            </w: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8,863,640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735,470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3,584,015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5,501,198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7,796,397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813,868,585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26,480,720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520"/>
          </w:cols>
          <w:pgMar w:left="240" w:top="459" w:right="1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Redeemable non-controlling interests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XPT (Jiangsu) Automotive Technology Co., Ltd. (“XPT Auto”), the Group’s wholly owned subsidiary had its redeemable preferred share (“XPT Auto PS”) financing of RMB 1,294,900 to certain third party strategic investors in the second quarter of 2018. These third party strategic investors’ contributions in XPT Auto were accounted for as the Group’s redeemable non-controlling interests, and were classified as Mezzanine equity. Pursuant to XPT Auto’s share purchase agreement, the XPT Auto PS issued to third party strategic investors have the same rights as the existing ordinary shareholder of XPT Auto except that they have following privileges: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holders of XPT Auto PS have the option to request XPT Auto to redeem those shares under certain circumstance: (1) a qualified initial public offering of XPT Auto has not occurred by the fifth anniversary after the issuance of XPT Auto PS; (2) XPT Auto doesn’t meet its performance target (revenue and net profit) for each of the year during FY2019 and FY2023; or (3) a deadlock event lasts for 60 working days and cannot be resolved.</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redemption price should be equal to the original issue price plus simple interest on the original issue price at the rate of 10% per annum minus the dividends paid up to the date of redemption.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of any liquidation, the holders of XPT Auto PS have preference over holders of ordinary shares. On a return of capital on liquidation, XPT Auto’s assets available for distribution among the investors shall first be paid to XPT Auto PS investors at the amount equal to the original issue price plus simple interest on the original issue price at the rate of 10% per annum minus the dividends paid up to the date of liquidation. The remaining assets of XPT Auto shall all be distributed to its ordinary shareholders.</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recognized accretion to the respective redemption value of the XPT Auto PS over the period starting from issuance date. On June 29, 2018, RMB 1,124,900 out of the total consideration was paid by those investors and the remaining RMB 170,000 were still outstanding as of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Ordinary Shares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Upon inception, each ordinary share was issued at a par value of USD0.00025 per share. Various numbers of ordinary shares were issued to share-based compensation award recipients. As of December 31, 2017 and June 30, 2018,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USD0.00025 per share.</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December 31, 2017 and June 30, 2018, 1,151,269,325 ordinary shares were authorized, 36,727,350 and 41,178,902 shares were issued and 23,850,343 and 31,540,943 shares were outstanding as of December 31, 2017 and June 30,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00"/>
          </w:cols>
          <w:pgMar w:left="24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expenses recognized for share-based awards granted by the Company were as follows: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3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10,900</w:t>
            </w:r>
          </w:p>
        </w:tc>
        <w:tc>
          <w:tcPr>
            <w:tcW w:w="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24,938</w:t>
            </w:r>
          </w:p>
        </w:tc>
        <w:tc>
          <w:tcPr>
            <w:tcW w:w="7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93,146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35,838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381" w:lineRule="auto"/>
        <w:rPr>
          <w:sz w:val="20"/>
          <w:szCs w:val="20"/>
          <w:color w:val="auto"/>
        </w:rPr>
      </w:pPr>
      <w:r>
        <w:rPr>
          <w:rFonts w:ascii="Arial" w:cs="Arial" w:eastAsia="Arial" w:hAnsi="Arial"/>
          <w:sz w:val="15"/>
          <w:szCs w:val="15"/>
          <w:color w:val="auto"/>
        </w:rPr>
        <w:t>There was no income tax benefit recognized in the consolidated statements of comprehensive loss for share-based compensation expenses and the Group did not capitalize any of the share-based compensation expenses as part of the cost of any assets in the six months ended June 30, 2017 and 2018.</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Prime Hubs’ Restricted Shares Plan</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granted under the Prime Hubs Plan: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Employees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Employees</w:t>
            </w:r>
          </w:p>
        </w:tc>
        <w:tc>
          <w:tcPr>
            <w:tcW w:w="4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4940" w:type="dxa"/>
            <w:vAlign w:val="bottom"/>
            <w:gridSpan w:val="3"/>
            <w:vMerge w:val="continue"/>
          </w:tcPr>
          <w:p>
            <w:pPr>
              <w:spacing w:after="0"/>
              <w:rPr>
                <w:sz w:val="14"/>
                <w:szCs w:val="14"/>
                <w:color w:val="auto"/>
              </w:rPr>
            </w:pPr>
          </w:p>
        </w:tc>
        <w:tc>
          <w:tcPr>
            <w:tcW w:w="2400" w:type="dxa"/>
            <w:vAlign w:val="bottom"/>
          </w:tcPr>
          <w:p>
            <w:pPr>
              <w:spacing w:after="0"/>
              <w:rPr>
                <w:sz w:val="14"/>
                <w:szCs w:val="14"/>
                <w:color w:val="auto"/>
              </w:rPr>
            </w:pPr>
          </w:p>
        </w:tc>
        <w:tc>
          <w:tcPr>
            <w:tcW w:w="172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rPr>
              <w:t>Outstanding</w:t>
            </w:r>
          </w:p>
        </w:tc>
        <w:tc>
          <w:tcPr>
            <w:tcW w:w="1980" w:type="dxa"/>
            <w:vAlign w:val="bottom"/>
            <w:gridSpan w:val="3"/>
          </w:tcPr>
          <w:p>
            <w:pPr>
              <w:jc w:val="right"/>
              <w:ind w:right="80"/>
              <w:spacing w:after="0" w:line="158"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Borders>
              <w:top w:val="single" w:sz="8" w:color="auto"/>
            </w:tcBorders>
          </w:tcPr>
          <w:p>
            <w:pPr>
              <w:jc w:val="right"/>
              <w:ind w:right="475"/>
              <w:spacing w:after="0" w:line="149"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2016</w:t>
            </w:r>
          </w:p>
        </w:tc>
        <w:tc>
          <w:tcPr>
            <w:tcW w:w="2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Vested</w:t>
            </w:r>
          </w:p>
        </w:tc>
        <w:tc>
          <w:tcPr>
            <w:tcW w:w="4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(2,841,667)</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(208,333)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Unvested as of June 30, 2017</w:t>
            </w:r>
          </w:p>
        </w:tc>
        <w:tc>
          <w:tcPr>
            <w:tcW w:w="24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5,350,000</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2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7,058,338</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Vested</w:t>
            </w:r>
          </w:p>
        </w:tc>
        <w:tc>
          <w:tcPr>
            <w:tcW w:w="41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(2,924,996)</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June 30, 2018</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4,133,342</w:t>
            </w: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For the six months ended June 30, 2017 and 2018, total share-based compensation expenses recognized for the employee restricted shares granted under the Prime Hubs Plan were RMB8,250 and RMB9,563,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240" w:top="460" w:right="41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00" w:firstLine="441"/>
        <w:spacing w:after="0" w:line="286" w:lineRule="auto"/>
        <w:rPr>
          <w:sz w:val="20"/>
          <w:szCs w:val="20"/>
          <w:color w:val="auto"/>
        </w:rPr>
      </w:pPr>
      <w:r>
        <w:rPr>
          <w:rFonts w:ascii="Arial" w:cs="Arial" w:eastAsia="Arial" w:hAnsi="Arial"/>
          <w:sz w:val="17"/>
          <w:szCs w:val="17"/>
          <w:color w:val="auto"/>
        </w:rPr>
        <w:t>As of December 31, 2017 and June 30, 2018, there were RMB37,651 and RMB26,050 of unrecognized share-based compensation expenses related to the employee restricted shares granted under the Prime Hubs Plan. Such unrecognized expenses are expected to be recognized over a weighted-average period of 1.69 and 1.44 years, respectively, as of December 31, 2017 and June 30, 2018.</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Non-Employees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2016, the Prime Hubs restricted shares granted to non-employees were fully vested.</w:t>
      </w:r>
    </w:p>
    <w:p>
      <w:pPr>
        <w:spacing w:after="0" w:line="225"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In January 2017, the Company agreed to repurchase 250,000 vested Prime Hubs restricted shares from a non-employee with total cash consideration of RMB1,686.</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the six months ended June 30, 2017 and 2018, total share-based compensation expenses recognized for the non-employee restricted shares granted the Prime Hubs Plan were nil.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NIO Incentive Plans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2015, the Company adopted the 2015 Stock Incentive Plan (the “2015 Plan”), which allows the plan administrator to grant options and restricted shares of the Company to its employees, directors, and consultants.</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granted share options to the Group’s non-NIO US employees and both share options and restricted shares to the employees of NIO US.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the Board of Directors further approved the 2016 Stock Incentive Plan (the “2016 Plan”) and the 2017 Stock Incentive Plan (the “2017 Plan”). The 2016 and 2017 Plans have the same terms as 2015 Plan.</w:t>
      </w:r>
    </w:p>
    <w:p>
      <w:pPr>
        <w:spacing w:after="0" w:line="17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of December 31, 2017 and June 30, 2018,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 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20"/>
          </w:cols>
          <w:pgMar w:left="24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Share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activities of the Company’s share options under the 2015, 2016 and 2017 Plans for the six months ended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and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5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 Years</w:t>
            </w:r>
          </w:p>
        </w:tc>
        <w:tc>
          <w:tcPr>
            <w:tcW w:w="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52,623,554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0.32</w:t>
            </w:r>
          </w:p>
        </w:tc>
        <w:tc>
          <w:tcPr>
            <w:tcW w:w="1580" w:type="dxa"/>
            <w:vAlign w:val="bottom"/>
            <w:gridSpan w:val="2"/>
            <w:shd w:val="clear" w:color="auto" w:fill="CCEEFF"/>
          </w:tcPr>
          <w:p>
            <w:pPr>
              <w:jc w:val="center"/>
              <w:ind w:left="1179"/>
              <w:spacing w:after="0"/>
              <w:rPr>
                <w:sz w:val="20"/>
                <w:szCs w:val="20"/>
                <w:color w:val="auto"/>
              </w:rPr>
            </w:pPr>
            <w:r>
              <w:rPr>
                <w:rFonts w:ascii="Arial" w:cs="Arial" w:eastAsia="Arial" w:hAnsi="Arial"/>
                <w:sz w:val="18"/>
                <w:szCs w:val="18"/>
                <w:color w:val="auto"/>
                <w:w w:val="91"/>
              </w:rPr>
              <w:t>8.30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4,449,700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76"/>
              <w:spacing w:after="0"/>
              <w:rPr>
                <w:sz w:val="20"/>
                <w:szCs w:val="20"/>
                <w:color w:val="auto"/>
              </w:rPr>
            </w:pPr>
            <w:r>
              <w:rPr>
                <w:rFonts w:ascii="Arial" w:cs="Arial" w:eastAsia="Arial" w:hAnsi="Arial"/>
                <w:sz w:val="18"/>
                <w:szCs w:val="18"/>
                <w:color w:val="auto"/>
                <w:w w:val="91"/>
              </w:rPr>
              <w:t>1.15</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(577,038)</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0.27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(3,526,310)</w:t>
            </w:r>
          </w:p>
        </w:tc>
        <w:tc>
          <w:tcPr>
            <w:tcW w:w="8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0.39</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(149,488)</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0.13</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June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52,820,418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0.39</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91"/>
              </w:rPr>
              <w:t>8.47</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57,775,914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0.57</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8.52</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38,612,866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jc w:val="center"/>
              <w:ind w:left="176"/>
              <w:spacing w:after="0"/>
              <w:rPr>
                <w:sz w:val="20"/>
                <w:szCs w:val="20"/>
                <w:color w:val="auto"/>
              </w:rPr>
            </w:pPr>
            <w:r>
              <w:rPr>
                <w:rFonts w:ascii="Arial" w:cs="Arial" w:eastAsia="Arial" w:hAnsi="Arial"/>
                <w:sz w:val="18"/>
                <w:szCs w:val="18"/>
                <w:color w:val="auto"/>
                <w:w w:val="91"/>
              </w:rPr>
              <w:t>2.44</w:t>
            </w:r>
          </w:p>
        </w:tc>
        <w:tc>
          <w:tcPr>
            <w:tcW w:w="540" w:type="dxa"/>
            <w:vAlign w:val="bottom"/>
          </w:tcPr>
          <w:p>
            <w:pPr>
              <w:spacing w:after="0"/>
              <w:rPr>
                <w:sz w:val="18"/>
                <w:szCs w:val="18"/>
                <w:color w:val="auto"/>
              </w:rPr>
            </w:pPr>
          </w:p>
        </w:tc>
        <w:tc>
          <w:tcPr>
            <w:tcW w:w="1040" w:type="dxa"/>
            <w:vAlign w:val="bottom"/>
            <w:tcBorders>
              <w:top w:val="single" w:sz="8" w:color="auto"/>
            </w:tcBorders>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(4,451,552)</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(2,657,239)</w:t>
            </w:r>
          </w:p>
        </w:tc>
        <w:tc>
          <w:tcPr>
            <w:tcW w:w="8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0.70</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(340,447)</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June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88,939,542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1.39</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91"/>
              </w:rPr>
              <w:t>8.80</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50,823,823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June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3,557,094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85,641,307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June 30, 2018</w:t>
            </w:r>
          </w:p>
        </w:tc>
        <w:tc>
          <w:tcPr>
            <w:tcW w:w="860" w:type="dxa"/>
            <w:vAlign w:val="bottom"/>
          </w:tcPr>
          <w:p>
            <w:pPr>
              <w:jc w:val="right"/>
              <w:spacing w:after="0"/>
              <w:rPr>
                <w:sz w:val="20"/>
                <w:szCs w:val="20"/>
                <w:color w:val="auto"/>
              </w:rPr>
            </w:pPr>
            <w:r>
              <w:rPr>
                <w:rFonts w:ascii="Arial" w:cs="Arial" w:eastAsia="Arial" w:hAnsi="Arial"/>
                <w:sz w:val="18"/>
                <w:szCs w:val="18"/>
                <w:color w:val="auto"/>
              </w:rPr>
              <w:t>2,968,041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weighted-average grant date fair value for options granted under the Company’s 2017 Plan during the six months ended June 30, 2017 and 2018 was USD 1.02 and USD 1.82, respectively, computed using the binomial option pricing model.</w:t>
      </w:r>
    </w:p>
    <w:p>
      <w:pPr>
        <w:spacing w:after="0" w:line="170"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color w:val="auto"/>
        </w:rPr>
        <w:t>The total share-based compensation expenses recognized for share options during the six months ended June 30, 2017 and 2018 was RMB14,004 and RMB14,413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240" w:top="459" w:right="4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fair value of each option granted under the Company’s 2017 Plan during the six months ended June 30, 2017 and 2018 was estimated on the date of each grant using the binomial option pricing model with the assumptions (or ranges thereof) in the following table:</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78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Fair value of the ordinary shares on the date of option grant (USD)</w:t>
            </w:r>
          </w:p>
        </w:tc>
        <w:tc>
          <w:tcPr>
            <w:tcW w:w="1260" w:type="dxa"/>
            <w:vAlign w:val="bottom"/>
          </w:tcPr>
          <w:p>
            <w:pPr>
              <w:jc w:val="right"/>
              <w:spacing w:after="0"/>
              <w:rPr>
                <w:sz w:val="20"/>
                <w:szCs w:val="20"/>
                <w:color w:val="auto"/>
              </w:rPr>
            </w:pPr>
            <w:r>
              <w:rPr>
                <w:rFonts w:ascii="Arial" w:cs="Arial" w:eastAsia="Arial" w:hAnsi="Arial"/>
                <w:sz w:val="18"/>
                <w:szCs w:val="18"/>
                <w:color w:val="auto"/>
              </w:rPr>
              <w:t>1.30-1.80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3.38-4.62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As of December 31, 2017 and June 30, 2018, there were RMB58,444 and RMB79,740 of unrecognized compensation expenses related to the stock options granted to the employees of NIO US, which is expected to be recognized over a weighted-average period of 2.53 and 2.62 years, respectively.</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2017 and June 30, 2018, there were RMB275,473 and RMB626,454 of unrecognized compensation expenses related to the stocks options granted to the Group’s non-NIO US employees with a performance condition of an IPO, out of which, unrecognized compensation expenses of RMB138,884 and RMB234,120 related to options for which the service condition had been met and are expected to be recognized when the performance target of an IPO is achieved.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Restricted shares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fair value of each restricted share granted with service conditions is estimated based on the fair market value of the underlying ordinary shares of the Company on the date of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240" w:top="459" w:right="41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under the 2015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Number of Restricted</w:t>
            </w:r>
          </w:p>
        </w:tc>
        <w:tc>
          <w:tcPr>
            <w:tcW w:w="58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Shares Outstanding</w:t>
            </w:r>
          </w:p>
        </w:tc>
        <w:tc>
          <w:tcPr>
            <w:tcW w:w="2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2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1,837,387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(152,021)</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(254,395)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Unvested at June 30, 2017</w:t>
            </w:r>
          </w:p>
        </w:tc>
        <w:tc>
          <w:tcPr>
            <w:tcW w:w="2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1,430,971</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2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1,112,977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(314,052)</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(63,056)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Unvested at June 30, 2018</w:t>
            </w:r>
          </w:p>
        </w:tc>
        <w:tc>
          <w:tcPr>
            <w:tcW w:w="2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735,869</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As of December 31, 2017 and June 30, 2018, there were RMB6,095 and RMB3,461 of unrecognized compensation expenses related to restricted shares granted to the employees of NIO US, which is expected to be recognized over a weighted-average period of 1.75 and 1.25 years, respectively.</w:t>
      </w:r>
    </w:p>
    <w:p>
      <w:pPr>
        <w:spacing w:after="0" w:line="124"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Share-based compensation expenses of RMB2,093 and RMB1,915 related to restricted shares granted to the employees of NIO US was recognized for the six months ended June 30, 2017 and 2018,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Non-recourse Loan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November 2015, the Company issued an offer letter to one of its key management team member (“the Borrower”). In the offer letter, the Company offered the Borrower to purchase 7,509,933 Series A-3 Preferred Shares of the Company at the price of USD1.6522 per share, which equals to the purchase price paid for the same class of preferred shares by other third party investors in the most recent round of financing prior to the offer letter. In addition, the Company agreed to provide a loan in the amount of USD12,408 with an interest rate of 1.8% compounded semiannually to fund the purchase of such Series A-3 Preferred Shares by the Borrower (“the Loan”). The Loan agreement was signed on March 10, 2016, the date of her employment. The Loan is subject to a three-year service condition with 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June 2018, the Borrower repaid the loan pursuant to the agreement, including the interest accrued, to the Company, amounting to RMB82,863.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time of the repayment, 75% of the Award was vested and considered as exercised while 25% remained as unvested.</w:t>
      </w:r>
    </w:p>
    <w:p>
      <w:pPr>
        <w:spacing w:after="0" w:line="21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until the Award is settled, i.e. upon redemption or QIPO.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240" w:top="459" w:right="41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fair value of the Award granted was estimated on each reporting date using the Black-Scholes option pricing model with the assumptions (or ranges thereof) in the following table: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Fair value of the Preferred Shares on the measurement date</w:t>
            </w: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Share-based compensation expenses related to the Award of RMB11,491 and RMB79,673 was recognized for the six months ended June 30, 2017 and 2018,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Taxation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Chinese companies are subject to enterprise income tax (“EIT”) at a uniform rate of 25%.</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6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240" w:top="460" w:right="4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According to relevant laws and regulations promulgated by the State Administration of Tax of the PRC effective from 2008 onwards, enterprises engaging in research and development activities are entitled to claim 150% of their qualified research and development expenses so incurred as tax deductible expenses when determining their assessable profits for the year (‘Super Deduction’). The additional deduction of 50% of qualified research and development expenses can only be claimed directly in the annual EIT filing and subject to the approval from the relevant tax authorities.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maximum applicable income tax rates of other countries where the Company’s subsidiaries having significant operations in the six months ended June 30, 2017 and 2018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42.84%</w:t>
            </w: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United Kingdom</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19.25%</w:t>
            </w:r>
          </w:p>
        </w:tc>
        <w:tc>
          <w:tcPr>
            <w:tcW w:w="7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32.98%</w:t>
            </w: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Composition of income tax expense for the periods presented are as follows: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5320"/>
              <w:spacing w:after="0"/>
              <w:rPr>
                <w:sz w:val="20"/>
                <w:szCs w:val="20"/>
                <w:color w:val="auto"/>
              </w:rPr>
            </w:pPr>
            <w:r>
              <w:rPr>
                <w:rFonts w:ascii="Arial" w:cs="Arial" w:eastAsia="Arial" w:hAnsi="Arial"/>
                <w:sz w:val="18"/>
                <w:szCs w:val="18"/>
                <w:color w:val="auto"/>
              </w:rPr>
              <w:t>F-88</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Reconciliations of the income tax expense computed by applying the PRC statutory income tax rate of 25% to the Group’s income tax expense of the periods presented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(2,016,197)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(3,321,161)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 computed at PRC statutory income tax rate of 25%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(504,049)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(830,290)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Foreign tax rates differential</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(20,349)</w:t>
            </w:r>
          </w:p>
        </w:tc>
        <w:tc>
          <w:tcPr>
            <w:tcW w:w="880" w:type="dxa"/>
            <w:vAlign w:val="bottom"/>
          </w:tcPr>
          <w:p>
            <w:pPr>
              <w:jc w:val="right"/>
              <w:spacing w:after="0"/>
              <w:rPr>
                <w:sz w:val="20"/>
                <w:szCs w:val="20"/>
                <w:color w:val="auto"/>
              </w:rPr>
            </w:pPr>
            <w:r>
              <w:rPr>
                <w:rFonts w:ascii="Arial" w:cs="Arial" w:eastAsia="Arial" w:hAnsi="Arial"/>
                <w:sz w:val="18"/>
                <w:szCs w:val="18"/>
                <w:color w:val="auto"/>
              </w:rPr>
              <w:t>40,635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50% tax deduction for qualified research and development expenses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(33,662)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exempted interest income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(5,221)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 tax credits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Prior year adjustments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benefit not utilized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537,685</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PRC statutory income tax rate was used because the majority of the Group’s operations are based in PRC.</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Deferred tax</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240" w:top="459" w:right="4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deferred tax assets consist of the following components: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860" w:type="dxa"/>
            <w:vAlign w:val="bottom"/>
            <w:gridSpan w:val="3"/>
          </w:tcPr>
          <w:p>
            <w:pPr>
              <w:ind w:left="23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23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1,620,535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2,332,971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84,320</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expenses in excess of deduction limit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65,737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60,624</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8,699</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7,104</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Prepaid expense</w:t>
            </w:r>
          </w:p>
        </w:tc>
        <w:tc>
          <w:tcPr>
            <w:tcW w:w="23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Donation carry-forward (3Yrs)</w:t>
            </w:r>
          </w:p>
        </w:tc>
        <w:tc>
          <w:tcPr>
            <w:tcW w:w="23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education expenditure carry-forward</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Unrealized financing cost</w:t>
            </w:r>
          </w:p>
        </w:tc>
        <w:tc>
          <w:tcPr>
            <w:tcW w:w="2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340" w:type="dxa"/>
            <w:vAlign w:val="bottom"/>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Less: Valuation allowance</w:t>
            </w:r>
          </w:p>
        </w:tc>
        <w:tc>
          <w:tcPr>
            <w:tcW w:w="23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(1,878,643)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(2,666,200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w w:val="96"/>
              </w:rPr>
              <w:t>As of June 30,</w:t>
            </w:r>
          </w:p>
        </w:tc>
        <w:tc>
          <w:tcPr>
            <w:tcW w:w="0" w:type="dxa"/>
            <w:vAlign w:val="bottom"/>
          </w:tcPr>
          <w:p>
            <w:pPr>
              <w:spacing w:after="0"/>
              <w:rPr>
                <w:sz w:val="1"/>
                <w:szCs w:val="1"/>
                <w:color w:val="auto"/>
              </w:rPr>
            </w:pPr>
          </w:p>
        </w:tc>
      </w:tr>
      <w:tr>
        <w:trPr>
          <w:trHeight w:val="142"/>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allowance</w:t>
            </w:r>
          </w:p>
        </w:tc>
        <w:tc>
          <w:tcPr>
            <w:tcW w:w="28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360" w:type="dxa"/>
            <w:vAlign w:val="bottom"/>
            <w:gridSpan w:val="3"/>
            <w:vMerge w:val="continue"/>
          </w:tcPr>
          <w:p>
            <w:pPr>
              <w:spacing w:after="0"/>
              <w:rPr>
                <w:sz w:val="11"/>
                <w:szCs w:val="11"/>
                <w:color w:val="auto"/>
              </w:rPr>
            </w:pPr>
          </w:p>
        </w:tc>
        <w:tc>
          <w:tcPr>
            <w:tcW w:w="2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1,205,754</w:t>
            </w: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December 2017, the Securities and Exchange Commission issued Staff Accounting Bulletin No. 118, Income Tax Accounting Implications of the Tax Cuts and Jobs Act (“SAB 118”), which allows the Group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59" w:right="4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Uncertain Tax Position</w:t>
      </w:r>
    </w:p>
    <w:p>
      <w:pPr>
        <w:spacing w:after="0" w:line="117"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Loss Per Share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Basic loss per share and diluted loss per share have been calculated in accordance with ASC 260 on computation of earnings per share for the six months ended June 30, 2017 and 2018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3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0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(1,139,341)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(6,744,283)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 of NIO Inc. for basic/dilutive net loss per share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(3,130,592)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(10,054,534)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Weighted-average number of ordinary shares outstanding — basic and diluted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20,141,298</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28,661,459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For the six months ended June 30, 2017 and 2018, assumed conversion of the Preferred Shares into ordinary shares were excluded from the calculations of diluted net loss per share of the Company due to the anti-dilutive effect. The effects of all outstanding share options have also been excluded from the computation of diluted net loss per share for the six months ended June 30, 2017 and 2018 as their effects would be anti-dilutive.</w:t>
      </w:r>
    </w:p>
    <w:p>
      <w:pPr>
        <w:spacing w:after="0" w:line="14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For the six months ended June 30, 2017 and 2018, the Company had potential ordinary shares, including non-vested restricted shares, options granted and Preferred Shares. As the Group incurred losses for the six months ended June 30, 2017 and 2018,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were 8,172,204, 42,977,537 and 516,679,430 as of June 30, 2017, 5,746,798, 52,414,708 and 814,807,327 as of June 30, 2018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Related Party Balances and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related parties with which the Group had transactions during the years presented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 of Entity or Individual</w:t>
            </w:r>
          </w:p>
        </w:tc>
        <w:tc>
          <w:tcPr>
            <w:tcW w:w="240" w:type="dxa"/>
            <w:vAlign w:val="bottom"/>
          </w:tcPr>
          <w:p>
            <w:pPr>
              <w:spacing w:after="0"/>
              <w:rPr>
                <w:sz w:val="16"/>
                <w:szCs w:val="16"/>
                <w:color w:val="auto"/>
              </w:rPr>
            </w:pPr>
          </w:p>
        </w:tc>
        <w:tc>
          <w:tcPr>
            <w:tcW w:w="3960" w:type="dxa"/>
            <w:vAlign w:val="bottom"/>
          </w:tcPr>
          <w:p>
            <w:pPr>
              <w:ind w:left="1000"/>
              <w:spacing w:after="0"/>
              <w:rPr>
                <w:sz w:val="20"/>
                <w:szCs w:val="20"/>
                <w:color w:val="auto"/>
              </w:rPr>
            </w:pPr>
            <w:r>
              <w:rPr>
                <w:rFonts w:ascii="Arial" w:cs="Arial" w:eastAsia="Arial" w:hAnsi="Arial"/>
                <w:sz w:val="14"/>
                <w:szCs w:val="14"/>
                <w:b w:val="1"/>
                <w:bCs w:val="1"/>
                <w:color w:val="auto"/>
              </w:rPr>
              <w:t>Relationship with the Company</w:t>
            </w:r>
          </w:p>
        </w:tc>
      </w:tr>
      <w:tr>
        <w:trPr>
          <w:trHeight w:val="189"/>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Bin Li</w:t>
            </w:r>
          </w:p>
        </w:tc>
        <w:tc>
          <w:tcPr>
            <w:tcW w:w="50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Principal Shareholder, Chairman of the Board and</w:t>
            </w: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Lihong Qin</w:t>
            </w:r>
          </w:p>
        </w:tc>
        <w:tc>
          <w:tcPr>
            <w:tcW w:w="42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6"/>
              </w:rPr>
              <w:t>Principal Shareholder, Director and President of the</w:t>
            </w: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Company</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Baidu Capital L.P.</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Suzhou Zenlead XPT New Energy Technologies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Capital</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Beijing CHJ Information Technology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Shanghai NIO Hongling Investment Management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Hubei Changjiang Nextev New Energy Industry Development Capital Partnership (Limited</w:t>
            </w:r>
          </w:p>
        </w:tc>
        <w:tc>
          <w:tcPr>
            <w:tcW w:w="2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Partnership)</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Beijing Chehui Hudong Guanggao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Affiliate</w:t>
            </w: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Bite Shijie (Beijing) Keji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The Group entered into the following significant related 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Provision of service</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six months ended June 30, 2017 and 2018, service income was primarily generated from property management and miscellaneous research and development services the Group provided to its related parties.</w:t>
      </w:r>
    </w:p>
    <w:p>
      <w:pPr>
        <w:spacing w:after="0" w:line="189"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6350</wp:posOffset>
            </wp:positionV>
            <wp:extent cx="14579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040"/>
        <w:spacing w:after="0"/>
        <w:tabs>
          <w:tab w:leader="none" w:pos="10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300" w:val="left"/>
          <w:tab w:leader="none" w:pos="10880" w:val="left"/>
        </w:tabs>
        <w:rPr>
          <w:sz w:val="20"/>
          <w:szCs w:val="20"/>
          <w:color w:val="auto"/>
        </w:rPr>
      </w:pPr>
      <w:r>
        <w:rPr>
          <w:rFonts w:ascii="Arial" w:cs="Arial" w:eastAsia="Arial" w:hAnsi="Arial"/>
          <w:sz w:val="18"/>
          <w:szCs w:val="18"/>
          <w:color w:val="auto"/>
        </w:rPr>
        <w:t>Shanghai NIO Hongling Investment Management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13335</wp:posOffset>
            </wp:positionV>
            <wp:extent cx="4032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30480</wp:posOffset>
            </wp:positionV>
            <wp:extent cx="4032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13335</wp:posOffset>
            </wp:positionV>
            <wp:extent cx="4718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30480</wp:posOffset>
            </wp:positionV>
            <wp:extent cx="4718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240" w:top="460" w:right="4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Acceptance of marketing and advertising service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Beijing Chehui Hudong Guanggao Co., Ltd.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Bite Shijie (Beijing) Keji Co., Ltd.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8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(iii) Loan to related party</w:t>
            </w: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NIO Capital</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On January 12, 2018, the Group granted two interest free loans to NIO Capital, with principal amount of USD5,000 each. The loans mature in 6 months. One of the loan can be converted into ordinary shares of a subsidiary of NIO Capital upon maturity at the option of the Group.</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(iv) Cost of manufacturing consignment</w:t>
      </w:r>
    </w:p>
    <w:p>
      <w:pPr>
        <w:spacing w:after="0" w:line="244"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6350</wp:posOffset>
            </wp:positionV>
            <wp:extent cx="15608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882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000" w:val="left"/>
          <w:tab w:leader="none" w:pos="10660" w:val="left"/>
        </w:tabs>
        <w:rPr>
          <w:sz w:val="20"/>
          <w:szCs w:val="20"/>
          <w:color w:val="auto"/>
        </w:rPr>
      </w:pPr>
      <w:r>
        <w:rPr>
          <w:rFonts w:ascii="Arial" w:cs="Arial" w:eastAsia="Arial" w:hAnsi="Arial"/>
          <w:sz w:val="18"/>
          <w:szCs w:val="18"/>
          <w:color w:val="auto"/>
        </w:rPr>
        <w:t>Suzhou Zenlead XPT New Energy Technologies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13335</wp:posOffset>
            </wp:positionV>
            <wp:extent cx="30861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30480</wp:posOffset>
            </wp:positionV>
            <wp:extent cx="30861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13335</wp:posOffset>
            </wp:positionV>
            <wp:extent cx="6089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30480</wp:posOffset>
            </wp:positionV>
            <wp:extent cx="60896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3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 Interest payable on behalf of related parties</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6350</wp:posOffset>
            </wp:positionV>
            <wp:extent cx="16033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780"/>
        <w:spacing w:after="0"/>
        <w:tabs>
          <w:tab w:leader="none" w:pos="105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8980" w:val="left"/>
          <w:tab w:leader="none" w:pos="10740" w:val="left"/>
        </w:tabs>
        <w:rPr>
          <w:sz w:val="20"/>
          <w:szCs w:val="20"/>
          <w:color w:val="auto"/>
        </w:rPr>
      </w:pPr>
      <w:r>
        <w:rPr>
          <w:rFonts w:ascii="Arial" w:cs="Arial" w:eastAsia="Arial" w:hAnsi="Arial"/>
          <w:sz w:val="18"/>
          <w:szCs w:val="18"/>
          <w:color w:val="auto"/>
        </w:rPr>
        <w:t>Baidu Capital L.P.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13335</wp:posOffset>
            </wp:positionV>
            <wp:extent cx="3429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wp:posOffset>
            </wp:positionV>
            <wp:extent cx="3429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13335</wp:posOffset>
            </wp:positionV>
            <wp:extent cx="5575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30480</wp:posOffset>
            </wp:positionV>
            <wp:extent cx="5575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(vi) Purchase of property and equipment</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6350</wp:posOffset>
            </wp:positionV>
            <wp:extent cx="16033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920"/>
        <w:spacing w:after="0"/>
        <w:tabs>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080" w:val="left"/>
          <w:tab w:leader="none" w:pos="10980" w:val="left"/>
        </w:tabs>
        <w:rPr>
          <w:sz w:val="20"/>
          <w:szCs w:val="20"/>
          <w:color w:val="auto"/>
        </w:rPr>
      </w:pPr>
      <w:r>
        <w:rPr>
          <w:rFonts w:ascii="Arial" w:cs="Arial" w:eastAsia="Arial" w:hAnsi="Arial"/>
          <w:sz w:val="18"/>
          <w:szCs w:val="18"/>
          <w:color w:val="auto"/>
        </w:rPr>
        <w:t>Bite Shijie (Beijing) Keji Co., Ltd.</w:t>
      </w:r>
      <w:r>
        <w:rPr>
          <w:sz w:val="20"/>
          <w:szCs w:val="20"/>
          <w:color w:val="auto"/>
        </w:rPr>
        <w:tab/>
      </w:r>
      <w:r>
        <w:rPr>
          <w:rFonts w:ascii="Arial" w:cs="Arial" w:eastAsia="Arial" w:hAnsi="Arial"/>
          <w:sz w:val="18"/>
          <w:szCs w:val="18"/>
          <w:color w:val="auto"/>
        </w:rPr>
        <w:t>2,422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13335</wp:posOffset>
            </wp:positionV>
            <wp:extent cx="5403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wp:posOffset>
            </wp:positionV>
            <wp:extent cx="5403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13335</wp:posOffset>
            </wp:positionV>
            <wp:extent cx="3600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30480</wp:posOffset>
            </wp:positionV>
            <wp:extent cx="3600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240" w:top="459" w:right="4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The Group had the following significant related party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Amounts due from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As of December 31,</w:t>
            </w: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NIO Capital</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Ningbo Meishan Free Trade Port Zone Weilan Investment Co., Ltd.</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50,000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Shanghai NIO Hongling Investment Management Co.,</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Baidu Capital L.P.</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21,671</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Beijing CHJ Information Technology Co., Ltd.</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3,624</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Bin Li</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1,680</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1,627</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Hubei Changjiang Nextev New Energy Investment Management</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Co., Ltd.</w:t>
            </w:r>
          </w:p>
        </w:tc>
        <w:tc>
          <w:tcPr>
            <w:tcW w:w="360" w:type="dxa"/>
            <w:vAlign w:val="bottom"/>
            <w:gridSpan w:val="2"/>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954</w:t>
            </w:r>
          </w:p>
        </w:tc>
        <w:tc>
          <w:tcPr>
            <w:tcW w:w="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79,556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(ii) Amounts due to related parties</w:t>
            </w: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Suzhou Zenlead XPT New Energy Technologies Co., Ltd.</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Beijing Xinyi Hudong Guanggao Co., Ltd.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Bin Li</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Lihong Qin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5,338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Beijing Chehui Hudong Guanggao Co., Ltd.</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gridSpan w:val="2"/>
          </w:tcPr>
          <w:p>
            <w:pPr>
              <w:ind w:left="9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40,069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276"/>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expenditures contracted for at the balance sheet dates but not recognized in the Group’s consolidated financial statements are as follows:</w:t>
      </w:r>
    </w:p>
    <w:p>
      <w:pPr>
        <w:spacing w:after="0" w:line="267"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1,250,612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470,600</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1,721,212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2,918,143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Operating 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Group leases certain office premises and buildings under non-cancelable leases. Operating lease expenses recorded in the accompanying consolidated statements of comprehensive loss amounted to RMB70,447</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040"/>
          </w:cols>
          <w:pgMar w:left="240" w:top="459" w:right="61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and RMB190,856 for the six months ended June 30, 2017 and 2018, respectively. As of December 31, 2017 and June 30, 2018, the Group had remaining outstanding commitments non-cancelable agreements in respect to its operating leases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58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233,486</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1 to 2 years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261,846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348,740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278,278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More than 3 years</w:t>
            </w:r>
          </w:p>
        </w:tc>
        <w:tc>
          <w:tcPr>
            <w:tcW w:w="2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912,356</w:t>
            </w:r>
          </w:p>
        </w:tc>
        <w:tc>
          <w:tcPr>
            <w:tcW w:w="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1,920,754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28. Unaudited Pro-forma Balance Sheet and Net Loss per Share for Conversion of the Preferred Shares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Immediately prior to the completion of a planned IPO of the Company, the holders of the Preferred Shares of the Company intends to convert the Preferred Shares into ordinary shares on a one-for-one basis. Each fully paid Preferred Shares held by Tencent will be converted into the same number of fully paid Ordinary Shares to be re-designated as Class B Ordinary Shares, each fully paid Preferred Shares held by the Originalwish Limited and mobike Global Ltd. will be converted into the same number of fully paid Ordinary Shares to be re-designated as Class C Ordinary Shares, while each of the other fully paid Preferred Shares will be converted into the same number of fully paid Ordinary Shares to be re-designated as Class A Ordinary Shares, based on the applicable Preferred Share Conversion Price then in effect respectively. Holders of Class A Ordinary Shares, Class B Ordinary Shares and Class C Ordinary Shares have the same rights, except for voting rights. Holders of Class A Ordinary Shares are entitled to one vote per share, holders of Class B Ordinary Shares are entitled to four votes per share while holders of Class C ordinary shares are entitled to eight votes per share.</w:t>
      </w:r>
    </w:p>
    <w:p>
      <w:pPr>
        <w:spacing w:after="0" w:line="166"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unaudited pro-forma balance sheet as of June 30, 2018 presents an adjusted financial position as if the Series A-1 and A-2, A3, B, C and D convertible redeemable preferred shares had been converted into ordinary shares as of December 31, 2017 at the conversion ratio of one for one.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unaudited pro-forma net loss per share for the six months ended June 30, 2017 and 2018 after giving effect to the conversion of the Preferred Shares into ordinary shares as of the inception of the year at the conversion ratio of one-for-one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loss attributable to the Company’s ordinary shareholders</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(10,054,534)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A-1 and A-2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A-3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308,341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B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C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D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Pro-forma net loss attributable to the Company’s ordinary shareholders—Basic and diluted</w:t>
            </w:r>
          </w:p>
        </w:tc>
        <w:tc>
          <w:tcPr>
            <w:tcW w:w="5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6"/>
              </w:rPr>
              <w:t>Weighted-average ordinary shares outstanding for calculation of pro-forma basic and diluted net loss per ordinary share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28,661,459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A-1 and A-2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A-3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24,210,431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B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114,867,321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C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166,205,830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D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213,585,003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exercised portion of non-recourse loan</w:t>
            </w:r>
          </w:p>
        </w:tc>
        <w:tc>
          <w:tcPr>
            <w:tcW w:w="5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pro-forma basic and diluted net loss per ordinary share calculation</w:t>
            </w:r>
          </w:p>
        </w:tc>
        <w:tc>
          <w:tcPr>
            <w:tcW w:w="5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848,162,494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Pro-forma basic and diluted net loss per ordinary share attributable to the Company’s Ordinary shareholders</w:t>
            </w:r>
          </w:p>
        </w:tc>
        <w:tc>
          <w:tcPr>
            <w:tcW w:w="1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The effects of all outstanding share options with a performance condition of an IPO and the related share based compensation expenses were excluded from the computation of diluted pro-forma net loss per share for the six months ended June 30, 2018 because they are contingent upon the completion of an initial public offering by the Company and that contingency have not been resolved.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29. Subsequent Events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Subsequent to June 30, 2018, RMB140,000 out of RMB145,000 was further paid by one of the third party strategic investors into XPT Auto with the same terms as described in Note 21 above.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59" w:right="419" w:bottom="1440" w:gutter="0" w:footer="0" w:header="0"/>
        </w:sectPr>
      </w:pPr>
    </w:p>
    <w:bookmarkStart w:id="326" w:name="page327"/>
    <w:bookmarkEnd w:id="3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7" w:name="page328"/>
    <w:bookmarkEnd w:id="3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7919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200" w:right="640" w:firstLine="441"/>
        <w:spacing w:after="0" w:line="264"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post-offering amended and restated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Pursuant to the indemnification agreements the form of which is filed as Exhibit 10.4 to this registration statement, we agree to indemnify our directors and executive officers against certain liabilities and expenses incurred by such persons in connection with claims made by reason of their being such a director or officer.</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pursuant to Section 4(2)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06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Hubs Limited</w:t>
            </w:r>
          </w:p>
        </w:tc>
        <w:tc>
          <w:tcPr>
            <w:tcW w:w="3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January 6, 2015</w:t>
            </w: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26,900,001 ordinary shares</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US$6,725.0</w:t>
            </w:r>
          </w:p>
        </w:tc>
        <w:tc>
          <w:tcPr>
            <w:tcW w:w="0" w:type="dxa"/>
            <w:vAlign w:val="bottom"/>
          </w:tcPr>
          <w:p>
            <w:pPr>
              <w:spacing w:after="0"/>
              <w:rPr>
                <w:sz w:val="1"/>
                <w:szCs w:val="1"/>
                <w:color w:val="auto"/>
              </w:rPr>
            </w:pPr>
          </w:p>
        </w:tc>
      </w:tr>
      <w:tr>
        <w:trPr>
          <w:trHeight w:val="269"/>
        </w:trPr>
        <w:tc>
          <w:tcPr>
            <w:tcW w:w="3480" w:type="dxa"/>
            <w:vAlign w:val="bottom"/>
            <w:gridSpan w:val="3"/>
          </w:tcPr>
          <w:p>
            <w:pPr>
              <w:spacing w:after="0"/>
              <w:rPr>
                <w:sz w:val="20"/>
                <w:szCs w:val="20"/>
                <w:color w:val="auto"/>
              </w:rPr>
            </w:pPr>
            <w:r>
              <w:rPr>
                <w:rFonts w:ascii="Arial" w:cs="Arial" w:eastAsia="Arial" w:hAnsi="Arial"/>
                <w:sz w:val="18"/>
                <w:szCs w:val="18"/>
                <w:color w:val="auto"/>
              </w:rPr>
              <w:t>Originalwish Limited</w:t>
            </w:r>
          </w:p>
        </w:tc>
        <w:tc>
          <w:tcPr>
            <w:tcW w:w="3140" w:type="dxa"/>
            <w:vAlign w:val="bottom"/>
            <w:gridSpan w:val="2"/>
          </w:tcPr>
          <w:p>
            <w:pPr>
              <w:ind w:left="10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122,045,675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US$122,045,675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Hillhouse NEV Holdings Limited</w:t>
            </w:r>
          </w:p>
        </w:tc>
        <w:tc>
          <w:tcPr>
            <w:tcW w:w="3140" w:type="dxa"/>
            <w:vAlign w:val="bottom"/>
            <w:gridSpan w:val="2"/>
            <w:shd w:val="clear" w:color="auto" w:fill="CCEEFF"/>
          </w:tcPr>
          <w:p>
            <w:pPr>
              <w:ind w:left="10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50,000,000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480" w:type="dxa"/>
            <w:vAlign w:val="bottom"/>
            <w:gridSpan w:val="3"/>
          </w:tcPr>
          <w:p>
            <w:pPr>
              <w:spacing w:after="0"/>
              <w:rPr>
                <w:sz w:val="20"/>
                <w:szCs w:val="20"/>
                <w:color w:val="auto"/>
              </w:rPr>
            </w:pPr>
            <w:r>
              <w:rPr>
                <w:rFonts w:ascii="Arial" w:cs="Arial" w:eastAsia="Arial" w:hAnsi="Arial"/>
                <w:sz w:val="18"/>
                <w:szCs w:val="18"/>
                <w:color w:val="auto"/>
              </w:rPr>
              <w:t>Shunwei TMT II Limited</w:t>
            </w:r>
          </w:p>
        </w:tc>
        <w:tc>
          <w:tcPr>
            <w:tcW w:w="3140" w:type="dxa"/>
            <w:vAlign w:val="bottom"/>
            <w:gridSpan w:val="2"/>
          </w:tcPr>
          <w:p>
            <w:pPr>
              <w:ind w:left="10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10,000,000 series A-2</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46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mobike Global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26,454,325 series A-1</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US$26,454,325.0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HCM VI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1,500,000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Shunwei Growth II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Energy Lee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May 6,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15,000,000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Mount Putuo Investment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May 6, 0215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Smart Group Global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June 23,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20,000,000 series A-2</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Sequoia Capital China GF HoldcoIII-A,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September 12,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18,157,895 series A-3</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Joy Capital I,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September 12,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6,052,536 series A-3</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Padmasree Warrior</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10,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7,509,933 series A-3</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US$12,407,911.3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Anderson Investments Pte. Ltd.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21,810,251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Hillhouse NEV Holdings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Shunwei TMT II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Shunwei Growth II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7,270,083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Mount Putuo Investment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10,905,125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SCC Growth IV Holdco A,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Joy Capital I,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Bluestone Company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10,905,125 series B</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Magic Stone Alternative Private Equity Fund,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10,905,125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TPG Growth III SF Pte.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Ultimate Lenovo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59" w:right="4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24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Renaissance Era International Private Equity Fund I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Palace Investments Pte. Ltd.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Grandfield Investment Ltd.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5,816,067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IDG China Venture Capital Fund IV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August 19,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1,611,232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US$4,432,500.0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IDG China IV Investors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August 19,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206,289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US$567,500.0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Bright Sky II,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September 30,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ORIENT HONTAI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February 8,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2,908,033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US$8,000,000.0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LONG WINNER INVESTMENT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February 9,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HH RSV-X Holdings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February 9,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7,997,092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Baidu Capital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25,740,026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West City Asia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Haitong International Investment Holdings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Haixia NEV International Limited Partnership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5,148,005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New Margin Capital Hong Kong Co.,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Palace Investments Pte. Ltd.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1,287,001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25,740,026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Prestige Investment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1,750,322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Zhide EV Investment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Bright Sky II,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8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TPG Growth III SF Pte. Ltd.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1,673,102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Bluestone Company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7,722,008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CEG Smart Travel Co.,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2,923,844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US$11,359,369.2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IDG China Venture Capital Fund IV L.P.</w:t>
            </w:r>
          </w:p>
        </w:tc>
        <w:tc>
          <w:tcPr>
            <w:tcW w:w="21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228,185 series C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US$886,500.0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IDG China IV Investors L.P.</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29,215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US$113,500.0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CYBER TYCOON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4,385,929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US$17,039,333.0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Honor Best International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8,771,858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US$34,078,667.0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Tanzanite Gem Holdings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15,444,016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Anderson Investments Pte. Ltd.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10,296,010 series C</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US$40,000,000.0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Ultimate Lenovo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7,722,007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CYBER TYCOON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676,276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US$2,627,333.0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Honor Best International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1,352,553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US$5,254,667.0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CHAMPION ELITE GLOBAL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257,400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w w:val="99"/>
              </w:rPr>
              <w:t>CHINA INDUSTRIAL INTERNATIONAL TRUST ASSET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3,861,004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MANAGEMENT COMPANY LIMITED</w:t>
            </w: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HF Holdings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Tea Leaf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7,979,408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US$31,000,000.0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BLISSFUL DAYS HOLDINGS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1,029,601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US$4,000,000.0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Guangfa Xinde Capital Management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1,300,000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US$5,050,500.0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59" w:right="4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Bluefuture Fund L.P.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3,861,004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UBS AG, London Branch</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5,148,005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KEEN EAGLE CAPITAL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3"/>
              </w:rPr>
              <w:t>China Oceanwide International Asset Management Limited</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CMFHK Fortune 100 SPC</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20,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1,287,001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61,648,781 series 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TPP Follow-on I Holding D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LEAP PROSPECT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29,890,318 series 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Serenity WL Holdings Ltd.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SCOTTISH MORTGAGE INVESTMENT TRUST PLC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4,670,361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PACIFIC HORIZON INVESTMENT TRUST PLC</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467,037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Myriad Opportunities Master Fund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LONE SPRUCE, L.P.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134,506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US$720,000.0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Lone Cypress, LTD.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3,601,784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US$19,280,000.0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ULTRA RESULT HOLDINGS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2,802,217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AL NAHDHA INVESTMENT LLC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2,120,345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US$11,350,000.0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 Beed Group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467,036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Oldbridge Invest L.L.C.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28,022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1,868,145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28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BEST CASTLE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HUBEI SCIENCE &amp; TECHNOLOGY INVESTMENT</w:t>
            </w:r>
          </w:p>
        </w:tc>
        <w:tc>
          <w:tcPr>
            <w:tcW w:w="23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GROUP (HONG KONG) COMPANY LIMITED</w:t>
            </w: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WP NIO Investment Partnership, LP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Lezmenia Assets Limited</w:t>
            </w:r>
          </w:p>
        </w:tc>
        <w:tc>
          <w:tcPr>
            <w:tcW w:w="23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1,401,109 series D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US$7,500,000.0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LAPATHIA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1,401,108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US$7,500,000.0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PV Vision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6,538,507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Silver Ridge Fund I Limited Partnership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The Mabel Chan 2012 Family Trust</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373,629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Magic Stone Special Opportunity Fund IV L.P.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597,806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US$3,200,000.0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Mega Treasure Investment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1,120,887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Tanzanite Gem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12,329,756 series 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SCC Growth IV Holdco A,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Joy Next Investment Management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2,241,774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US$12,000,000.0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Anderson Investments Pte.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9,340,724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HH DYU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TPG Growth III SF Pte.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1,214,294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Bluestone Company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Bright Sky II, L.P.</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Diamond Division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523,081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WEST CITY ASIA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653,851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240" w:top="459" w:right="41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tcPr>
          <w:p>
            <w:pPr>
              <w:spacing w:after="0"/>
              <w:rPr>
                <w:sz w:val="14"/>
                <w:szCs w:val="14"/>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4"/>
                <w:szCs w:val="14"/>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Haixia NEV International Limited Partnership</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November 10, 2017</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5,604,435 series D preferred</w:t>
            </w:r>
          </w:p>
        </w:tc>
        <w:tc>
          <w:tcPr>
            <w:tcW w:w="1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Palace Investments Pte. Ltd.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896,710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US$4,800,000.0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KEEN EAGLE CAPITAL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373,629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Caitong Funds SPC – New Technology Fund Segregated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Portfolio</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CICC Ehealthcare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2,802,217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CapThrone Investment Limited Partnership</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1,868,145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HCM VI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2,428,588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US$13,000,000.0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STAR AZURE INTERNATIONAL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1,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Oceanwide Sigma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December 15,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w w:val="91"/>
              </w:rPr>
              <w:t>Directors, executive officers and employees and consultants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August 1, 2018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3"/>
              </w:rPr>
              <w:t>29,692,274 ordinary Shares</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Services to our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of our company</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issued by exercising the</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vested options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Directors, executive officers and employees and consultants</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Various dates</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Options to purchase</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Services to our company</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our company</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88,939,542 ordinary 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See Exhibit Index beginning on page II-10 of this registration statement.</w:t>
      </w:r>
    </w:p>
    <w:p>
      <w:pPr>
        <w:spacing w:after="0" w:line="225"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6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200" w:right="300" w:firstLine="444"/>
        <w:spacing w:after="0" w:line="286" w:lineRule="auto"/>
        <w:tabs>
          <w:tab w:leader="none" w:pos="89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0" w:right="100" w:firstLine="444"/>
        <w:spacing w:after="0" w:line="264" w:lineRule="auto"/>
        <w:tabs>
          <w:tab w:leader="none" w:pos="8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200" w:firstLine="444"/>
        <w:spacing w:after="0" w:line="272" w:lineRule="auto"/>
        <w:tabs>
          <w:tab w:leader="none" w:pos="89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200" w:right="240" w:firstLine="444"/>
        <w:spacing w:after="0" w:line="257" w:lineRule="auto"/>
        <w:tabs>
          <w:tab w:leader="none" w:pos="8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24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080"/>
          </w:cols>
          <w:pgMar w:left="240" w:top="459" w:right="5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6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w w:val="99"/>
              </w:rPr>
              <w:t>NIO Inc.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gridSpan w:val="12"/>
          </w:tcPr>
          <w:p>
            <w:pPr>
              <w:jc w:val="center"/>
              <w:ind w:right="3300"/>
              <w:spacing w:after="0"/>
              <w:rPr>
                <w:sz w:val="20"/>
                <w:szCs w:val="20"/>
                <w:color w:val="auto"/>
              </w:rPr>
            </w:pPr>
            <w:r>
              <w:rPr>
                <w:rFonts w:ascii="Arial" w:cs="Arial" w:eastAsia="Arial" w:hAnsi="Arial"/>
                <w:sz w:val="18"/>
                <w:szCs w:val="18"/>
                <w:b w:val="1"/>
                <w:bCs w:val="1"/>
                <w:color w:val="auto"/>
                <w:w w:val="94"/>
              </w:rPr>
              <w:t>Exhibit Index</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4"/>
                <w:szCs w:val="24"/>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auto"/>
              </w:rPr>
              <w:t>Form of Underwriting Agreement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55">
              <w:r>
                <w:rPr>
                  <w:rFonts w:ascii="Arial" w:cs="Arial" w:eastAsia="Arial" w:hAnsi="Arial"/>
                  <w:sz w:val="18"/>
                  <w:szCs w:val="18"/>
                  <w:color w:val="0000EE"/>
                </w:rPr>
                <w:t>Tenth Amended and Restated Memorandum and Articles of Association of the Registrant, as currently in effect</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3"/>
              </w:rPr>
            </w:pPr>
            <w:hyperlink r:id="rId456">
              <w:r>
                <w:rPr>
                  <w:rFonts w:ascii="Arial" w:cs="Arial" w:eastAsia="Arial" w:hAnsi="Arial"/>
                  <w:sz w:val="18"/>
                  <w:szCs w:val="18"/>
                  <w:color w:val="0000EE"/>
                  <w:w w:val="93"/>
                </w:rPr>
                <w:t>Form of Eleventh Amended and Restated Memorandum and Articles of Association of the Registrant (effective immediately prior 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56">
              <w:r>
                <w:rPr>
                  <w:rFonts w:ascii="Arial" w:cs="Arial" w:eastAsia="Arial" w:hAnsi="Arial"/>
                  <w:sz w:val="18"/>
                  <w:szCs w:val="18"/>
                  <w:color w:val="0000EE"/>
                  <w:w w:val="92"/>
                </w:rPr>
                <w:t>the closing of this offering)</w:t>
              </w:r>
            </w:hyperlink>
          </w:p>
        </w:tc>
        <w:tc>
          <w:tcPr>
            <w:tcW w:w="7360" w:type="dxa"/>
            <w:vAlign w:val="bottom"/>
            <w:tcBorders>
              <w:top w:val="single" w:sz="8" w:color="0000EE"/>
            </w:tcBorders>
            <w:gridSpan w:val="14"/>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57">
              <w:r>
                <w:rPr>
                  <w:rFonts w:ascii="Arial" w:cs="Arial" w:eastAsia="Arial" w:hAnsi="Arial"/>
                  <w:sz w:val="18"/>
                  <w:szCs w:val="18"/>
                  <w:color w:val="0000EE"/>
                </w:rPr>
                <w:t>Registrant’s Specimen American Depositary Receipt (included in Exhibit 4.3)</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5620" w:type="dxa"/>
            <w:vAlign w:val="bottom"/>
            <w:tcBorders>
              <w:top w:val="single" w:sz="8" w:color="0000EE"/>
            </w:tcBorders>
            <w:gridSpan w:val="12"/>
          </w:tcPr>
          <w:p>
            <w:pPr>
              <w:spacing w:after="0"/>
              <w:rPr>
                <w:rFonts w:ascii="Arial" w:cs="Arial" w:eastAsia="Arial" w:hAnsi="Arial"/>
                <w:sz w:val="18"/>
                <w:szCs w:val="18"/>
                <w:color w:val="0000EE"/>
              </w:rPr>
            </w:pPr>
            <w:hyperlink r:id="rId458">
              <w:r>
                <w:rPr>
                  <w:rFonts w:ascii="Arial" w:cs="Arial" w:eastAsia="Arial" w:hAnsi="Arial"/>
                  <w:sz w:val="18"/>
                  <w:szCs w:val="18"/>
                  <w:color w:val="0000EE"/>
                </w:rPr>
                <w:t>Registrant’s Specimen Certificate for Ordinary Shares</w:t>
              </w:r>
            </w:hyperlink>
          </w:p>
        </w:tc>
        <w:tc>
          <w:tcPr>
            <w:tcW w:w="37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Arial" w:cs="Arial" w:eastAsia="Arial" w:hAnsi="Arial"/>
                <w:sz w:val="18"/>
                <w:szCs w:val="18"/>
                <w:color w:val="0000EE"/>
                <w:w w:val="90"/>
              </w:rPr>
            </w:pPr>
            <w:hyperlink r:id="rId457">
              <w:r>
                <w:rPr>
                  <w:rFonts w:ascii="Arial" w:cs="Arial" w:eastAsia="Arial" w:hAnsi="Arial"/>
                  <w:sz w:val="18"/>
                  <w:szCs w:val="18"/>
                  <w:color w:val="0000EE"/>
                  <w:w w:val="90"/>
                </w:rPr>
                <w:t>Form of Deposit Agreement, among the Registrant, the depositary and the holders and beneficial owners of American Depositary</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21"/>
          </w:tcPr>
          <w:p>
            <w:pPr>
              <w:spacing w:after="0" w:line="196" w:lineRule="exact"/>
              <w:rPr>
                <w:rFonts w:ascii="Arial" w:cs="Arial" w:eastAsia="Arial" w:hAnsi="Arial"/>
                <w:sz w:val="18"/>
                <w:szCs w:val="18"/>
                <w:color w:val="0000EE"/>
              </w:rPr>
            </w:pPr>
            <w:hyperlink r:id="rId457">
              <w:r>
                <w:rPr>
                  <w:rFonts w:ascii="Arial" w:cs="Arial" w:eastAsia="Arial" w:hAnsi="Arial"/>
                  <w:sz w:val="18"/>
                  <w:szCs w:val="18"/>
                  <w:color w:val="0000EE"/>
                </w:rPr>
                <w:t>Shares issued thereunder</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rFonts w:ascii="Arial" w:cs="Arial" w:eastAsia="Arial" w:hAnsi="Arial"/>
                <w:sz w:val="18"/>
                <w:szCs w:val="18"/>
                <w:color w:val="0000EE"/>
                <w:w w:val="89"/>
              </w:rPr>
            </w:pPr>
            <w:hyperlink r:id="rId459">
              <w:r>
                <w:rPr>
                  <w:rFonts w:ascii="Arial" w:cs="Arial" w:eastAsia="Arial" w:hAnsi="Arial"/>
                  <w:sz w:val="18"/>
                  <w:szCs w:val="18"/>
                  <w:color w:val="0000EE"/>
                  <w:w w:val="89"/>
                </w:rPr>
                <w:t>Shareholders Agreement between the Registrant and other parties thereto dated November 10, 2017</w:t>
              </w:r>
            </w:hyperlink>
          </w:p>
        </w:tc>
        <w:tc>
          <w:tcPr>
            <w:tcW w:w="2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3"/>
              </w:rPr>
            </w:pPr>
            <w:hyperlink r:id="rId460">
              <w:r>
                <w:rPr>
                  <w:rFonts w:ascii="Arial" w:cs="Arial" w:eastAsia="Arial" w:hAnsi="Arial"/>
                  <w:sz w:val="18"/>
                  <w:szCs w:val="18"/>
                  <w:color w:val="0000EE"/>
                  <w:w w:val="93"/>
                </w:rPr>
                <w:t>Opinion of Maples and Calder (Hong Kong) LLP regarding the validity of the ordinary shares being registered and certain Cayman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60">
              <w:r>
                <w:rPr>
                  <w:rFonts w:ascii="Arial" w:cs="Arial" w:eastAsia="Arial" w:hAnsi="Arial"/>
                  <w:sz w:val="18"/>
                  <w:szCs w:val="18"/>
                  <w:color w:val="0000EE"/>
                </w:rPr>
                <w:t>Islands tax matters</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8.1**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w w:val="98"/>
              </w:rPr>
            </w:pPr>
            <w:hyperlink r:id="rId460">
              <w:r>
                <w:rPr>
                  <w:rFonts w:ascii="Arial" w:cs="Arial" w:eastAsia="Arial" w:hAnsi="Arial"/>
                  <w:sz w:val="18"/>
                  <w:szCs w:val="18"/>
                  <w:color w:val="0000EE"/>
                  <w:w w:val="98"/>
                </w:rPr>
                <w:t>Opinion of Maples and Calder (Hong Kong) LLP regarding certain Cayman Islands tax matters (included in Exhibit 5.1)</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24"/>
                <w:szCs w:val="24"/>
                <w:color w:val="auto"/>
              </w:rPr>
            </w:pPr>
          </w:p>
        </w:tc>
        <w:tc>
          <w:tcPr>
            <w:tcW w:w="68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r:id="rId461">
              <w:r>
                <w:rPr>
                  <w:rFonts w:ascii="Arial" w:cs="Arial" w:eastAsia="Arial" w:hAnsi="Arial"/>
                  <w:sz w:val="18"/>
                  <w:szCs w:val="18"/>
                  <w:color w:val="0000EE"/>
                  <w:w w:val="92"/>
                </w:rPr>
                <w:t>Opinion of Han Kun Law Offices regarding certain PRC tax matters (included in Exhibit 99.2)</w:t>
              </w:r>
            </w:hyperlink>
          </w:p>
        </w:tc>
        <w:tc>
          <w:tcPr>
            <w:tcW w:w="1860" w:type="dxa"/>
            <w:vAlign w:val="bottom"/>
            <w:tcBorders>
              <w:top w:val="single" w:sz="8" w:color="0000EE"/>
            </w:tcBorders>
            <w:gridSpan w:val="6"/>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2">
              <w:r>
                <w:rPr>
                  <w:rFonts w:ascii="Arial" w:cs="Arial" w:eastAsia="Arial" w:hAnsi="Arial"/>
                  <w:sz w:val="18"/>
                  <w:szCs w:val="18"/>
                  <w:color w:val="0000EE"/>
                </w:rPr>
                <w:t>2015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10.2**</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3">
              <w:r>
                <w:rPr>
                  <w:rFonts w:ascii="Arial" w:cs="Arial" w:eastAsia="Arial" w:hAnsi="Arial"/>
                  <w:sz w:val="18"/>
                  <w:szCs w:val="18"/>
                  <w:color w:val="0000EE"/>
                </w:rPr>
                <w:t>2016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10.3**</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4">
              <w:r>
                <w:rPr>
                  <w:rFonts w:ascii="Arial" w:cs="Arial" w:eastAsia="Arial" w:hAnsi="Arial"/>
                  <w:sz w:val="18"/>
                  <w:szCs w:val="18"/>
                  <w:color w:val="0000EE"/>
                </w:rPr>
                <w:t>2017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10.4**</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5">
              <w:r>
                <w:rPr>
                  <w:rFonts w:ascii="Arial" w:cs="Arial" w:eastAsia="Arial" w:hAnsi="Arial"/>
                  <w:sz w:val="18"/>
                  <w:szCs w:val="18"/>
                  <w:color w:val="0000EE"/>
                </w:rPr>
                <w:t>2018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10.5**</w:t>
            </w:r>
          </w:p>
        </w:tc>
        <w:tc>
          <w:tcPr>
            <w:tcW w:w="720" w:type="dxa"/>
            <w:vAlign w:val="bottom"/>
          </w:tcPr>
          <w:p>
            <w:pPr>
              <w:spacing w:after="0"/>
              <w:rPr>
                <w:sz w:val="24"/>
                <w:szCs w:val="24"/>
                <w:color w:val="auto"/>
              </w:rPr>
            </w:pPr>
          </w:p>
        </w:tc>
        <w:tc>
          <w:tcPr>
            <w:tcW w:w="7140" w:type="dxa"/>
            <w:vAlign w:val="bottom"/>
            <w:tcBorders>
              <w:bottom w:val="single" w:sz="8" w:color="0000EE"/>
            </w:tcBorders>
            <w:gridSpan w:val="16"/>
          </w:tcPr>
          <w:p>
            <w:pPr>
              <w:spacing w:after="0"/>
              <w:rPr>
                <w:rFonts w:ascii="Arial" w:cs="Arial" w:eastAsia="Arial" w:hAnsi="Arial"/>
                <w:sz w:val="18"/>
                <w:szCs w:val="18"/>
                <w:color w:val="0000EE"/>
                <w:w w:val="91"/>
              </w:rPr>
            </w:pPr>
            <w:hyperlink r:id="rId466">
              <w:r>
                <w:rPr>
                  <w:rFonts w:ascii="Arial" w:cs="Arial" w:eastAsia="Arial" w:hAnsi="Arial"/>
                  <w:sz w:val="18"/>
                  <w:szCs w:val="18"/>
                  <w:color w:val="0000EE"/>
                  <w:w w:val="91"/>
                </w:rPr>
                <w:t>Form of Indemnification Agreement between the Registrant and its directors and executive officers</w:t>
              </w:r>
            </w:hyperlink>
          </w:p>
        </w:tc>
        <w:tc>
          <w:tcPr>
            <w:tcW w:w="2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8"/>
                <w:szCs w:val="18"/>
                <w:color w:val="auto"/>
              </w:rPr>
              <w:t>10.6††**</w:t>
            </w:r>
          </w:p>
        </w:tc>
        <w:tc>
          <w:tcPr>
            <w:tcW w:w="9700" w:type="dxa"/>
            <w:vAlign w:val="bottom"/>
            <w:gridSpan w:val="28"/>
          </w:tcPr>
          <w:p>
            <w:pPr>
              <w:spacing w:after="0"/>
              <w:rPr>
                <w:rFonts w:ascii="Arial" w:cs="Arial" w:eastAsia="Arial" w:hAnsi="Arial"/>
                <w:sz w:val="18"/>
                <w:szCs w:val="18"/>
                <w:color w:val="0000EE"/>
                <w:w w:val="93"/>
              </w:rPr>
            </w:pPr>
            <w:hyperlink r:id="rId467">
              <w:r>
                <w:rPr>
                  <w:rFonts w:ascii="Arial" w:cs="Arial" w:eastAsia="Arial" w:hAnsi="Arial"/>
                  <w:sz w:val="18"/>
                  <w:szCs w:val="18"/>
                  <w:color w:val="0000EE"/>
                  <w:w w:val="93"/>
                </w:rPr>
                <w:t>English translation of Manufacture Cooperation Agreement between the registrant and Anhui Jianghuai Automobile Co., Ltd. dated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67">
              <w:r>
                <w:rPr>
                  <w:rFonts w:ascii="Arial" w:cs="Arial" w:eastAsia="Arial" w:hAnsi="Arial"/>
                  <w:sz w:val="18"/>
                  <w:szCs w:val="18"/>
                  <w:color w:val="0000EE"/>
                </w:rPr>
                <w:t>May 23, 2016</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10.7**</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rPr>
            </w:pPr>
            <w:hyperlink r:id="rId468">
              <w:r>
                <w:rPr>
                  <w:rFonts w:ascii="Arial" w:cs="Arial" w:eastAsia="Arial" w:hAnsi="Arial"/>
                  <w:sz w:val="18"/>
                  <w:szCs w:val="18"/>
                  <w:color w:val="0000EE"/>
                </w:rPr>
                <w:t>Form of Employment Agreement between the Registrant and its executive officers (Non-PRC citizens)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10.8**</w:t>
            </w:r>
          </w:p>
        </w:tc>
        <w:tc>
          <w:tcPr>
            <w:tcW w:w="720" w:type="dxa"/>
            <w:vAlign w:val="bottom"/>
          </w:tcPr>
          <w:p>
            <w:pPr>
              <w:spacing w:after="0"/>
              <w:rPr>
                <w:sz w:val="24"/>
                <w:szCs w:val="24"/>
                <w:color w:val="auto"/>
              </w:rPr>
            </w:pPr>
          </w:p>
        </w:tc>
        <w:tc>
          <w:tcPr>
            <w:tcW w:w="70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469">
              <w:r>
                <w:rPr>
                  <w:rFonts w:ascii="Arial" w:cs="Arial" w:eastAsia="Arial" w:hAnsi="Arial"/>
                  <w:sz w:val="18"/>
                  <w:szCs w:val="18"/>
                  <w:color w:val="0000EE"/>
                  <w:w w:val="90"/>
                </w:rPr>
                <w:t>Form of Employment Agreement between the Registrant and its executive officers (PRC citizens)</w:t>
              </w:r>
            </w:hyperlink>
          </w:p>
        </w:tc>
        <w:tc>
          <w:tcPr>
            <w:tcW w:w="360" w:type="dxa"/>
            <w:vAlign w:val="bottom"/>
            <w:tcBorders>
              <w:top w:val="single" w:sz="8" w:color="0000EE"/>
            </w:tcBorders>
            <w:gridSpan w:val="3"/>
          </w:tcPr>
          <w:p>
            <w:pPr>
              <w:spacing w:after="0"/>
              <w:rPr>
                <w:sz w:val="24"/>
                <w:szCs w:val="24"/>
                <w:color w:val="auto"/>
              </w:rPr>
            </w:pPr>
          </w:p>
        </w:tc>
        <w:tc>
          <w:tcPr>
            <w:tcW w:w="19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10.9**</w:t>
            </w:r>
          </w:p>
        </w:tc>
        <w:tc>
          <w:tcPr>
            <w:tcW w:w="720" w:type="dxa"/>
            <w:vAlign w:val="bottom"/>
          </w:tcPr>
          <w:p>
            <w:pPr>
              <w:spacing w:after="0"/>
              <w:rPr>
                <w:sz w:val="24"/>
                <w:szCs w:val="24"/>
                <w:color w:val="auto"/>
              </w:rPr>
            </w:pPr>
          </w:p>
        </w:tc>
        <w:tc>
          <w:tcPr>
            <w:tcW w:w="6800" w:type="dxa"/>
            <w:vAlign w:val="bottom"/>
            <w:tcBorders>
              <w:bottom w:val="single" w:sz="8" w:color="0000EE"/>
            </w:tcBorders>
            <w:gridSpan w:val="13"/>
          </w:tcPr>
          <w:p>
            <w:pPr>
              <w:spacing w:after="0"/>
              <w:rPr>
                <w:rFonts w:ascii="Arial" w:cs="Arial" w:eastAsia="Arial" w:hAnsi="Arial"/>
                <w:sz w:val="18"/>
                <w:szCs w:val="18"/>
                <w:color w:val="0000EE"/>
                <w:w w:val="89"/>
              </w:rPr>
            </w:pPr>
            <w:hyperlink r:id="rId470">
              <w:r>
                <w:rPr>
                  <w:rFonts w:ascii="Arial" w:cs="Arial" w:eastAsia="Arial" w:hAnsi="Arial"/>
                  <w:sz w:val="18"/>
                  <w:szCs w:val="18"/>
                  <w:color w:val="0000EE"/>
                  <w:w w:val="89"/>
                </w:rPr>
                <w:t>Employment Agreement between the Registrant and Louis T. Hsieh dated September 25, 2017</w:t>
              </w:r>
            </w:hyperlink>
          </w:p>
        </w:tc>
        <w:tc>
          <w:tcPr>
            <w:tcW w:w="25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10.10**</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2"/>
              </w:rPr>
            </w:pPr>
            <w:hyperlink r:id="rId471">
              <w:r>
                <w:rPr>
                  <w:rFonts w:ascii="Arial" w:cs="Arial" w:eastAsia="Arial" w:hAnsi="Arial"/>
                  <w:sz w:val="18"/>
                  <w:szCs w:val="18"/>
                  <w:color w:val="0000EE"/>
                  <w:w w:val="92"/>
                </w:rPr>
                <w:t>Employment Agreement and Severance Agreement between the Registrant and Padmasree Warrior dated November 23, 2015 and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1">
              <w:r>
                <w:rPr>
                  <w:rFonts w:ascii="Arial" w:cs="Arial" w:eastAsia="Arial" w:hAnsi="Arial"/>
                  <w:sz w:val="18"/>
                  <w:szCs w:val="18"/>
                  <w:color w:val="0000EE"/>
                </w:rPr>
                <w:t>December 16, 2015, respectively</w:t>
              </w:r>
            </w:hyperlink>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1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10.11**</w:t>
            </w:r>
          </w:p>
        </w:tc>
        <w:tc>
          <w:tcPr>
            <w:tcW w:w="720" w:type="dxa"/>
            <w:vAlign w:val="bottom"/>
          </w:tcPr>
          <w:p>
            <w:pPr>
              <w:spacing w:after="0"/>
              <w:rPr>
                <w:sz w:val="24"/>
                <w:szCs w:val="24"/>
                <w:color w:val="auto"/>
              </w:rPr>
            </w:pPr>
          </w:p>
        </w:tc>
        <w:tc>
          <w:tcPr>
            <w:tcW w:w="9320" w:type="dxa"/>
            <w:vAlign w:val="bottom"/>
            <w:gridSpan w:val="21"/>
          </w:tcPr>
          <w:p>
            <w:pPr>
              <w:spacing w:after="0"/>
              <w:rPr>
                <w:rFonts w:ascii="Arial" w:cs="Arial" w:eastAsia="Arial" w:hAnsi="Arial"/>
                <w:sz w:val="18"/>
                <w:szCs w:val="18"/>
                <w:color w:val="0000EE"/>
                <w:w w:val="92"/>
              </w:rPr>
            </w:pPr>
            <w:hyperlink r:id="rId472">
              <w:r>
                <w:rPr>
                  <w:rFonts w:ascii="Arial" w:cs="Arial" w:eastAsia="Arial" w:hAnsi="Arial"/>
                  <w:sz w:val="18"/>
                  <w:szCs w:val="18"/>
                  <w:color w:val="0000EE"/>
                  <w:w w:val="92"/>
                </w:rPr>
                <w:t>English translation of Power of Attorney among shareholders of Shanghai Anbin, Shanghai Anbin and NIO Co., Ltd. dated April</w:t>
              </w:r>
            </w:hyperlink>
          </w:p>
        </w:tc>
        <w:tc>
          <w:tcPr>
            <w:tcW w:w="340" w:type="dxa"/>
            <w:vAlign w:val="bottom"/>
            <w:gridSpan w:val="6"/>
          </w:tcPr>
          <w:p>
            <w:pPr>
              <w:jc w:val="right"/>
              <w:ind w:right="60"/>
              <w:spacing w:after="0"/>
              <w:rPr>
                <w:rFonts w:ascii="Arial" w:cs="Arial" w:eastAsia="Arial" w:hAnsi="Arial"/>
                <w:sz w:val="18"/>
                <w:szCs w:val="18"/>
                <w:color w:val="0000EE"/>
              </w:rPr>
            </w:pPr>
            <w:hyperlink r:id="rId472">
              <w:r>
                <w:rPr>
                  <w:rFonts w:ascii="Arial" w:cs="Arial" w:eastAsia="Arial" w:hAnsi="Arial"/>
                  <w:sz w:val="18"/>
                  <w:szCs w:val="18"/>
                  <w:color w:val="0000EE"/>
                </w:rPr>
                <w:t>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72">
              <w:r>
                <w:rPr>
                  <w:rFonts w:ascii="Arial" w:cs="Arial" w:eastAsia="Arial" w:hAnsi="Arial"/>
                  <w:sz w:val="18"/>
                  <w:szCs w:val="18"/>
                  <w:color w:val="0000EE"/>
                  <w:w w:val="84"/>
                </w:rPr>
                <w:t>2018</w:t>
              </w:r>
            </w:hyperlink>
          </w:p>
        </w:tc>
        <w:tc>
          <w:tcPr>
            <w:tcW w:w="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10.12**</w:t>
            </w:r>
          </w:p>
        </w:tc>
        <w:tc>
          <w:tcPr>
            <w:tcW w:w="72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Arial" w:cs="Arial" w:eastAsia="Arial" w:hAnsi="Arial"/>
                <w:sz w:val="18"/>
                <w:szCs w:val="18"/>
                <w:color w:val="0000EE"/>
                <w:w w:val="92"/>
              </w:rPr>
            </w:pPr>
            <w:hyperlink r:id="rId473">
              <w:r>
                <w:rPr>
                  <w:rFonts w:ascii="Arial" w:cs="Arial" w:eastAsia="Arial" w:hAnsi="Arial"/>
                  <w:sz w:val="18"/>
                  <w:szCs w:val="18"/>
                  <w:color w:val="0000EE"/>
                  <w:w w:val="92"/>
                </w:rPr>
                <w:t>English translation of Loan Agreements among shareholders of Shanghai Anbin, Shanghai Anbin and NIO Co., Ltd. dated April</w:t>
              </w:r>
            </w:hyperlink>
          </w:p>
        </w:tc>
        <w:tc>
          <w:tcPr>
            <w:tcW w:w="240" w:type="dxa"/>
            <w:vAlign w:val="bottom"/>
            <w:tcBorders>
              <w:bottom w:val="single" w:sz="8" w:color="0000EE"/>
            </w:tcBorders>
            <w:gridSpan w:val="4"/>
          </w:tcPr>
          <w:p>
            <w:pPr>
              <w:jc w:val="right"/>
              <w:spacing w:after="0"/>
              <w:rPr>
                <w:rFonts w:ascii="Arial" w:cs="Arial" w:eastAsia="Arial" w:hAnsi="Arial"/>
                <w:sz w:val="18"/>
                <w:szCs w:val="18"/>
                <w:color w:val="0000EE"/>
                <w:w w:val="87"/>
              </w:rPr>
            </w:pPr>
            <w:hyperlink r:id="rId473">
              <w:r>
                <w:rPr>
                  <w:rFonts w:ascii="Arial" w:cs="Arial" w:eastAsia="Arial" w:hAnsi="Arial"/>
                  <w:sz w:val="18"/>
                  <w:szCs w:val="18"/>
                  <w:color w:val="0000EE"/>
                  <w:w w:val="87"/>
                </w:rPr>
                <w:t>19,</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473">
              <w:r>
                <w:rPr>
                  <w:rFonts w:ascii="Arial" w:cs="Arial" w:eastAsia="Arial" w:hAnsi="Arial"/>
                  <w:sz w:val="18"/>
                  <w:szCs w:val="18"/>
                  <w:color w:val="0000EE"/>
                  <w:w w:val="84"/>
                </w:rPr>
                <w:t>2018</w:t>
              </w:r>
            </w:hyperlink>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10.13**</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1"/>
              </w:rPr>
            </w:pPr>
            <w:hyperlink r:id="rId474">
              <w:r>
                <w:rPr>
                  <w:rFonts w:ascii="Arial" w:cs="Arial" w:eastAsia="Arial" w:hAnsi="Arial"/>
                  <w:sz w:val="18"/>
                  <w:szCs w:val="18"/>
                  <w:color w:val="0000EE"/>
                  <w:w w:val="91"/>
                </w:rPr>
                <w:t>English translation of Equity Interest Pledge Agreements among shareholders of Shanghai Anbin, Shanghai Anbin and NIO Co., Ltd.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4">
              <w:r>
                <w:rPr>
                  <w:rFonts w:ascii="Arial" w:cs="Arial" w:eastAsia="Arial" w:hAnsi="Arial"/>
                  <w:sz w:val="18"/>
                  <w:szCs w:val="18"/>
                  <w:color w:val="0000EE"/>
                </w:rPr>
                <w:t>dated April 19, 2018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50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10.14**</w:t>
            </w:r>
          </w:p>
        </w:tc>
        <w:tc>
          <w:tcPr>
            <w:tcW w:w="72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1"/>
              </w:rPr>
            </w:pPr>
            <w:hyperlink r:id="rId475">
              <w:r>
                <w:rPr>
                  <w:rFonts w:ascii="Arial" w:cs="Arial" w:eastAsia="Arial" w:hAnsi="Arial"/>
                  <w:sz w:val="18"/>
                  <w:szCs w:val="18"/>
                  <w:color w:val="0000EE"/>
                  <w:w w:val="91"/>
                </w:rPr>
                <w:t>English translation of Exclusive Business Cooperation Agreements among shareholders of Shanghai Anbin, Shanghai Anbin and NIO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75">
              <w:r>
                <w:rPr>
                  <w:rFonts w:ascii="Arial" w:cs="Arial" w:eastAsia="Arial" w:hAnsi="Arial"/>
                  <w:sz w:val="18"/>
                  <w:szCs w:val="18"/>
                  <w:color w:val="0000EE"/>
                </w:rPr>
                <w:t>Co., Ltd. dated April 19, 2018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10.15**</w:t>
            </w:r>
          </w:p>
        </w:tc>
        <w:tc>
          <w:tcPr>
            <w:tcW w:w="720" w:type="dxa"/>
            <w:vAlign w:val="bottom"/>
          </w:tcPr>
          <w:p>
            <w:pPr>
              <w:spacing w:after="0"/>
              <w:rPr>
                <w:sz w:val="24"/>
                <w:szCs w:val="24"/>
                <w:color w:val="auto"/>
              </w:rPr>
            </w:pPr>
          </w:p>
        </w:tc>
        <w:tc>
          <w:tcPr>
            <w:tcW w:w="9700" w:type="dxa"/>
            <w:vAlign w:val="bottom"/>
            <w:tcBorders>
              <w:bottom w:val="single" w:sz="8" w:color="0000EE"/>
            </w:tcBorders>
            <w:gridSpan w:val="28"/>
          </w:tcPr>
          <w:p>
            <w:pPr>
              <w:spacing w:after="0"/>
              <w:rPr>
                <w:rFonts w:ascii="Arial" w:cs="Arial" w:eastAsia="Arial" w:hAnsi="Arial"/>
                <w:sz w:val="18"/>
                <w:szCs w:val="18"/>
                <w:color w:val="0000EE"/>
                <w:w w:val="91"/>
              </w:rPr>
            </w:pPr>
            <w:hyperlink r:id="rId476">
              <w:r>
                <w:rPr>
                  <w:rFonts w:ascii="Arial" w:cs="Arial" w:eastAsia="Arial" w:hAnsi="Arial"/>
                  <w:sz w:val="18"/>
                  <w:szCs w:val="18"/>
                  <w:color w:val="0000EE"/>
                  <w:w w:val="91"/>
                </w:rPr>
                <w:t>English translation of Exclusive Option Agreements among shareholders of Shanghai Anbin, Shanghai Anbin and NIO Co., Ltd. dated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gridSpan w:val="21"/>
          </w:tcPr>
          <w:p>
            <w:pPr>
              <w:spacing w:after="0" w:line="196" w:lineRule="exact"/>
              <w:rPr>
                <w:rFonts w:ascii="Arial" w:cs="Arial" w:eastAsia="Arial" w:hAnsi="Arial"/>
                <w:sz w:val="18"/>
                <w:szCs w:val="18"/>
                <w:color w:val="0000EE"/>
              </w:rPr>
            </w:pPr>
            <w:hyperlink r:id="rId476">
              <w:r>
                <w:rPr>
                  <w:rFonts w:ascii="Arial" w:cs="Arial" w:eastAsia="Arial" w:hAnsi="Arial"/>
                  <w:sz w:val="18"/>
                  <w:szCs w:val="18"/>
                  <w:color w:val="0000EE"/>
                </w:rPr>
                <w:t>April 19, 2018</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40" w:type="dxa"/>
            <w:vAlign w:val="bottom"/>
            <w:gridSpan w:val="11"/>
          </w:tcPr>
          <w:p>
            <w:pPr>
              <w:jc w:val="center"/>
              <w:ind w:right="4800"/>
              <w:spacing w:after="0"/>
              <w:rPr>
                <w:sz w:val="20"/>
                <w:szCs w:val="20"/>
                <w:color w:val="auto"/>
              </w:rPr>
            </w:pPr>
            <w:r>
              <w:rPr>
                <w:rFonts w:ascii="Arial" w:cs="Arial" w:eastAsia="Arial" w:hAnsi="Arial"/>
                <w:sz w:val="18"/>
                <w:szCs w:val="18"/>
                <w:color w:val="auto"/>
                <w:w w:val="99"/>
              </w:rPr>
              <w:t>II-10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2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40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340" w:type="dxa"/>
            <w:vAlign w:val="bottom"/>
            <w:gridSpan w:val="3"/>
          </w:tcPr>
          <w:p>
            <w:pPr>
              <w:spacing w:after="0"/>
              <w:rPr>
                <w:sz w:val="20"/>
                <w:szCs w:val="20"/>
                <w:color w:val="auto"/>
              </w:rPr>
            </w:pPr>
            <w:r>
              <w:rPr>
                <w:rFonts w:ascii="Arial" w:cs="Arial" w:eastAsia="Arial" w:hAnsi="Arial"/>
                <w:sz w:val="18"/>
                <w:szCs w:val="18"/>
                <w:color w:val="auto"/>
              </w:rPr>
              <w:t>10.16**</w:t>
            </w:r>
          </w:p>
        </w:tc>
        <w:tc>
          <w:tcPr>
            <w:tcW w:w="9440" w:type="dxa"/>
            <w:vAlign w:val="bottom"/>
            <w:tcBorders>
              <w:bottom w:val="single" w:sz="8" w:color="0000EE"/>
            </w:tcBorders>
            <w:gridSpan w:val="17"/>
          </w:tcPr>
          <w:p>
            <w:pPr>
              <w:spacing w:after="0"/>
              <w:rPr>
                <w:rFonts w:ascii="Arial" w:cs="Arial" w:eastAsia="Arial" w:hAnsi="Arial"/>
                <w:sz w:val="18"/>
                <w:szCs w:val="18"/>
                <w:color w:val="0000EE"/>
                <w:w w:val="93"/>
              </w:rPr>
            </w:pPr>
            <w:hyperlink r:id="rId478">
              <w:r>
                <w:rPr>
                  <w:rFonts w:ascii="Arial" w:cs="Arial" w:eastAsia="Arial" w:hAnsi="Arial"/>
                  <w:sz w:val="18"/>
                  <w:szCs w:val="18"/>
                  <w:color w:val="0000EE"/>
                  <w:w w:val="93"/>
                </w:rPr>
                <w:t>English translation of Power of Attorney among shareholders of Beijing NIO, Beijing NIO and NIO Co., Ltd. dated April 19, 2018</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10.17**</w:t>
            </w:r>
          </w:p>
        </w:tc>
        <w:tc>
          <w:tcPr>
            <w:tcW w:w="9380" w:type="dxa"/>
            <w:vAlign w:val="bottom"/>
            <w:tcBorders>
              <w:bottom w:val="single" w:sz="8" w:color="0000EE"/>
            </w:tcBorders>
            <w:gridSpan w:val="16"/>
          </w:tcPr>
          <w:p>
            <w:pPr>
              <w:spacing w:after="0"/>
              <w:rPr>
                <w:rFonts w:ascii="Arial" w:cs="Arial" w:eastAsia="Arial" w:hAnsi="Arial"/>
                <w:sz w:val="18"/>
                <w:szCs w:val="18"/>
                <w:color w:val="0000EE"/>
                <w:w w:val="92"/>
              </w:rPr>
            </w:pPr>
            <w:hyperlink r:id="rId479">
              <w:r>
                <w:rPr>
                  <w:rFonts w:ascii="Arial" w:cs="Arial" w:eastAsia="Arial" w:hAnsi="Arial"/>
                  <w:sz w:val="18"/>
                  <w:szCs w:val="18"/>
                  <w:color w:val="0000EE"/>
                  <w:w w:val="92"/>
                </w:rPr>
                <w:t>English translation of Loan Agreements among shareholders of Beijing NIO, Beijing NIO and NIO Co., Ltd. dated April 19, 2018</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10.18**</w:t>
            </w:r>
          </w:p>
        </w:tc>
        <w:tc>
          <w:tcPr>
            <w:tcW w:w="9640" w:type="dxa"/>
            <w:vAlign w:val="bottom"/>
            <w:gridSpan w:val="20"/>
          </w:tcPr>
          <w:p>
            <w:pPr>
              <w:spacing w:after="0"/>
              <w:rPr>
                <w:rFonts w:ascii="Arial" w:cs="Arial" w:eastAsia="Arial" w:hAnsi="Arial"/>
                <w:sz w:val="18"/>
                <w:szCs w:val="18"/>
                <w:color w:val="0000EE"/>
                <w:w w:val="93"/>
              </w:rPr>
            </w:pPr>
            <w:hyperlink r:id="rId480">
              <w:r>
                <w:rPr>
                  <w:rFonts w:ascii="Arial" w:cs="Arial" w:eastAsia="Arial" w:hAnsi="Arial"/>
                  <w:sz w:val="18"/>
                  <w:szCs w:val="18"/>
                  <w:color w:val="0000EE"/>
                  <w:w w:val="93"/>
                </w:rPr>
                <w:t>English translation of Equity Interest Pledge Agreements among shareholders of Beijing NIO, Beijing NIO and NIO Co., Ltd. dated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480">
              <w:r>
                <w:rPr>
                  <w:rFonts w:ascii="Arial" w:cs="Arial" w:eastAsia="Arial" w:hAnsi="Arial"/>
                  <w:sz w:val="18"/>
                  <w:szCs w:val="18"/>
                  <w:color w:val="0000EE"/>
                  <w:w w:val="93"/>
                </w:rPr>
                <w:t>April 19, 2018</w:t>
              </w:r>
            </w:hyperlink>
          </w:p>
        </w:tc>
        <w:tc>
          <w:tcPr>
            <w:tcW w:w="8440" w:type="dxa"/>
            <w:vAlign w:val="bottom"/>
            <w:tcBorders>
              <w:top w:val="single" w:sz="8" w:color="0000EE"/>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10.19**</w:t>
            </w:r>
          </w:p>
        </w:tc>
        <w:tc>
          <w:tcPr>
            <w:tcW w:w="9640" w:type="dxa"/>
            <w:vAlign w:val="bottom"/>
            <w:gridSpan w:val="20"/>
          </w:tcPr>
          <w:p>
            <w:pPr>
              <w:spacing w:after="0"/>
              <w:rPr>
                <w:rFonts w:ascii="Arial" w:cs="Arial" w:eastAsia="Arial" w:hAnsi="Arial"/>
                <w:sz w:val="18"/>
                <w:szCs w:val="18"/>
                <w:color w:val="0000EE"/>
                <w:w w:val="93"/>
              </w:rPr>
            </w:pPr>
            <w:hyperlink r:id="rId481">
              <w:r>
                <w:rPr>
                  <w:rFonts w:ascii="Arial" w:cs="Arial" w:eastAsia="Arial" w:hAnsi="Arial"/>
                  <w:sz w:val="18"/>
                  <w:szCs w:val="18"/>
                  <w:color w:val="0000EE"/>
                  <w:w w:val="93"/>
                </w:rPr>
                <w:t>English translation of Exclusive Business Cooperation Agreements among shareholders of Beijing NIO, Beijing NIO and NIO Co.,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81">
              <w:r>
                <w:rPr>
                  <w:rFonts w:ascii="Arial" w:cs="Arial" w:eastAsia="Arial" w:hAnsi="Arial"/>
                  <w:sz w:val="18"/>
                  <w:szCs w:val="18"/>
                  <w:color w:val="0000EE"/>
                  <w:w w:val="92"/>
                </w:rPr>
                <w:t>Ltd. dated April 19, 2018</w:t>
              </w:r>
            </w:hyperlink>
          </w:p>
        </w:tc>
        <w:tc>
          <w:tcPr>
            <w:tcW w:w="7620" w:type="dxa"/>
            <w:vAlign w:val="bottom"/>
            <w:tcBorders>
              <w:top w:val="single" w:sz="8" w:color="0000EE"/>
            </w:tcBorders>
            <w:gridSpan w:val="15"/>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10.20**</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3"/>
              </w:rPr>
            </w:pPr>
            <w:hyperlink r:id="rId482">
              <w:r>
                <w:rPr>
                  <w:rFonts w:ascii="Arial" w:cs="Arial" w:eastAsia="Arial" w:hAnsi="Arial"/>
                  <w:sz w:val="18"/>
                  <w:szCs w:val="18"/>
                  <w:color w:val="0000EE"/>
                  <w:w w:val="93"/>
                </w:rPr>
                <w:t>English translation of Exclusive Option Agreements among shareholders of Beijing NIO, Beijing NIO and NIO Co., Ltd. dated April</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82">
              <w:r>
                <w:rPr>
                  <w:rFonts w:ascii="Arial" w:cs="Arial" w:eastAsia="Arial" w:hAnsi="Arial"/>
                  <w:sz w:val="18"/>
                  <w:szCs w:val="18"/>
                  <w:color w:val="0000EE"/>
                  <w:w w:val="88"/>
                </w:rPr>
                <w:t>19, 2018</w:t>
              </w:r>
            </w:hyperlink>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3">
              <w:r>
                <w:rPr>
                  <w:rFonts w:ascii="Arial" w:cs="Arial" w:eastAsia="Arial" w:hAnsi="Arial"/>
                  <w:sz w:val="18"/>
                  <w:szCs w:val="18"/>
                  <w:color w:val="0000EE"/>
                </w:rPr>
                <w:t>Significant Subsidiaries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74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Consent of PricewaterhouseCoopers Zhong Tian LLP, an independent registered public accounting firm</w:t>
            </w:r>
          </w:p>
        </w:tc>
        <w:tc>
          <w:tcPr>
            <w:tcW w:w="2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5380" w:type="dxa"/>
            <w:vAlign w:val="bottom"/>
            <w:tcBorders>
              <w:bottom w:val="single" w:sz="8" w:color="0000EE"/>
            </w:tcBorders>
            <w:gridSpan w:val="13"/>
          </w:tcPr>
          <w:p>
            <w:pPr>
              <w:spacing w:after="0"/>
              <w:rPr>
                <w:rFonts w:ascii="Arial" w:cs="Arial" w:eastAsia="Arial" w:hAnsi="Arial"/>
                <w:sz w:val="18"/>
                <w:szCs w:val="18"/>
                <w:color w:val="0000EE"/>
                <w:w w:val="92"/>
              </w:rPr>
            </w:pPr>
            <w:hyperlink r:id="rId460">
              <w:r>
                <w:rPr>
                  <w:rFonts w:ascii="Arial" w:cs="Arial" w:eastAsia="Arial" w:hAnsi="Arial"/>
                  <w:sz w:val="18"/>
                  <w:szCs w:val="18"/>
                  <w:color w:val="0000EE"/>
                  <w:w w:val="92"/>
                </w:rPr>
                <w:t>Consent of Maples and Calder (Hong Kong) LLP (included in Exhibit 5.1)</w:t>
              </w:r>
            </w:hyperlink>
          </w:p>
        </w:tc>
        <w:tc>
          <w:tcPr>
            <w:tcW w:w="4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61">
              <w:r>
                <w:rPr>
                  <w:rFonts w:ascii="Arial" w:cs="Arial" w:eastAsia="Arial" w:hAnsi="Arial"/>
                  <w:sz w:val="18"/>
                  <w:szCs w:val="18"/>
                  <w:color w:val="0000EE"/>
                </w:rPr>
                <w:t>Consent of Han Kun Law Offices (included in Exhibit 99.2)</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23.4**</w:t>
            </w:r>
          </w:p>
        </w:tc>
        <w:tc>
          <w:tcPr>
            <w:tcW w:w="78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rFonts w:ascii="Arial" w:cs="Arial" w:eastAsia="Arial" w:hAnsi="Arial"/>
                <w:sz w:val="18"/>
                <w:szCs w:val="18"/>
                <w:color w:val="0000EE"/>
              </w:rPr>
            </w:pPr>
            <w:hyperlink r:id="rId484">
              <w:r>
                <w:rPr>
                  <w:rFonts w:ascii="Arial" w:cs="Arial" w:eastAsia="Arial" w:hAnsi="Arial"/>
                  <w:sz w:val="18"/>
                  <w:szCs w:val="18"/>
                  <w:color w:val="0000EE"/>
                </w:rPr>
                <w:t>Consent of Denny Ting Bun Lee</w:t>
              </w:r>
            </w:hyperlink>
          </w:p>
        </w:tc>
        <w:tc>
          <w:tcPr>
            <w:tcW w:w="5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5">
              <w:r>
                <w:rPr>
                  <w:rFonts w:ascii="Arial" w:cs="Arial" w:eastAsia="Arial" w:hAnsi="Arial"/>
                  <w:sz w:val="18"/>
                  <w:szCs w:val="18"/>
                  <w:color w:val="0000EE"/>
                </w:rPr>
                <w:t>Consent of James Gordon Mitchell</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3520" w:type="dxa"/>
            <w:vAlign w:val="bottom"/>
            <w:tcBorders>
              <w:bottom w:val="single" w:sz="8" w:color="0000EE"/>
            </w:tcBorders>
            <w:gridSpan w:val="8"/>
          </w:tcPr>
          <w:p>
            <w:pPr>
              <w:spacing w:after="0"/>
              <w:rPr>
                <w:rFonts w:ascii="Arial" w:cs="Arial" w:eastAsia="Arial" w:hAnsi="Arial"/>
                <w:sz w:val="18"/>
                <w:szCs w:val="18"/>
                <w:color w:val="0000EE"/>
                <w:w w:val="90"/>
              </w:rPr>
            </w:pPr>
            <w:hyperlink r:id="rId486">
              <w:r>
                <w:rPr>
                  <w:rFonts w:ascii="Arial" w:cs="Arial" w:eastAsia="Arial" w:hAnsi="Arial"/>
                  <w:sz w:val="18"/>
                  <w:szCs w:val="18"/>
                  <w:color w:val="0000EE"/>
                  <w:w w:val="90"/>
                </w:rPr>
                <w:t>Powers of Attorney (included on signature page)</w:t>
              </w:r>
            </w:hyperlink>
          </w:p>
        </w:tc>
        <w:tc>
          <w:tcPr>
            <w:tcW w:w="6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7">
              <w:r>
                <w:rPr>
                  <w:rFonts w:ascii="Arial" w:cs="Arial" w:eastAsia="Arial" w:hAnsi="Arial"/>
                  <w:sz w:val="18"/>
                  <w:szCs w:val="18"/>
                  <w:color w:val="0000EE"/>
                </w:rPr>
                <w:t>Code of Business Conduct and Ethics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99.2**</w:t>
            </w:r>
          </w:p>
        </w:tc>
        <w:tc>
          <w:tcPr>
            <w:tcW w:w="78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92"/>
              </w:rPr>
            </w:pPr>
            <w:hyperlink r:id="rId461">
              <w:r>
                <w:rPr>
                  <w:rFonts w:ascii="Arial" w:cs="Arial" w:eastAsia="Arial" w:hAnsi="Arial"/>
                  <w:sz w:val="18"/>
                  <w:szCs w:val="18"/>
                  <w:color w:val="0000EE"/>
                  <w:w w:val="92"/>
                </w:rPr>
                <w:t>Opinion of Han Kun Law Offices regarding certain PRC law matters</w:t>
              </w:r>
            </w:hyperlink>
          </w:p>
        </w:tc>
        <w:tc>
          <w:tcPr>
            <w:tcW w:w="4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99.3**</w:t>
            </w:r>
          </w:p>
        </w:tc>
        <w:tc>
          <w:tcPr>
            <w:tcW w:w="780" w:type="dxa"/>
            <w:vAlign w:val="bottom"/>
          </w:tcPr>
          <w:p>
            <w:pPr>
              <w:spacing w:after="0"/>
              <w:rPr>
                <w:sz w:val="24"/>
                <w:szCs w:val="24"/>
                <w:color w:val="auto"/>
              </w:rPr>
            </w:pPr>
          </w:p>
        </w:tc>
        <w:tc>
          <w:tcPr>
            <w:tcW w:w="2040" w:type="dxa"/>
            <w:vAlign w:val="bottom"/>
            <w:tcBorders>
              <w:bottom w:val="single" w:sz="8" w:color="0000EE"/>
            </w:tcBorders>
            <w:gridSpan w:val="4"/>
          </w:tcPr>
          <w:p>
            <w:pPr>
              <w:spacing w:after="0"/>
              <w:rPr>
                <w:rFonts w:ascii="Arial" w:cs="Arial" w:eastAsia="Arial" w:hAnsi="Arial"/>
                <w:sz w:val="18"/>
                <w:szCs w:val="18"/>
                <w:color w:val="0000EE"/>
                <w:w w:val="92"/>
              </w:rPr>
            </w:pPr>
            <w:hyperlink r:id="rId488">
              <w:r>
                <w:rPr>
                  <w:rFonts w:ascii="Arial" w:cs="Arial" w:eastAsia="Arial" w:hAnsi="Arial"/>
                  <w:sz w:val="18"/>
                  <w:szCs w:val="18"/>
                  <w:color w:val="0000EE"/>
                  <w:w w:val="92"/>
                </w:rPr>
                <w:t>Consent of Frost &amp; Sullivan</w:t>
              </w:r>
            </w:hyperlink>
          </w:p>
        </w:tc>
        <w:tc>
          <w:tcPr>
            <w:tcW w:w="7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right="8620" w:firstLine="4"/>
        <w:spacing w:after="0" w:line="291"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640" w:hanging="432"/>
        <w:spacing w:after="0" w:line="255" w:lineRule="auto"/>
        <w:rPr>
          <w:rFonts w:ascii="Arial" w:cs="Arial" w:eastAsia="Arial" w:hAnsi="Arial"/>
          <w:sz w:val="16"/>
          <w:szCs w:val="16"/>
          <w:color w:val="auto"/>
        </w:rPr>
      </w:pPr>
      <w:r>
        <w:rPr>
          <w:rFonts w:ascii="Arial" w:cs="Arial" w:eastAsia="Arial" w:hAnsi="Arial"/>
          <w:sz w:val="18"/>
          <w:szCs w:val="18"/>
          <w:color w:val="auto"/>
        </w:rPr>
        <w:t>†† 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Commission.</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180"/>
          </w:cols>
          <w:pgMar w:left="240" w:top="459" w:right="4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Shanghai, China, on August 31, 2018.</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Bin Li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Chairman of the Board of Directors</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and Chief Executive Officer</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/s/ Bin Li</w:t>
            </w: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Chairman of the Board of</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gridSpan w:val="2"/>
          </w:tcPr>
          <w:p>
            <w:pPr>
              <w:jc w:val="center"/>
              <w:ind w:right="2180"/>
              <w:spacing w:after="0"/>
              <w:rPr>
                <w:sz w:val="20"/>
                <w:szCs w:val="20"/>
                <w:color w:val="auto"/>
              </w:rPr>
            </w:pPr>
            <w:r>
              <w:rPr>
                <w:rFonts w:ascii="Arial" w:cs="Arial" w:eastAsia="Arial" w:hAnsi="Arial"/>
                <w:sz w:val="18"/>
                <w:szCs w:val="18"/>
                <w:color w:val="auto"/>
              </w:rPr>
              <w:t>Bin Li</w:t>
            </w:r>
          </w:p>
        </w:tc>
        <w:tc>
          <w:tcPr>
            <w:tcW w:w="40" w:type="dxa"/>
            <w:vAlign w:val="bottom"/>
          </w:tcPr>
          <w:p>
            <w:pPr>
              <w:spacing w:after="0"/>
              <w:rPr>
                <w:sz w:val="18"/>
                <w:szCs w:val="18"/>
                <w:color w:val="auto"/>
              </w:rPr>
            </w:pPr>
          </w:p>
        </w:tc>
        <w:tc>
          <w:tcPr>
            <w:tcW w:w="40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3"/>
          </w:tcPr>
          <w:p>
            <w:pPr>
              <w:ind w:left="60"/>
              <w:spacing w:after="0"/>
              <w:rPr>
                <w:sz w:val="20"/>
                <w:szCs w:val="20"/>
                <w:color w:val="auto"/>
              </w:rPr>
            </w:pPr>
            <w:r>
              <w:rPr>
                <w:rFonts w:ascii="Arial" w:cs="Arial" w:eastAsia="Arial" w:hAnsi="Arial"/>
                <w:sz w:val="18"/>
                <w:szCs w:val="18"/>
                <w:color w:val="auto"/>
              </w:rPr>
              <w:t>Directors and Chief Executive Officer (Principal</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0" w:type="dxa"/>
            <w:vAlign w:val="bottom"/>
            <w:gridSpan w:val="3"/>
          </w:tcPr>
          <w:p>
            <w:pPr>
              <w:ind w:left="60"/>
              <w:spacing w:after="0"/>
              <w:rPr>
                <w:sz w:val="20"/>
                <w:szCs w:val="20"/>
                <w:color w:val="auto"/>
              </w:rPr>
            </w:pPr>
            <w:r>
              <w:rPr>
                <w:rFonts w:ascii="Arial" w:cs="Arial" w:eastAsia="Arial" w:hAnsi="Arial"/>
                <w:sz w:val="18"/>
                <w:szCs w:val="18"/>
                <w:color w:val="auto"/>
              </w:rPr>
              <w:t>Executive Officer)</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2"/>
              </w:rPr>
              <w:t>/s/ Louis T. Hsieh</w:t>
            </w: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Chief Financial Officer (Principal Financial and</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Louis T. Hsieh</w:t>
            </w:r>
          </w:p>
        </w:tc>
        <w:tc>
          <w:tcPr>
            <w:tcW w:w="40" w:type="dxa"/>
            <w:vAlign w:val="bottom"/>
          </w:tcPr>
          <w:p>
            <w:pPr>
              <w:spacing w:after="0"/>
              <w:rPr>
                <w:sz w:val="18"/>
                <w:szCs w:val="18"/>
                <w:color w:val="auto"/>
              </w:rPr>
            </w:pPr>
          </w:p>
        </w:tc>
        <w:tc>
          <w:tcPr>
            <w:tcW w:w="40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0" w:type="dxa"/>
            <w:vAlign w:val="bottom"/>
            <w:gridSpan w:val="3"/>
          </w:tcPr>
          <w:p>
            <w:pPr>
              <w:ind w:left="60"/>
              <w:spacing w:after="0"/>
              <w:rPr>
                <w:sz w:val="20"/>
                <w:szCs w:val="20"/>
                <w:color w:val="auto"/>
              </w:rPr>
            </w:pPr>
            <w:r>
              <w:rPr>
                <w:rFonts w:ascii="Arial" w:cs="Arial" w:eastAsia="Arial" w:hAnsi="Arial"/>
                <w:sz w:val="18"/>
                <w:szCs w:val="18"/>
                <w:color w:val="auto"/>
              </w:rPr>
              <w:t>Accounting Officer)</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6"/>
              </w:rPr>
              <w:t>Lihong Qin</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Padmasree Warrior</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Tian Cheng</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Xiang Li</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60" w:type="dxa"/>
            <w:vAlign w:val="bottom"/>
            <w:gridSpan w:val="2"/>
          </w:tcPr>
          <w:p>
            <w:pPr>
              <w:jc w:val="center"/>
              <w:ind w:right="2160"/>
              <w:spacing w:after="0"/>
              <w:rPr>
                <w:sz w:val="20"/>
                <w:szCs w:val="20"/>
                <w:color w:val="auto"/>
              </w:rPr>
            </w:pPr>
            <w:r>
              <w:rPr>
                <w:rFonts w:ascii="Arial" w:cs="Arial" w:eastAsia="Arial" w:hAnsi="Arial"/>
                <w:sz w:val="18"/>
                <w:szCs w:val="18"/>
                <w:color w:val="auto"/>
                <w:w w:val="94"/>
              </w:rPr>
              <w:t>Hai Wu</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Yaqin Zhang</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Xiangping Zhong</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5"/>
              </w:rPr>
              <w:t>Zhaohui Li</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Bin Li</w:t>
            </w:r>
          </w:p>
        </w:tc>
        <w:tc>
          <w:tcPr>
            <w:tcW w:w="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31,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Name: Bin Li</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60" w:type="dxa"/>
            <w:vAlign w:val="bottom"/>
            <w:gridSpan w:val="3"/>
          </w:tcPr>
          <w:p>
            <w:pPr>
              <w:ind w:left="540"/>
              <w:spacing w:after="0"/>
              <w:rPr>
                <w:sz w:val="20"/>
                <w:szCs w:val="20"/>
                <w:color w:val="auto"/>
              </w:rPr>
            </w:pPr>
            <w:r>
              <w:rPr>
                <w:rFonts w:ascii="Arial" w:cs="Arial" w:eastAsia="Arial" w:hAnsi="Arial"/>
                <w:sz w:val="18"/>
                <w:szCs w:val="18"/>
                <w:i w:val="1"/>
                <w:iCs w:val="1"/>
                <w:color w:val="auto"/>
              </w:rPr>
              <w:t>Attorney-in-fact</w:t>
            </w: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tcPr>
          <w:p>
            <w:pPr>
              <w:ind w:left="380"/>
              <w:spacing w:after="0"/>
              <w:rPr>
                <w:sz w:val="20"/>
                <w:szCs w:val="20"/>
                <w:color w:val="auto"/>
              </w:rPr>
            </w:pPr>
            <w:r>
              <w:rPr>
                <w:rFonts w:ascii="Arial" w:cs="Arial" w:eastAsia="Arial" w:hAnsi="Arial"/>
                <w:sz w:val="18"/>
                <w:szCs w:val="18"/>
                <w:color w:val="auto"/>
              </w:rPr>
              <w:t>II-12</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NIO Inc. has signed this registration statement or amendment thereto in Newark, Delaware on August 31,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Authorized U.S. Representative</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Donald J. Puglisi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0600"/>
          </w:cols>
          <w:pgMar w:left="240" w:top="459" w:right="105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use in this Amendment No. 2 to Registration Statement on Form F-1 of NIO Inc. of our report dated April 27, 2018, except for the presentation of the consolidated statements of cash flows as described in note 2(g), which is as of June 7, 2018, relating to the financial statements of NIO Inc.,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1)"/>
      <w:numFmt w:val="decimal"/>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1)"/>
      <w:numFmt w:val="decimal"/>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lowerRoman"/>
      <w:start w:val="2"/>
    </w:lvl>
  </w:abstractNum>
  <w:abstractNum w:abstractNumId="37">
    <w:nsid w:val="60B6DF70"/>
    <w:multiLevelType w:val="hybridMultilevel"/>
    <w:lvl w:ilvl="0">
      <w:lvlJc w:val="left"/>
      <w:lvlText w:val="(%1)"/>
      <w:numFmt w:val="lowerRoman"/>
      <w:start w:val="1"/>
    </w:lvl>
  </w:abstractNum>
  <w:abstractNum w:abstractNumId="38">
    <w:nsid w:val="6A5EE64"/>
    <w:multiLevelType w:val="hybridMultilevel"/>
    <w:lvl w:ilvl="0">
      <w:lvlJc w:val="left"/>
      <w:lvlText w:val="(%1)"/>
      <w:numFmt w:val="lowerRoman"/>
      <w:start w:val="1"/>
    </w:lvl>
  </w:abstractNum>
  <w:abstractNum w:abstractNumId="39">
    <w:nsid w:val="14330624"/>
    <w:multiLevelType w:val="hybridMultilevel"/>
    <w:lvl w:ilvl="0">
      <w:lvlJc w:val="left"/>
      <w:lvlText w:val="(%1)"/>
      <w:numFmt w:val="lowerRoman"/>
      <w:start w:val="2"/>
    </w:lvl>
  </w:abstractNum>
  <w:abstractNum w:abstractNumId="40">
    <w:nsid w:val="7FFFCA11"/>
    <w:multiLevelType w:val="hybridMultilevel"/>
    <w:lvl w:ilvl="0">
      <w:lvlJc w:val="left"/>
      <w:lvlText w:val="(%1)"/>
      <w:numFmt w:val="lowerRoman"/>
      <w:start w:val="4"/>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decimal"/>
      <w:start w:val="1"/>
    </w:lvl>
  </w:abstractNum>
  <w:abstractNum w:abstractNumId="53">
    <w:nsid w:val="3222E7CD"/>
    <w:multiLevelType w:val="hybridMultilevel"/>
    <w:lvl w:ilvl="0">
      <w:lvlJc w:val="left"/>
      <w:lvlText w:val="(%1)"/>
      <w:numFmt w:val="lowerRoman"/>
      <w:start w:val="3"/>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1)"/>
      <w:numFmt w:val="lowerRoman"/>
      <w:start w:val="2"/>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1)"/>
      <w:numFmt w:val="decimal"/>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1)"/>
      <w:numFmt w:val="lowerLetter"/>
      <w:start w:val="2"/>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1)"/>
      <w:numFmt w:val="lowerRoman"/>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decimal"/>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1."/>
      <w:numFmt w:val="decimal"/>
      <w:start w:val="2"/>
    </w:lvl>
    <w:lvl w:ilvl="1">
      <w:lvlJc w:val="left"/>
      <w:lvlText w:val="(%2)"/>
      <w:numFmt w:val="lowerLetter"/>
      <w:start w:val="1"/>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decimal"/>
      <w:start w:val="4"/>
    </w:lvl>
    <w:lvl w:ilvl="1">
      <w:lvlJc w:val="left"/>
      <w:lvlText w:val="(%2)"/>
      <w:numFmt w:val="lowerLetter"/>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1."/>
      <w:numFmt w:val="decimal"/>
      <w:start w:val="21"/>
    </w:lvl>
    <w:lvl w:ilvl="1">
      <w:lvlJc w:val="left"/>
      <w:lvlText w:val="(%2)"/>
      <w:numFmt w:val="lowerLetter"/>
      <w:start w:val="1"/>
    </w:lvl>
  </w:abstractNum>
  <w:abstractNum w:abstractNumId="110">
    <w:nsid w:val="379E21B5"/>
    <w:multiLevelType w:val="hybridMultilevel"/>
    <w:lvl w:ilvl="0">
      <w:lvlJc w:val="left"/>
      <w:lvlText w:val="%1."/>
      <w:numFmt w:val="decimal"/>
      <w:start w:val="24"/>
    </w:lvl>
    <w:lvl w:ilvl="1">
      <w:lvlJc w:val="left"/>
      <w:lvlText w:val="(%2)"/>
      <w:numFmt w:val="lowerLetter"/>
      <w:start w:val="1"/>
    </w:lvl>
  </w:abstractNum>
  <w:abstractNum w:abstractNumId="111">
    <w:nsid w:val="69E373"/>
    <w:multiLevelType w:val="hybridMultilevel"/>
    <w:lvl w:ilvl="0">
      <w:lvlJc w:val="left"/>
      <w:lvlText w:val="%1."/>
      <w:numFmt w:val="decimal"/>
      <w:start w:val="2"/>
    </w:lvl>
    <w:lvl w:ilvl="1">
      <w:lvlJc w:val="left"/>
      <w:lvlText w:val="(%2)"/>
      <w:numFmt w:val="lowerLetter"/>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1."/>
      <w:numFmt w:val="decimal"/>
      <w:start w:val="840"/>
    </w:lvl>
  </w:abstractNum>
  <w:abstractNum w:abstractNumId="114">
    <w:nsid w:val="6AA7B75C"/>
    <w:multiLevelType w:val="hybridMultilevel"/>
    <w:lvl w:ilvl="0">
      <w:lvlJc w:val="left"/>
      <w:lvlText w:val="%1."/>
      <w:numFmt w:val="decimal"/>
      <w:start w:val="4"/>
    </w:lvl>
    <w:lvl w:ilvl="1">
      <w:lvlJc w:val="left"/>
      <w:lvlText w:val="(%2)"/>
      <w:numFmt w:val="lowerLetter"/>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1."/>
      <w:numFmt w:val="decimal"/>
      <w:start w:val="27"/>
    </w:lvl>
    <w:lvl w:ilvl="1">
      <w:lvlJc w:val="left"/>
      <w:lvlText w:val="(%2)"/>
      <w:numFmt w:val="lowerLetter"/>
      <w:start w:val="1"/>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lowerLetter"/>
      <w:start w:val="2"/>
    </w:lvl>
  </w:abstractNum>
  <w:abstractNum w:abstractNumId="120">
    <w:nsid w:val="5B25ACE2"/>
    <w:multiLevelType w:val="hybridMultilevel"/>
    <w:lvl w:ilvl="0">
      <w:lvlJc w:val="left"/>
      <w:lvlText w:val="%1"/>
      <w:numFmt w:val="lowerRoman"/>
      <w:start w:val="1"/>
    </w:lvl>
    <w:lvl w:ilvl="1">
      <w:lvlJc w:val="left"/>
      <w:lvlText w:val="(%2)"/>
      <w:numFmt w:val="decimal"/>
      <w:start w:val="1"/>
    </w:lvl>
  </w:abstractNum>
  <w:abstractNum w:abstractNumId="121">
    <w:nsid w:val="175DFCF0"/>
    <w:multiLevelType w:val="hybridMultilevel"/>
    <w:lvl w:ilvl="0">
      <w:lvlJc w:val="left"/>
      <w:lvlText w:val="(%1)"/>
      <w:numFmt w:val="lowerRoman"/>
      <w:start w:val="1"/>
    </w:lvl>
    <w:lvl w:ilvl="1">
      <w:lvlJc w:val="left"/>
      <w:lvlText w:val="%2"/>
      <w:numFmt w:val="decimal"/>
      <w:start w:val="1"/>
    </w:lvl>
  </w:abstractNum>
  <w:abstractNum w:abstractNumId="122">
    <w:nsid w:val="4F97E3E4"/>
    <w:multiLevelType w:val="hybridMultilevel"/>
    <w:lvl w:ilvl="0">
      <w:lvlJc w:val="left"/>
      <w:lvlText w:val="(%1)"/>
      <w:numFmt w:val="lowerRoman"/>
      <w:start w:val="2"/>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77"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55" Type="http://schemas.openxmlformats.org/officeDocument/2006/relationships/hyperlink" Target="http://www.sec.gov/Archives/edgar/data/0001736541/000119312518247401/d560276dex31.htm" TargetMode="External"/><Relationship Id="rId456" Type="http://schemas.openxmlformats.org/officeDocument/2006/relationships/hyperlink" Target="http://www.sec.gov/Archives/edgar/data/0001736541/000119312518247401/d560276dex32.htm" TargetMode="External"/><Relationship Id="rId457" Type="http://schemas.openxmlformats.org/officeDocument/2006/relationships/hyperlink" Target="http://www.sec.gov/Archives/edgar/data/0001736541/000119312518260341/d560276dex43.htm" TargetMode="External"/><Relationship Id="rId458" Type="http://schemas.openxmlformats.org/officeDocument/2006/relationships/hyperlink" Target="http://www.sec.gov/Archives/edgar/data/0001736541/000119312518260341/d560276dex42.htm" TargetMode="External"/><Relationship Id="rId459" Type="http://schemas.openxmlformats.org/officeDocument/2006/relationships/hyperlink" Target="http://www.sec.gov/Archives/edgar/data/0001736541/000119312518247401/d560276dex44.htm" TargetMode="External"/><Relationship Id="rId460" Type="http://schemas.openxmlformats.org/officeDocument/2006/relationships/hyperlink" Target="http://www.sec.gov/Archives/edgar/data/0001736541/000119312518247401/d560276dex51.htm" TargetMode="External"/><Relationship Id="rId461" Type="http://schemas.openxmlformats.org/officeDocument/2006/relationships/hyperlink" Target="http://www.sec.gov/Archives/edgar/data/0001736541/000119312518247401/d560276dex992.htm" TargetMode="External"/><Relationship Id="rId462" Type="http://schemas.openxmlformats.org/officeDocument/2006/relationships/hyperlink" Target="http://www.sec.gov/Archives/edgar/data/0001736541/000119312518247401/d560276dex101.htm" TargetMode="External"/><Relationship Id="rId463" Type="http://schemas.openxmlformats.org/officeDocument/2006/relationships/hyperlink" Target="http://www.sec.gov/Archives/edgar/data/0001736541/000119312518247401/d560276dex102.htm" TargetMode="External"/><Relationship Id="rId464" Type="http://schemas.openxmlformats.org/officeDocument/2006/relationships/hyperlink" Target="http://www.sec.gov/Archives/edgar/data/0001736541/000119312518247401/d560276dex103.htm" TargetMode="External"/><Relationship Id="rId465" Type="http://schemas.openxmlformats.org/officeDocument/2006/relationships/hyperlink" Target="http://www.sec.gov/Archives/edgar/data/0001736541/000119312518247401/d560276dex104.htm" TargetMode="External"/><Relationship Id="rId466" Type="http://schemas.openxmlformats.org/officeDocument/2006/relationships/hyperlink" Target="http://www.sec.gov/Archives/edgar/data/0001736541/000119312518247401/d560276dex105.htm" TargetMode="External"/><Relationship Id="rId467" Type="http://schemas.openxmlformats.org/officeDocument/2006/relationships/hyperlink" Target="http://www.sec.gov/Archives/edgar/data/0001736541/000119312518260341/d560276dex106.htm" TargetMode="External"/><Relationship Id="rId468" Type="http://schemas.openxmlformats.org/officeDocument/2006/relationships/hyperlink" Target="http://www.sec.gov/Archives/edgar/data/0001736541/000119312518247401/d560276dex106.htm" TargetMode="External"/><Relationship Id="rId469" Type="http://schemas.openxmlformats.org/officeDocument/2006/relationships/hyperlink" Target="http://www.sec.gov/Archives/edgar/data/0001736541/000119312518247401/d560276dex107.htm" TargetMode="External"/><Relationship Id="rId470" Type="http://schemas.openxmlformats.org/officeDocument/2006/relationships/hyperlink" Target="http://www.sec.gov/Archives/edgar/data/0001736541/000119312518247401/d560276dex108.htm" TargetMode="External"/><Relationship Id="rId471" Type="http://schemas.openxmlformats.org/officeDocument/2006/relationships/hyperlink" Target="http://www.sec.gov/Archives/edgar/data/0001736541/000119312518260341/d560276dex1010.htm" TargetMode="External"/><Relationship Id="rId472" Type="http://schemas.openxmlformats.org/officeDocument/2006/relationships/hyperlink" Target="http://www.sec.gov/Archives/edgar/data/0001736541/000119312518247401/d560276dex1011.htm" TargetMode="External"/><Relationship Id="rId473" Type="http://schemas.openxmlformats.org/officeDocument/2006/relationships/hyperlink" Target="http://www.sec.gov/Archives/edgar/data/0001736541/000119312518247401/d560276dex1012.htm" TargetMode="External"/><Relationship Id="rId474" Type="http://schemas.openxmlformats.org/officeDocument/2006/relationships/hyperlink" Target="http://www.sec.gov/Archives/edgar/data/0001736541/000119312518247401/d560276dex1013.htm" TargetMode="External"/><Relationship Id="rId475" Type="http://schemas.openxmlformats.org/officeDocument/2006/relationships/hyperlink" Target="http://www.sec.gov/Archives/edgar/data/0001736541/000119312518247401/d560276dex1014.htm" TargetMode="External"/><Relationship Id="rId476" Type="http://schemas.openxmlformats.org/officeDocument/2006/relationships/hyperlink" Target="http://www.sec.gov/Archives/edgar/data/0001736541/000119312518247401/d560276dex1015.htm" TargetMode="External"/><Relationship Id="rId478" Type="http://schemas.openxmlformats.org/officeDocument/2006/relationships/hyperlink" Target="http://www.sec.gov/Archives/edgar/data/0001736541/000119312518247401/d560276dex1016.htm" TargetMode="External"/><Relationship Id="rId479" Type="http://schemas.openxmlformats.org/officeDocument/2006/relationships/hyperlink" Target="http://www.sec.gov/Archives/edgar/data/0001736541/000119312518247401/d560276dex1017.htm" TargetMode="External"/><Relationship Id="rId480" Type="http://schemas.openxmlformats.org/officeDocument/2006/relationships/hyperlink" Target="http://www.sec.gov/Archives/edgar/data/0001736541/000119312518247401/d560276dex1018.htm" TargetMode="External"/><Relationship Id="rId481" Type="http://schemas.openxmlformats.org/officeDocument/2006/relationships/hyperlink" Target="http://www.sec.gov/Archives/edgar/data/0001736541/000119312518247401/d560276dex1019.htm" TargetMode="External"/><Relationship Id="rId482" Type="http://schemas.openxmlformats.org/officeDocument/2006/relationships/hyperlink" Target="http://www.sec.gov/Archives/edgar/data/0001736541/000119312518247401/d560276dex1020.htm" TargetMode="External"/><Relationship Id="rId483" Type="http://schemas.openxmlformats.org/officeDocument/2006/relationships/hyperlink" Target="http://www.sec.gov/Archives/edgar/data/0001736541/000119312518247401/d560276dex211.htm" TargetMode="External"/><Relationship Id="rId484" Type="http://schemas.openxmlformats.org/officeDocument/2006/relationships/hyperlink" Target="http://www.sec.gov/Archives/edgar/data/0001736541/000119312518247401/d560276dex234.htm" TargetMode="External"/><Relationship Id="rId485" Type="http://schemas.openxmlformats.org/officeDocument/2006/relationships/hyperlink" Target="http://www.sec.gov/Archives/edgar/data/0001736541/000119312518260341/d560276dex235.htm" TargetMode="External"/><Relationship Id="rId486" Type="http://schemas.openxmlformats.org/officeDocument/2006/relationships/hyperlink" Target="http://www.sec.gov/Archives/edgar/data/0001736541/000119312518247401/d560276df1.htm#sig_l" TargetMode="External"/><Relationship Id="rId487" Type="http://schemas.openxmlformats.org/officeDocument/2006/relationships/hyperlink" Target="http://www.sec.gov/Archives/edgar/data/0001736541/000119312518247401/d560276dex991.htm" TargetMode="External"/><Relationship Id="rId488" Type="http://schemas.openxmlformats.org/officeDocument/2006/relationships/hyperlink" Target="http://www.sec.gov/Archives/edgar/data/0001736541/000119312518247401/d560276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2019-12-08T18:08:56Z</dcterms:created>
  <dcterms:modified xsi:type="dcterms:W3CDTF">2019-12-08T18:08:56Z</dcterms:modified>
</cp:coreProperties>
</file>