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966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5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EE"/>
              </w:rPr>
              <w:t>NIO Inc. Reports Unaudited Fourth Quarter and Full Year 2025 Financial Results</w:t>
            </w:r>
          </w:p>
        </w:tc>
      </w:tr>
      <w:tr>
        <w:trPr>
          <w:trHeight w:val="696"/>
        </w:trPr>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80" w:type="dxa"/>
            <w:vAlign w:val="bottom"/>
            <w:tcBorders>
              <w:top w:val="single" w:sz="8" w:color="0000EE"/>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Yu Qu</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Reports Unaudited Fourth Quarter and Full Year 2025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Adjusted Profit From Operations (non-GAAP) Reached RMB1,251.3 Million (US$178.9 Million)</w:t>
      </w:r>
      <w:r>
        <w:rPr>
          <w:rFonts w:ascii="Times New Roman" w:cs="Times New Roman" w:eastAsia="Times New Roman" w:hAnsi="Times New Roman"/>
          <w:sz w:val="29"/>
          <w:szCs w:val="29"/>
          <w:b w:val="1"/>
          <w:bCs w:val="1"/>
          <w:i w:val="1"/>
          <w:iCs w:val="1"/>
          <w:color w:val="auto"/>
          <w:vertAlign w:val="superscript"/>
        </w:rPr>
        <w:t>i</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Total Revenues Reached RMB34,650.2 Million (US$4,954.9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Vehicle Deliveries Were 124,807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Year Total Revenues Reached RMB87,487.5 Million (US$12,510.5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Year Vehicle Deliveries Were 326,028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China, March 10, 2026 (GLOBE NEWSWIRE) -- NIO Inc. (NYSE: NIO; HKEX: 9866; SGX: NIO) (“NIO” or the “Company”), a pioneer and a leading company in the global smart electric vehicle market, today announced its unaudited financial results for the fourth quarter and full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Highlights for the Fourth Quarter and Full Year of 2025</w:t>
      </w:r>
    </w:p>
    <w:p>
      <w:pPr>
        <w:spacing w:after="0" w:line="225" w:lineRule="exact"/>
        <w:rPr>
          <w:sz w:val="20"/>
          <w:szCs w:val="20"/>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deliveries </w:t>
      </w:r>
      <w:r>
        <w:rPr>
          <w:rFonts w:ascii="Times New Roman" w:cs="Times New Roman" w:eastAsia="Times New Roman" w:hAnsi="Times New Roman"/>
          <w:sz w:val="18"/>
          <w:szCs w:val="18"/>
          <w:color w:val="auto"/>
        </w:rPr>
        <w:t>were 124,807 in the fourth quarter of 2025, representing an increase of 71.7% from the fourth quarter of 2024, and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43.3% from the third quarter of 2025. The deliveries consisted of 67,433 vehicles from the Company’s premium smart electric vehicle brand NIO, 38,290 vehicles from the Company’s family-oriented smart electric vehicle brand ONVO, and 19,084 vehicles from the Company’s small smart high-end electric car brand FIREFLY.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Results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520" w:type="dxa"/>
            <w:vAlign w:val="bottom"/>
          </w:tcPr>
          <w:p>
            <w:pPr>
              <w:spacing w:after="0"/>
              <w:rPr>
                <w:sz w:val="24"/>
                <w:szCs w:val="24"/>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2025 Q4</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2025 Q3</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2025 Q2</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2025 Q1</w:t>
            </w: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124,807</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w:t>
            </w:r>
          </w:p>
        </w:tc>
        <w:tc>
          <w:tcPr>
            <w:tcW w:w="100" w:type="dxa"/>
            <w:vAlign w:val="bottom"/>
            <w:tcBorders>
              <w:top w:val="single" w:sz="8" w:color="CCEEFF"/>
            </w:tcBorders>
            <w:shd w:val="clear" w:color="auto" w:fill="CCEEFF"/>
          </w:tcPr>
          <w:p>
            <w:pPr>
              <w:spacing w:after="0"/>
              <w:rPr>
                <w:sz w:val="18"/>
                <w:szCs w:val="18"/>
                <w:color w:val="auto"/>
              </w:rPr>
            </w:pPr>
          </w:p>
        </w:tc>
      </w:tr>
      <w:tr>
        <w:trPr>
          <w:trHeight w:val="459"/>
        </w:trPr>
        <w:tc>
          <w:tcPr>
            <w:tcW w:w="5520" w:type="dxa"/>
            <w:vAlign w:val="bottom"/>
          </w:tcPr>
          <w:p>
            <w:pPr>
              <w:spacing w:after="0"/>
              <w:rPr>
                <w:sz w:val="24"/>
                <w:szCs w:val="24"/>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Q2</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2024 Q1</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Fourth Quarter of 2025</w:t>
      </w:r>
    </w:p>
    <w:p>
      <w:pPr>
        <w:spacing w:after="0" w:line="225" w:lineRule="exact"/>
        <w:rPr>
          <w:sz w:val="20"/>
          <w:szCs w:val="20"/>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RMB31,606.2 million (US$4,519.6 million) in the fourth quarter of 2025, representing an increase of 80.9% from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and an increase of 64.6% from the third quarter of 2025.</w:t>
      </w:r>
    </w:p>
    <w:p>
      <w:pPr>
        <w:spacing w:after="0" w:line="14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18.1% in the fourth quarter of 2025, compared with 13.1% in the fourth quarter of 2024 and 14.7% in the third quarter of 2025.</w:t>
      </w:r>
    </w:p>
    <w:p>
      <w:pPr>
        <w:spacing w:after="0" w:line="29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RMB34,650.2 million (US$4,954.9 million) in the fourth quarter of 2025, representing an increase of 75.9%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59.0% from the third quarter of 2025.</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RMB6,074.1 million (US$868.6 million) in the fourth quarter of 2025, representing an increase of 163.1% from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an increase of 100.8% from the third quarter of 2025.</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17.5% in the fourth quarter of 2025, compared with 11.7% in the fourth quarter of 2024 and 13.9% in the third quarter of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Profit from operations </w:t>
      </w:r>
      <w:r>
        <w:rPr>
          <w:rFonts w:ascii="Times New Roman" w:cs="Times New Roman" w:eastAsia="Times New Roman" w:hAnsi="Times New Roman"/>
          <w:sz w:val="18"/>
          <w:szCs w:val="18"/>
          <w:color w:val="auto"/>
        </w:rPr>
        <w:t>was RMB807.3 million (US$115.4 million) in the fourth quarter of 2025, compared with loss from operations of RMB6,032.9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fourth quarter of 2024 and RMB3,521.5 million in the third quarter of 2025. Excluding share-based compensation expenses, adjusted profit from operations (non-GAAP) was RMB1,251.3 million (US$178.9 million) in the fourth quarter of 2025, compared with adjusted loss from operations (non-GAAP) of RMB5,543.6 million in the fourth quarter of 2024 and RMB2,776.1 million in the third quarter of 2025 (which also excluded organizational optimization charges).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profit </w:t>
      </w:r>
      <w:r>
        <w:rPr>
          <w:rFonts w:ascii="Times New Roman" w:cs="Times New Roman" w:eastAsia="Times New Roman" w:hAnsi="Times New Roman"/>
          <w:sz w:val="18"/>
          <w:szCs w:val="18"/>
          <w:color w:val="auto"/>
        </w:rPr>
        <w:t>was RMB282.7 million (US$40.4 million) in the fourth quarter of 2025, compared with net loss of RMB7,111.5 million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RMB3,480.5 million in the third quarter of 2025. Excluding share-based compensation expenses, adjusted net profit (non-GAAP) was RMB726.8 million (US$103.9 million) in the fourth quarter of 2025, compared with adjusted net loss (non-GAAP) of RMB6,622.2 million in the fourth quarter of 2024 and RMB2,735.1 million in the third quarter of 2025 (which also excluded organizational optimization charges).</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restricted cash, short-term investment and long-term time deposits </w:t>
      </w:r>
      <w:r>
        <w:rPr>
          <w:rFonts w:ascii="Times New Roman" w:cs="Times New Roman" w:eastAsia="Times New Roman" w:hAnsi="Times New Roman"/>
          <w:sz w:val="18"/>
          <w:szCs w:val="18"/>
          <w:color w:val="auto"/>
        </w:rPr>
        <w:t>were RMB45.9 billion (US$6.6 billion)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Financial Results for the Fourth Quarter of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99"/>
        </w:trPr>
        <w:tc>
          <w:tcPr>
            <w:tcW w:w="392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 Q4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 Q3</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iii</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9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QoQ</w:t>
            </w: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Pr>
          <w:p>
            <w:pPr>
              <w:spacing w:after="0"/>
              <w:rPr>
                <w:sz w:val="19"/>
                <w:szCs w:val="19"/>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31,606.2</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19,202.3</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17,475.6</w:t>
            </w:r>
          </w:p>
        </w:tc>
        <w:tc>
          <w:tcPr>
            <w:tcW w:w="1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64.6%</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340bp</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500bp</w:t>
            </w:r>
          </w:p>
        </w:tc>
      </w:tr>
      <w:tr>
        <w:trPr>
          <w:trHeight w:val="216"/>
        </w:trPr>
        <w:tc>
          <w:tcPr>
            <w:tcW w:w="3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34,650.2</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21,793.9</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19,703.4</w:t>
            </w: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59.0%</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6,074.1</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3,024.6</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2,308.9</w:t>
            </w:r>
          </w:p>
        </w:tc>
        <w:tc>
          <w:tcPr>
            <w:tcW w:w="1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100.8%</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360bp</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580bp</w:t>
            </w:r>
          </w:p>
        </w:tc>
      </w:tr>
      <w:tr>
        <w:trPr>
          <w:trHeight w:val="216"/>
        </w:trPr>
        <w:tc>
          <w:tcPr>
            <w:tcW w:w="3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Profit/(Loss) from Operations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807.3</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(6,032.9)</w:t>
            </w:r>
          </w:p>
        </w:tc>
        <w:tc>
          <w:tcPr>
            <w:tcW w:w="1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Profit/(Loss) from Operations (non-</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1,251.3</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(2,776.1)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(5,543.6)</w:t>
            </w:r>
          </w:p>
        </w:tc>
        <w:tc>
          <w:tcPr>
            <w:tcW w:w="1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Profit/(Loss)</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282.7</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(3,480.5)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(7,111.5)</w:t>
            </w:r>
          </w:p>
        </w:tc>
        <w:tc>
          <w:tcPr>
            <w:tcW w:w="1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Profit/(Loss) (non-GAAP)</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726.8</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(2,735.1)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(6,622.2)</w:t>
            </w:r>
          </w:p>
        </w:tc>
        <w:tc>
          <w:tcPr>
            <w:tcW w:w="1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630"/>
        </w:trPr>
        <w:tc>
          <w:tcPr>
            <w:tcW w:w="3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Full Year of 2025</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RMB76,883.9 million (US$10,994.2 million) for the full year of 2025, representing an increase of 32.0% from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was 14.6% for the full year of 2025, compared with 12.3% for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RMB87,487.5 million (US$12,510.5 million) for the full year of 2025, representing an increase of 33.1% from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RMB11,915.7 million (US$1,703.9 million) for the full year of 2025, representing an increase of 83.5% from the previous 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13.6% for the full year of 2025, compared with 9.9% for the previous year.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RMB14,041.2 million (US$2,007.9 million) for the full year of 2025, representing a decrease of 35.8% from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Excluding share-based compensation expenses and organizational optimization charges, adjusted loss from operations (non-GAAP) was RMB11,512.8 million (US$1,646.3 million) in 2025, representing a decrease of 42.3% from the previous year.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RMB14,942.6 million (US$2,136.8 million) for the full year of 2025, representing a decrease of 33.3% from the previous year.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share-based compensation expenses and organizational optimization charges, adjusted net loss (non-GAAP) was RMB12,414.2 million (US$1,775.2 million) for the full year of 2025, representing a decrease of 39.4% from the previous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Financial Results for Full Year 2025</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3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9"/>
        </w:trPr>
        <w:tc>
          <w:tcPr>
            <w:tcW w:w="3120" w:type="dxa"/>
            <w:vAlign w:val="bottom"/>
            <w:tcBorders>
              <w:bottom w:val="single" w:sz="8" w:color="CCEEFF"/>
            </w:tcBorders>
          </w:tcPr>
          <w:p>
            <w:pPr>
              <w:spacing w:after="0"/>
              <w:rPr>
                <w:sz w:val="24"/>
                <w:szCs w:val="24"/>
                <w:color w:val="auto"/>
              </w:rPr>
            </w:pPr>
          </w:p>
        </w:tc>
        <w:tc>
          <w:tcPr>
            <w:tcW w:w="37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iii</w:t>
            </w:r>
          </w:p>
        </w:tc>
        <w:tc>
          <w:tcPr>
            <w:tcW w:w="180" w:type="dxa"/>
            <w:vAlign w:val="bottom"/>
            <w:tcBorders>
              <w:bottom w:val="single" w:sz="8" w:color="CCEEFF"/>
            </w:tcBorders>
          </w:tcPr>
          <w:p>
            <w:pPr>
              <w:spacing w:after="0"/>
              <w:rPr>
                <w:sz w:val="24"/>
                <w:szCs w:val="24"/>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58,234.1</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230bp</w:t>
            </w:r>
          </w:p>
        </w:tc>
      </w:tr>
      <w:tr>
        <w:trPr>
          <w:trHeight w:val="216"/>
        </w:trPr>
        <w:tc>
          <w:tcPr>
            <w:tcW w:w="31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87,487.5</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65,731.6</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11,915.7</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6,492.8</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370bp</w:t>
            </w:r>
          </w:p>
        </w:tc>
      </w:tr>
      <w:tr>
        <w:trPr>
          <w:trHeight w:val="216"/>
        </w:trPr>
        <w:tc>
          <w:tcPr>
            <w:tcW w:w="31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(14,041.2)</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(21,874.1)</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(11,512.8)</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(19,945.6)</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3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(14,942.6)</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(22,401.7)</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Loss (non-GAAP)</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(12,414.2)</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(20,473.2)</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r>
      <w:tr>
        <w:trPr>
          <w:trHeight w:val="630"/>
        </w:trPr>
        <w:tc>
          <w:tcPr>
            <w:tcW w:w="3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January and February 2026</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delivered 27,182 vehicles and 20,797 vehicles in January and February 2026, respectively. As of February 28, 2026, the Company had delivered 47,979 vehicles in 2026, with cumulative deliveries reaching 1,045,571.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Shenji</w:t>
      </w:r>
    </w:p>
    <w:p>
      <w:pPr>
        <w:spacing w:after="0" w:line="229" w:lineRule="exact"/>
        <w:rPr>
          <w:sz w:val="20"/>
          <w:szCs w:val="20"/>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2026, the Company and GeniTech Co., Ltd. (“Shenji”), a subsidiary of the Company, entered into definitive agreements with certain investors in China, pursuant to which the investors will invest an aggregate of RMB2.257 billion in cash to subscribe for Shenji’s newly issued shares. Shenji is primarily responsible for NIO’s intelligent-driving chip related business. Upon completion of the investment transaction, a subsidiary of NIO will continue to hold a controlling equity interest of 62.7% in Shenji, the investors will collectively hold 27.3%, and certain entities holding shares to administer Shenji’s share incentive plan will collectively hold the remaining 10.0%.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Performance-Based Share Awards to CEO</w:t>
      </w:r>
    </w:p>
    <w:p>
      <w:pPr>
        <w:spacing w:after="0" w:line="229"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2026, the board of directors of the Company approved the adoption of its 2026 Share Incentive Plan and approved a grant thereunder of 248,454,460 restricted share units of the Company to William Bin Li, founder, chairman, and chief executive officer of the Company. These restricted share units are divided into ten equal tranches, the vesting of which is contingent upon the Company’s achievement of specific performance targets relating to market capitalization and net profits, and Mr. Li’s continued service in key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in Controlling Equity Interest in NIO China</w:t>
      </w:r>
    </w:p>
    <w:p>
      <w:pPr>
        <w:spacing w:after="0" w:line="229"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and January 2026, the Company entered into agreements with certain investors of NIO China to purchase their holdings of approximately 1.08% of the equity interest of NIO China, which will be settled in three tranches by September 2026, for a total consideration of no more than RMB1.002 billion. Following the completion of the purchases, the Company expects its controlling equity interest in NIO China to increase to 92.9%.</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CEO and CFO Comments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2025, the Company delivered 124,807 smart electric vehicles, representing a year-over-year increase of 71.7%, with quarterly deliveries of our NIO, ONVO and FIREFLY brands each reaching record highs,” said William Bin Li, founder, chairman and chief executive officer of NIO. “For the full year of 2025, total deliveries across the three brands reached 326,028 units, up 46.9% year over year, reflecting our accelerating growth trajectory. We expect total deliveries in the first quarter of 2026 to be between 80,000 and 83,000 units, representing a year-over-year increase of 90.1% to 97.2%.”</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2025, the competitiveness of our products across three brands was widely recognized within their respective market segments. The NIO All-New ES8 maintained strong delivery momentum, setting a new monthly delivery record among vehicles priced above RMB400,000. The ONVO L90 also delivered outstanding performance, becoming the best-selling large BEV SUV in 2025. Since its launch, the firefly has maintained a leading position in the premium small car segment. At the same time, our in-house developed core smart EV technologies continued to reach mass production and deployment, enhancing product competitiveness while delivering meaningful cost efficiencies. Looking ahead to 2026, we will continue to invest decisively in our twelve full-stack core technologies, launch new models, enhance the commercial and operational capabilities of our battery swapping and charging network, and continue upgrading our sales and service network.” added William Bin Li.</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2025, our vehicle margin reached 18.1%, and other sales margin reached 11.9%. These improvements were primarily driven by the strong delivery and revenue growth, an optimized product mix, and cost reduction and efficiency enhancement initiatives. We achieved non-GAAP operating profit of RMB1,251.3 million for the first time on a quarterly basis in the fourth quarter of 2025, marking a major milestone in our operating performance,” said Stanley Yu Qu, NIO’s chief financial officer. “In 2026, we will continue to enhance operational efficiency and optimize cost, and deliver stronger, more sustainable performance for our users, partners and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Fourth Quarter and Full Year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660" w:right="2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fourth quarter of 2025 were RMB34,650.2 million (US$4,954.9 million), representing an increase of 75.9%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59.0% from the third quarter of 2025.</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for the full year of 2025 were RMB87,487.5 million (US$12,510.5 million), representing an increase of 33.1% from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37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in the fourth quarter of 2025 were RMB31,606.2 million (US$4,519.6 million), representing an increase of 80.9%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64.6% from the third quarter of 2025. The increase in vehicle sales over the fourth quarter of 2024 and the third quarter of 2025 was mainly due to the increase in delivery volume and the higher average selling price driven by a favorable product mix.</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for the full year of 2025 were RMB76,883.9 million (US$10,994.2 million), representing an increase of 32.0% from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78"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sales </w:t>
      </w:r>
      <w:r>
        <w:rPr>
          <w:rFonts w:ascii="Times New Roman" w:cs="Times New Roman" w:eastAsia="Times New Roman" w:hAnsi="Times New Roman"/>
          <w:sz w:val="17"/>
          <w:szCs w:val="17"/>
          <w:color w:val="auto"/>
        </w:rPr>
        <w:t>in the fourth quarter of 2025 were RMB3,044.1 million (US$435.3 million), representing an increase of 36.6% from the fourth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2024 and an increase of 17.5% from the third quarter of 2025. The increase in other sales over the fourth quarter of 2024 was mainly due to</w:t>
      </w:r>
    </w:p>
    <w:p>
      <w:pPr>
        <w:spacing w:after="0" w:line="1" w:lineRule="exact"/>
        <w:rPr>
          <w:rFonts w:ascii="Times New Roman" w:cs="Times New Roman" w:eastAsia="Times New Roman" w:hAnsi="Times New Roman"/>
          <w:sz w:val="17"/>
          <w:szCs w:val="17"/>
          <w:color w:val="auto"/>
        </w:rPr>
      </w:pPr>
    </w:p>
    <w:p>
      <w:pPr>
        <w:jc w:val="both"/>
        <w:ind w:left="660" w:hanging="4"/>
        <w:spacing w:after="0" w:line="253" w:lineRule="auto"/>
        <w:tabs>
          <w:tab w:leader="none" w:pos="9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revenues from sales of used cars and technical research and development services, and (ii) the increase in sales of parts, accessories and after-sales vehicle services as a result of the continued growth in the number of users. The increase in other sales over the third quarter of 2025 was mainly due to (i) the increase in revenues from provision of technical research and development services, and (ii) the increase in sales of parts, accessories and after-sales vehicle services as a result of the continued growth in the number of users.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for the full year of 2025 were RMB10,603.6 million (US$1,516.3 million), representing an increase of 41.4% from the previous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in the fourth quarter of 2025 was RMB28,576.2 million (US$4,086.3 million), representing an increase of 64.3%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52.2% from the third quarter of 2025. The increase in cost of sales over the fourth quarter of 2024 was mainly attributable to the increased delivery volume. The increase in cost of sales over the third quarter of 2025 was mainly attributable to the increased delivery volume and higher average material cost per vehicle driven by changes in product mix.</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for the full year of 2025 was RMB75,571.8 million (US$10,806.6 million), representing an increase of 27.6% from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w:t>
      </w:r>
    </w:p>
    <w:p>
      <w:pPr>
        <w:spacing w:after="0" w:line="37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right="2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fourth quarter of 2025 was RMB6,074.1 million (US$868.6 million), representing an increase of 163.1% from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100.8% from the third quarter of 2025.</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full year of 2025 was RMB11,915.7 million (US$1,703.9 million), representing an increase of 83.5% from the previous year.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317"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Gross margin </w:t>
      </w:r>
      <w:r>
        <w:rPr>
          <w:rFonts w:ascii="Times New Roman" w:cs="Times New Roman" w:eastAsia="Times New Roman" w:hAnsi="Times New Roman"/>
          <w:sz w:val="17"/>
          <w:szCs w:val="17"/>
          <w:color w:val="auto"/>
        </w:rPr>
        <w:t>in the fourth quarter of 2025 was 17.5%, compared with 11.7% in the fourth quarter of 2024 and 13.9% in the third quarter of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increase in gross margin over the fourth quarter of 2024 and the third quarter of 2025 was mainly attributable to the increased vehicle margin.</w:t>
      </w:r>
    </w:p>
    <w:p>
      <w:pPr>
        <w:spacing w:after="0" w:line="1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for the full year of 2025 was 13.6%, compared with 9.9% for the full year of 2024.</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in the fourth quarter of 2025 was 18.1%, compared with 13.1% in the fourth quarter of 2024 and 14.7% in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increase in vehicle margin from the fourth quarter of 2024 and the third quarter of 2025 was mainly attributable to a more favorable product mix.</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for the full year of 2025 was 14.6%, compared with 12.3% for the full year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in the fourth quarter of 2025 were RMB2,026.0 million (US$289.7 million), representing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44.3% from the fourth quarter of 2024 and a decrease of 15.3% from the third quarter of 2025. Excluding share-based compensation expenses, adjusted research and development expenses (non-GAAP) were RMB1,744.9 million (US$249.5 million) in the fourth quarter of 2025, compared with adjusted research and development expenses (non-GAAP) of RMB3,291.7 million in the fourth quarter of 2024 and RMB1,938.9 million in the third quarter of 2025 (which also excluded organizational optimization charges). The decrease in research and development expenses over the fourth quarter of 2024 was mainly due to the decreased personnel costs in research and development functions primarily as a result of organizational optimization, and the decreased design and development costs resulting from different stages of development for new products and technologies. The decrease in research and development expenses over the third quarter of 2025 was mainly due to the decreased personnel costs in research and development functions, also driven by organizational optimization.</w:t>
      </w:r>
    </w:p>
    <w:p>
      <w:pPr>
        <w:spacing w:after="0" w:line="200" w:lineRule="exact"/>
        <w:rPr>
          <w:sz w:val="20"/>
          <w:szCs w:val="20"/>
          <w:color w:val="auto"/>
        </w:rPr>
      </w:pPr>
    </w:p>
    <w:p>
      <w:pPr>
        <w:spacing w:after="0" w:line="20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left="328" w:hanging="328"/>
        <w:spacing w:after="0" w:line="268"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full year of 2025 were RMB10,605.0 million (US$1,516.5 million), representing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18.7% from the previous year. Excluding share-based compensation expenses and organizational optimization charges, adjusted research and development expenses (non-GAAP) were RMB9,087.0 million (US$1,299.4 million), representing a decrease of 22.6% from the previous year.</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in the fourth quarter of 2025 were RMB3,537.4 million (US$505.8 million), representing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of 27.5% from the fourth quarter of 2024 and a decrease of 15.5% from the third quarter of 2025. Excluding share-based compensation expenses, adjusted selling, general and administrative expenses (non-GAAP) were RMB3,388.5 million (US$484.5 million) in the fourth quarter of 2025, compared with adjusted selling, general and administrative expenses (non-GAAP) of RMB4,752.4 million in the fourth quarter of 2024 and RMB3,933.1 million in the third quarter of 2025 (which also excluded organizational optimization charges). The decrease in selling, general and administrative expenses over the fourth quarter of 2024 and the third quarter of 2025 was mainly attributable to the decrease in personnel and related costs in marketing and other supporting functions as a result of organizational optimization, as well as the decrease in sales and marketing activities.</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for the full year of 2025 were RMB16,087.7 million (US$2,300.5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2.2% from the previous year. Excluding share-based compensation expenses and organizational optimization charges, adjusted selling, general and administrative expenses (non-GAAP) were RMB15,215.6 million (US$2,175.8 million), representing an increase of 0.2% from last year.</w:t>
      </w:r>
    </w:p>
    <w:p>
      <w:pPr>
        <w:spacing w:after="0" w:line="396" w:lineRule="exact"/>
        <w:rPr>
          <w:sz w:val="20"/>
          <w:szCs w:val="20"/>
          <w:color w:val="auto"/>
        </w:rPr>
      </w:pPr>
    </w:p>
    <w:p>
      <w:pPr>
        <w:ind w:left="10768"/>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Profit from operations </w:t>
      </w:r>
      <w:r>
        <w:rPr>
          <w:rFonts w:ascii="Times New Roman" w:cs="Times New Roman" w:eastAsia="Times New Roman" w:hAnsi="Times New Roman"/>
          <w:sz w:val="18"/>
          <w:szCs w:val="18"/>
          <w:color w:val="auto"/>
        </w:rPr>
        <w:t>in the fourth quarter of 2025 was RMB807.3 million (US$115.4 million), compared with loss from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RMB6,032.9 million in the fourth quarter of 2024 and RMB3,521.5 million in the third quarter of 2025. Excluding share-based compensation expenses, adjusted profit from operations (non-GAAP) was RMB1,251.3 million (US$178.9 million) in the fourth quarter of 2025, compared with adjusted loss from operations (non-GAAP) of RMB5,543.6 million in the fourth quarter of 2024 and RMB2,776.1 million in the third quarter of 2025 (which also excluded organizational optimization charges).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for the full year of 2025 was RMB14,041.2 million (US$2,007.9 million), representing a decrease of 35.8% from last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share-based compensation expenses and organizational optimization charges, adjusted loss from operations (non-GAAP) was RMB11,512.8 million (US$1,646.3 million) in 2025, representing a decrease of 42.3% from last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Profit/(Loss) and Earnings Per Share/ADS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profit </w:t>
      </w:r>
      <w:r>
        <w:rPr>
          <w:rFonts w:ascii="Times New Roman" w:cs="Times New Roman" w:eastAsia="Times New Roman" w:hAnsi="Times New Roman"/>
          <w:sz w:val="18"/>
          <w:szCs w:val="18"/>
          <w:color w:val="auto"/>
        </w:rPr>
        <w:t>in the fourth quarter of 2025 was RMB282.7 million (US$40.4 million), compared with net loss of RMB7,111.5 million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RMB3,480.5 million in the third quarter of 2025. Excluding share-based compensation expenses, adjusted net profit (non-GAAP) was RMB726.8 million (US$103.9 million) in the fourth quarter of 2025, compared with adjusted net loss (non-GAAP) of RMB6,622.2 million in the fourth quarter of 2024 and RMB2,735.1 million in the third quarter of 2025 (which also excluded organizational optimization charges).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full year of 2025 was RMB14,942.6 million (US$2,136.8 million), compared with net loss of RMB22,401.7 million in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share-based compensation expenses and organizational optimization charges, adjusted net loss (non-GAAP) was RMB12,414.2 million (US$1,775.2 million) in 2025.</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profit attributable to NIO’s ordinary shareholders </w:t>
      </w:r>
      <w:r>
        <w:rPr>
          <w:rFonts w:ascii="Times New Roman" w:cs="Times New Roman" w:eastAsia="Times New Roman" w:hAnsi="Times New Roman"/>
          <w:sz w:val="18"/>
          <w:szCs w:val="18"/>
          <w:color w:val="auto"/>
        </w:rPr>
        <w:t>in the fourth quarter of 2025 was RMB122.4 million (US$17.5 million),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attributable to NIO’s ordinary shareholders of RMB7,131.8 million in the fourth quarter of 2024 and RMB3,660.8 million in the third quarter of 2025. Excluding share-based compensation expenses and accretion on redeemable non-controlling interests to redemption value, adjusted net profit attributable to NIO’s ordinary shareholders (non-GAAP) was RMB728.1 million (US$104.1 million) in the fourth quarter of 2025, compared with adjusted net loss attributable to NIO’s ordinary shareholders (non-GAAP) of RMB6,548.9 million in the fourth quarter of 2024 and RMB2,760.0 million in the third quarter of 2025 (which also excluded organizational optimization charges).</w:t>
      </w:r>
    </w:p>
    <w:p>
      <w:pPr>
        <w:spacing w:after="0" w:line="200" w:lineRule="exact"/>
        <w:rPr>
          <w:sz w:val="20"/>
          <w:szCs w:val="20"/>
          <w:color w:val="auto"/>
        </w:rPr>
      </w:pPr>
    </w:p>
    <w:p>
      <w:pPr>
        <w:spacing w:after="0" w:line="202"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660" w:hanging="328"/>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for the full year of 2025 was RMB15,570.7 million (US$2,226.6 million). The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NIO’s ordinary shareholders was RMB22,657.7 million in 2024. Excluding share-based compensation expenses, organizational optimization charges and accretion on redeemable non-controlling interests to redemption value, adjusted net loss attributable to NIO’s ordinary shareholders (non-GAAP) was RMB12,432.4 million (US$1,777.8 million) in 2025.</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profit per ordinary share/ADS </w:t>
      </w:r>
      <w:r>
        <w:rPr>
          <w:rFonts w:ascii="Times New Roman" w:cs="Times New Roman" w:eastAsia="Times New Roman" w:hAnsi="Times New Roman"/>
          <w:sz w:val="18"/>
          <w:szCs w:val="18"/>
          <w:color w:val="auto"/>
        </w:rPr>
        <w:t>in the fourth quarter of 2025 were both RMB0.05 (US$0.01), compared with basic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net loss per ordinary share/ADS of RMB3.45 in the fourth quarter of 2024 and RMB1.51 in the third quarter of 2025. Excluding share-based compensation expenses and accretion on redeemable non-controlling interests to redemption value, adjusted basic and diluted net profit per share/ADS (non-GAAP) were both RMB0.29 (US$0.04), compared with adjusted basic and diluted net loss per share/ADS (non-GAAP) of RMB3.17 in the fourth quarter of 2024 and RMB1.14 in the third quarter of 2025 (which also excluded organizational optimization charges).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loss per ordinary share/ADS </w:t>
      </w:r>
      <w:r>
        <w:rPr>
          <w:rFonts w:ascii="Times New Roman" w:cs="Times New Roman" w:eastAsia="Times New Roman" w:hAnsi="Times New Roman"/>
          <w:sz w:val="18"/>
          <w:szCs w:val="18"/>
          <w:color w:val="auto"/>
        </w:rPr>
        <w:t>for the full year of 2025 were both RMB6.85 (US$0.98). Excluding share-based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expenses, organizational optimization charges and accretion on redeemable non-controlling interests to redemption value, adjusted basic and diluted net loss per share/ADS (non-GAAP) were both RMB5.47 (US$0.78) in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of cash and cash equivalents, restricted cash, short-term investment and long-term time deposits </w:t>
      </w:r>
      <w:r>
        <w:rPr>
          <w:rFonts w:ascii="Times New Roman" w:cs="Times New Roman" w:eastAsia="Times New Roman" w:hAnsi="Times New Roman"/>
          <w:sz w:val="18"/>
          <w:szCs w:val="18"/>
          <w:color w:val="auto"/>
        </w:rPr>
        <w:t>was RMB45.9 billion (US$6.6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December 31, 2025. Although we achieved a profit from operations in the fourth quarter of 2025, and generated positive operating cash flows in the third and fourth quarter of 2025, we incurred net loss in full year of 2025 and our current liabilities exceeded current assets as of December 31, 2025. Based on our going concern and liquidity assessment, which considers our business plan including revenue growth from the sales of existing and new vehicle models, continuous optimization of operation efficiency to improve operating cash flows, working capital management, the ability to raise funds from banks under available credit quotas and other sources when needed, and uncertainties as to the successful execution of our business plan, we believe that our financial resources, including our available cash and cash equivalents, restricted cash and short-term investments, cash generated from operating activities and funds from available credit quotas and other sources will be sufficient to support our continuous operations in the ordinary course of business for the next twelve months.</w:t>
      </w:r>
    </w:p>
    <w:p>
      <w:pPr>
        <w:spacing w:after="0" w:line="200" w:lineRule="exact"/>
        <w:rPr>
          <w:sz w:val="20"/>
          <w:szCs w:val="20"/>
          <w:color w:val="auto"/>
        </w:rPr>
      </w:pPr>
    </w:p>
    <w:p>
      <w:pPr>
        <w:spacing w:after="0" w:line="20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2026, the Company expects:</w:t>
      </w:r>
    </w:p>
    <w:p>
      <w:pPr>
        <w:spacing w:after="0" w:line="221" w:lineRule="exact"/>
        <w:rPr>
          <w:sz w:val="20"/>
          <w:szCs w:val="20"/>
          <w:color w:val="auto"/>
        </w:rPr>
      </w:pPr>
    </w:p>
    <w:p>
      <w:pPr>
        <w:ind w:left="660" w:hanging="328"/>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80,000 and 83,000 vehicles, representing an increase of approximately 90.1% to 97.2% from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RMB24,482 million (US$3,501 million) and RMB25,176 million (US$3,600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103.4% to 109.2% from the same quarter of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 on the business situation and market condition, which is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 on March 10, 2026 (8:00 PM Beijing/Hong Kong/Singapore Time on March 10,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https://ir.nio.com/news-events/events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37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https://s1.c-conf.com/diamondpass/10053467-woqvpz.html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by phone at the following numbers, until March 17, 2026:</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+1-855-883-1031</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+852-800-930-639</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+86-400-1209-216</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+65-800-1013-223</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+61-7-3107-6325</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10053467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Disclosure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non-GAAP measures, such as adjusted cost of sales (non-GAAP), adjusted research and development expenses (non-GAAP), adjusted selling, general and administrative expenses (non-GAAP), adjusted profit/(loss) from operations (non-GAAP), adjusted net profit/(loss) (non-GAAP), adjusted net profit/(loss) attributable to ordinary shareholders (non-GAAP) and adjusted basic and diluted net profit/(loss) per share/ADS (non-GAAP), in evaluating its operating results and for financial and operational decision-making purposes. The Company defines adjusted cost of sales (non-GAAP), adjusted research and development expenses (non-GAAP), adjusted selling, general and administrative expenses (non-GAAP) and adjusted profit/(loss) from operations (non-GAAP) and adjusted net profit/(loss) (non-GAAP) as cost of sales, research and development expenses, selling, general and administrative expenses, profit/(loss) from operations and net profit/(loss) excluding share-based compensation expenses and organizational optimization charges. The Company defines adjusted net profit/(loss) attributable to ordinary shareholders (non-GAAP) and adjusted basic and diluted profit/(loss) per share/ADS (non-GAAP) as profit/(loss) attributable to ordinary shareholders and basic and diluted profit/(loss) per share/ADS excluding share-based compensation expenses, organizational optimization charges and accretion on redeemable non-controlling interests to redemption value. By excluding the impact of share-based compensation expenses, organizational optimization charges and accretion on redeemable non-controlling interests to redemption value, which are either non-cash or not indicative of the Company’s ordinary or ongoing operations due to their size or nature,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200" w:lineRule="exact"/>
        <w:rPr>
          <w:sz w:val="20"/>
          <w:szCs w:val="20"/>
          <w:color w:val="auto"/>
        </w:rPr>
      </w:pPr>
    </w:p>
    <w:p>
      <w:pPr>
        <w:spacing w:after="0" w:line="212"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profit/(loss) or other consolidated statements of comprehensive profit/(loss) data prepared in accordance with U.S. GAAP. The Company encourages investors and others to review its financial information in its entirety and not rely on a single financial measure.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amounts into U.S. dollars at specified rates solely for the convenience of the reader. Unless otherwise stated, all translations from Renminbi to U.S. dollars were made at the rate of RMB6.9931 to US$1.00, the noon buying rate in effect on December 31, 2025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NIO</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gridSpan w:val="2"/>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19,328,920</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11,274,094</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1,612,174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8,320,728</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14,745,975</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2,108,646</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14,137,566</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19,755,809</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2,825,043</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receivables</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1,676,246</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1,394,445</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199,403</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7,702,404</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16,078,250</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2,299,159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7,087,223</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8,530,854</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1,219,896</w:t>
            </w:r>
          </w:p>
        </w:tc>
        <w:tc>
          <w:tcPr>
            <w:tcW w:w="80" w:type="dxa"/>
            <w:vAlign w:val="bottom"/>
          </w:tcPr>
          <w:p>
            <w:pPr>
              <w:spacing w:after="0"/>
              <w:rPr>
                <w:sz w:val="18"/>
                <w:szCs w:val="18"/>
                <w:color w:val="auto"/>
              </w:rPr>
            </w:pPr>
          </w:p>
        </w:tc>
      </w:tr>
      <w:tr>
        <w:trPr>
          <w:trHeight w:val="22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3,632,956</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4,853,610</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694,057</w:t>
            </w:r>
          </w:p>
        </w:tc>
        <w:tc>
          <w:tcPr>
            <w:tcW w:w="80" w:type="dxa"/>
            <w:vAlign w:val="bottom"/>
            <w:shd w:val="clear" w:color="auto" w:fill="CCEEFF"/>
          </w:tcPr>
          <w:p>
            <w:pPr>
              <w:spacing w:after="0"/>
              <w:rPr>
                <w:sz w:val="19"/>
                <w:szCs w:val="19"/>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61,886,043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76,633,037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10,958,378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97,720</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88,325</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12,630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25,892,904</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25,827,968</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3,693,350</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29,648</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29,648</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201,995</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196,691</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28,126</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3,126,007</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2,480,518</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354,709</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12,797,158</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11,711,306</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1,674,694</w:t>
            </w:r>
          </w:p>
        </w:tc>
        <w:tc>
          <w:tcPr>
            <w:tcW w:w="80" w:type="dxa"/>
            <w:vAlign w:val="bottom"/>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3,573,137</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7,433,585</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1,062,989</w:t>
            </w:r>
          </w:p>
        </w:tc>
        <w:tc>
          <w:tcPr>
            <w:tcW w:w="80" w:type="dxa"/>
            <w:vAlign w:val="bottom"/>
          </w:tcPr>
          <w:p>
            <w:pPr>
              <w:spacing w:after="0"/>
              <w:rPr>
                <w:sz w:val="19"/>
                <w:szCs w:val="19"/>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45,718,569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47,768,041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6,830,738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124,401,078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17,789,116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5,729,561</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4,691,910</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670,934</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34,387,266</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53,309,727</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7,623,190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current</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409,363</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625,903</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89,503</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400,146</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439,240</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62,810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1,945,987</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2,163,768</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309,415</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3,397,622</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655,971</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93,803</w:t>
            </w:r>
          </w:p>
        </w:tc>
        <w:tc>
          <w:tcPr>
            <w:tcW w:w="80" w:type="dxa"/>
            <w:vAlign w:val="bottom"/>
          </w:tcPr>
          <w:p>
            <w:pPr>
              <w:spacing w:after="0"/>
              <w:rPr>
                <w:sz w:val="18"/>
                <w:szCs w:val="18"/>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16,041,079</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16,696,044</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2,387,502</w:t>
            </w:r>
          </w:p>
        </w:tc>
        <w:tc>
          <w:tcPr>
            <w:tcW w:w="80" w:type="dxa"/>
            <w:vAlign w:val="bottom"/>
            <w:shd w:val="clear" w:color="auto" w:fill="CCEEFF"/>
          </w:tcPr>
          <w:p>
            <w:pPr>
              <w:spacing w:after="0"/>
              <w:rPr>
                <w:sz w:val="19"/>
                <w:szCs w:val="19"/>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62,311,024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78,582,563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11,237,157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11,440,755</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8,626,272</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1,233,540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11,260,735</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10,092,039</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1,443,142</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329,492</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604,178</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86,396</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127,467</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112,691</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16,115</w:t>
            </w:r>
          </w:p>
        </w:tc>
        <w:tc>
          <w:tcPr>
            <w:tcW w:w="80" w:type="dxa"/>
            <w:vAlign w:val="bottom"/>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8,628,596</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13,690,778</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1,957,754</w:t>
            </w:r>
          </w:p>
        </w:tc>
        <w:tc>
          <w:tcPr>
            <w:tcW w:w="80" w:type="dxa"/>
            <w:vAlign w:val="bottom"/>
          </w:tcPr>
          <w:p>
            <w:pPr>
              <w:spacing w:after="0"/>
              <w:rPr>
                <w:sz w:val="19"/>
                <w:szCs w:val="19"/>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31,787,045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33,125,958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4,736,947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94,098,069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111,708,521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15,974,104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5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8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gridSpan w:val="2"/>
          </w:tcPr>
          <w:p>
            <w:pPr>
              <w:spacing w:after="0"/>
              <w:rPr>
                <w:sz w:val="19"/>
                <w:szCs w:val="19"/>
                <w:color w:val="auto"/>
              </w:rPr>
            </w:pPr>
          </w:p>
        </w:tc>
      </w:tr>
      <w:tr>
        <w:trPr>
          <w:trHeight w:val="210"/>
        </w:trPr>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7,441,997</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8,551,854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1,222,899</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9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7,441,997</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8,551,854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1,222,899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equity</w:t>
            </w:r>
          </w:p>
        </w:tc>
        <w:tc>
          <w:tcPr>
            <w:tcW w:w="2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5,967,023</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4,159,460</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594,795</w:t>
            </w:r>
          </w:p>
        </w:tc>
        <w:tc>
          <w:tcPr>
            <w:tcW w:w="80" w:type="dxa"/>
            <w:vAlign w:val="bottom"/>
            <w:shd w:val="clear" w:color="auto" w:fill="CCEEFF"/>
          </w:tcPr>
          <w:p>
            <w:pPr>
              <w:spacing w:after="0"/>
              <w:rPr>
                <w:sz w:val="19"/>
                <w:szCs w:val="19"/>
                <w:color w:val="auto"/>
              </w:rPr>
            </w:pPr>
          </w:p>
        </w:tc>
      </w:tr>
      <w:tr>
        <w:trPr>
          <w:trHeight w:val="22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97,523</w:t>
            </w:r>
          </w:p>
        </w:tc>
        <w:tc>
          <w:tcPr>
            <w:tcW w:w="20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6,064,546</w:t>
            </w:r>
          </w:p>
        </w:tc>
        <w:tc>
          <w:tcPr>
            <w:tcW w:w="2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4,140,703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50"/>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9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2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124,401,078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17,789,116</w:t>
            </w:r>
          </w:p>
        </w:tc>
        <w:tc>
          <w:tcPr>
            <w:tcW w:w="8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5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660" w:type="dxa"/>
            <w:vAlign w:val="bottom"/>
          </w:tcPr>
          <w:p>
            <w:pPr>
              <w:spacing w:after="0"/>
              <w:rPr>
                <w:sz w:val="23"/>
                <w:szCs w:val="23"/>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4660" w:type="dxa"/>
            <w:vAlign w:val="bottom"/>
          </w:tcPr>
          <w:p>
            <w:pPr>
              <w:spacing w:after="0"/>
              <w:rPr>
                <w:sz w:val="18"/>
                <w:szCs w:val="18"/>
                <w:color w:val="auto"/>
              </w:rPr>
            </w:pPr>
          </w:p>
        </w:tc>
        <w:tc>
          <w:tcPr>
            <w:tcW w:w="14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17,475,587</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19,202,278</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31,606,179</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4,519,623</w:t>
            </w:r>
          </w:p>
        </w:tc>
      </w:tr>
      <w:tr>
        <w:trPr>
          <w:trHeight w:val="22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2,227,840</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2,591,597</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3,044,062</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435,295</w:t>
            </w:r>
          </w:p>
        </w:tc>
      </w:tr>
      <w:tr>
        <w:trPr>
          <w:trHeight w:val="20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19,703,427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21,793,875</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34,650,241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4,954,918</w:t>
            </w:r>
          </w:p>
        </w:tc>
        <w:tc>
          <w:tcPr>
            <w:tcW w:w="100" w:type="dxa"/>
            <w:vAlign w:val="bottom"/>
            <w:tcBorders>
              <w:bottom w:val="single" w:sz="8" w:color="CCEEFF"/>
            </w:tcBorders>
          </w:tcPr>
          <w:p>
            <w:pPr>
              <w:spacing w:after="0"/>
              <w:rPr>
                <w:sz w:val="18"/>
                <w:szCs w:val="18"/>
                <w:color w:val="auto"/>
              </w:rPr>
            </w:pPr>
          </w:p>
        </w:tc>
      </w:tr>
      <w:tr>
        <w:trPr>
          <w:trHeight w:val="23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(15,190,937)</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(16,378,772)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(25,893,175)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(3,702,675)</w:t>
            </w: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(2,203,547)</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(2,390,534)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(2,683,007)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(383,665)</w:t>
            </w:r>
          </w:p>
        </w:tc>
      </w:tr>
      <w:tr>
        <w:trPr>
          <w:trHeight w:val="20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(17,394,484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(18,769,306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(28,576,182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(4,086,340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2,308,943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3,024,569</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868,578</w:t>
            </w:r>
          </w:p>
        </w:tc>
        <w:tc>
          <w:tcPr>
            <w:tcW w:w="10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(3,635,826)</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(2,390,604)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(2,025,954)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(4,877,995)</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(4,184,675)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(3,537,388)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(505,840)</w:t>
            </w: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171,943</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29,188</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296,553</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42,407</w:t>
            </w:r>
          </w:p>
        </w:tc>
      </w:tr>
      <w:tr>
        <w:trPr>
          <w:trHeight w:val="20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(8,341,878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(6,546,091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(5,266,789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(753,141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(6,032,935)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(3,521,522)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807,270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115,437</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(loss)/income</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(169,919)</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354,396</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126,517</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18,092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(247,586)</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(222,508)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6,846</w:t>
            </w:r>
          </w:p>
        </w:tc>
        <w:tc>
          <w:tcPr>
            <w:tcW w:w="8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of equity investees</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(210,442)</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(182,083)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(529,242)</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(75,681)</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(loss)/income, net</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(527,524)</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148,261</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100,586</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14,384</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before income tax expense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(7,181,560)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(3,423,456)</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70,089</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(57,029)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(7,111,471)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(3,480,485)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282,718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40,428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on redeemable non-controlling interests to</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(93,570)</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(155,369)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(161,624)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(23,112)</w:t>
            </w: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73,272</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(24,899)</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1,349</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193</w:t>
            </w:r>
          </w:p>
        </w:tc>
      </w:tr>
      <w:tr>
        <w:trPr>
          <w:trHeight w:val="174"/>
        </w:trPr>
        <w:tc>
          <w:tcPr>
            <w:tcW w:w="46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(loss)/profit attributable to ordinary shareholders of</w:t>
            </w:r>
          </w:p>
        </w:tc>
        <w:tc>
          <w:tcPr>
            <w:tcW w:w="1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5"/>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(7,131,769)</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(3,660,753)</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122,443</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17,509</w:t>
            </w:r>
          </w:p>
        </w:tc>
      </w:tr>
      <w:tr>
        <w:trPr>
          <w:trHeight w:val="197"/>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(loss)/profit</w:t>
            </w: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(7,111,471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(3,480,485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282,718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40,428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351,100</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(141,362)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r>
      <w:tr>
        <w:trPr>
          <w:trHeight w:val="21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351,100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(141,362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(121,977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(6,760,371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(3,621,847</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22,986</w:t>
            </w:r>
          </w:p>
        </w:tc>
        <w:tc>
          <w:tcPr>
            <w:tcW w:w="100" w:type="dxa"/>
            <w:vAlign w:val="bottom"/>
            <w:shd w:val="clear" w:color="auto" w:fill="CCEEFF"/>
          </w:tcPr>
          <w:p>
            <w:pPr>
              <w:spacing w:after="0"/>
              <w:rPr>
                <w:sz w:val="18"/>
                <w:szCs w:val="18"/>
                <w:color w:val="auto"/>
              </w:rPr>
            </w:pPr>
          </w:p>
        </w:tc>
      </w:tr>
      <w:tr>
        <w:trPr>
          <w:trHeight w:val="178"/>
        </w:trPr>
        <w:tc>
          <w:tcPr>
            <w:tcW w:w="46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Accretion on redeemable non-controlling interests to</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(93,570)</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(155,369)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(161,624)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(23,112)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73,272</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(24,899)</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1,349</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193</w:t>
            </w: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5"/>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NIO Inc.</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(6,780,669)</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(3,802,115)</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466</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147"/>
        </w:trPr>
        <w:tc>
          <w:tcPr>
            <w:tcW w:w="46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shares/ADSs used</w:t>
            </w:r>
          </w:p>
        </w:tc>
        <w:tc>
          <w:tcPr>
            <w:tcW w:w="1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23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 computing net loss per share/ADS</w:t>
            </w: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2,068,453,952</w:t>
            </w:r>
          </w:p>
        </w:tc>
        <w:tc>
          <w:tcPr>
            <w:tcW w:w="17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2,428,558,076</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2,469,498,703</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2,469,498,703</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2,068,453,952</w:t>
            </w:r>
          </w:p>
        </w:tc>
        <w:tc>
          <w:tcPr>
            <w:tcW w:w="17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2,428,558,076</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2,510,927,676</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2,510,927,676</w:t>
            </w: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(loss)/profit per share/ADS attributable to ordinary</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(3.45)</w:t>
            </w:r>
          </w:p>
        </w:tc>
        <w:tc>
          <w:tcPr>
            <w:tcW w:w="17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w:t>
            </w:r>
          </w:p>
        </w:tc>
        <w:tc>
          <w:tcPr>
            <w:tcW w:w="1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0.05</w:t>
            </w: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(3.45)</w:t>
            </w:r>
          </w:p>
        </w:tc>
        <w:tc>
          <w:tcPr>
            <w:tcW w:w="17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(1.51)</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0.05</w:t>
            </w: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r>
      <w:tr>
        <w:trPr>
          <w:trHeight w:val="630"/>
        </w:trPr>
        <w:tc>
          <w:tcPr>
            <w:tcW w:w="4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tcPr>
          <w:p>
            <w:pPr>
              <w:spacing w:after="0"/>
              <w:rPr>
                <w:sz w:val="24"/>
                <w:szCs w:val="24"/>
                <w:color w:val="auto"/>
              </w:rPr>
            </w:pPr>
          </w:p>
        </w:tc>
        <w:tc>
          <w:tcPr>
            <w:tcW w:w="4260" w:type="dxa"/>
            <w:vAlign w:val="bottom"/>
            <w:gridSpan w:val="6"/>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 sales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58,234,086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76,883,876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10,994,248</w:t>
            </w:r>
          </w:p>
        </w:tc>
      </w:tr>
      <w:tr>
        <w:trPr>
          <w:trHeight w:val="22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sales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7,497,473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10,603,634</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1,516,299</w:t>
            </w: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65,731,559</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87,487,510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12,510,547</w:t>
            </w:r>
          </w:p>
        </w:tc>
        <w:tc>
          <w:tcPr>
            <w:tcW w:w="10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 sales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(51,094,616)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(65,670,810)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(9,390,801)</w:t>
            </w:r>
          </w:p>
        </w:tc>
      </w:tr>
      <w:tr>
        <w:trPr>
          <w:trHeight w:val="22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sales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(8,144,181)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(9,900,995)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(1,415,823)</w:t>
            </w: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(59,238,797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(75,571,805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(10,806,624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6,492,762</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11,915,705</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1,703,923</w:t>
            </w:r>
          </w:p>
        </w:tc>
        <w:tc>
          <w:tcPr>
            <w:tcW w:w="10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(13,037,304)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(10,604,993)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(1,516,494)</w:t>
            </w: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(15,741,057)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(16,087,747)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(2,300,517)</w:t>
            </w: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income</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411,526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735,797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105,218</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(28,366,835)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(25,956,943)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(3,711,793)</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(21,874,073)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(14,041,238)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(2,007,870)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853,728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761,658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108,916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(798,363)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(885,248)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of equity investees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(503,193)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(1,092,184)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(156,180)</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(loss)/income, net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(98,143)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450,953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64,485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(22,424,524)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(14,820,719)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22,815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(121,882)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(17,429)</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(22,401,709)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(14,942,601)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(347,516)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(609,857)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(87,208)</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91,533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(18,220)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NIO Inc.</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(22,657,692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(15,570,678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(2,226,576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6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(22,401,709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(14,942,601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(2,136,763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149,668</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149,668</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(22,252,041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(14,945,461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(609,857)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91,533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(18,220)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8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 of NIO Inc.</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(22,508,024)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(15,573,538)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(2,226,985)</w:t>
            </w:r>
          </w:p>
        </w:tc>
      </w:tr>
      <w:tr>
        <w:trPr>
          <w:trHeight w:val="197"/>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shares/ADS used in computing net loss per share</w:t>
            </w: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2,054,614,522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2,272,635,997</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2,272,635,997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share/ADS attributable to ordinary shareholders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630"/>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2025</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Accretion 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10"/>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(28,576,182)</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14,098</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(28,562,084)</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(2,025,954)</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281,102</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(1,744,852)</w:t>
            </w:r>
          </w:p>
        </w:tc>
      </w:tr>
      <w:tr>
        <w:trPr>
          <w:trHeight w:val="23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(3,537,388)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148,868</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(3,388,520)</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444,068</w:t>
            </w:r>
          </w:p>
        </w:tc>
        <w:tc>
          <w:tcPr>
            <w:tcW w:w="220" w:type="dxa"/>
            <w:vAlign w:val="bottom"/>
          </w:tcPr>
          <w:p>
            <w:pPr>
              <w:spacing w:after="0"/>
              <w:rPr>
                <w:sz w:val="18"/>
                <w:szCs w:val="18"/>
                <w:color w:val="auto"/>
              </w:rPr>
            </w:pPr>
          </w:p>
        </w:tc>
        <w:tc>
          <w:tcPr>
            <w:tcW w:w="152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(33,695,456)</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from operations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807,270</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444,068</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1,251,338</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282,718</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444,068</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726,786</w:t>
            </w:r>
          </w:p>
        </w:tc>
      </w:tr>
      <w:tr>
        <w:trPr>
          <w:trHeight w:val="216"/>
        </w:trPr>
        <w:tc>
          <w:tcPr>
            <w:tcW w:w="5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attributable to ordinary shareholders of NIO Inc.</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122,443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444,068</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728,135</w:t>
            </w:r>
          </w:p>
        </w:tc>
      </w:tr>
      <w:tr>
        <w:trPr>
          <w:trHeight w:val="198"/>
        </w:trPr>
        <w:tc>
          <w:tcPr>
            <w:tcW w:w="52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Net profit per share/ADS attributable to ordinary shareholders, basic</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diluted (RMB)</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r>
      <w:tr>
        <w:trPr>
          <w:trHeight w:val="198"/>
        </w:trPr>
        <w:tc>
          <w:tcPr>
            <w:tcW w:w="52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profit per share/ADS attributable to ordinary shareholders, basic</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 (USD)</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432"/>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optimization</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charges</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38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(18,769,306)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26,129</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(18,727,189)</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(2,390,604)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279,090</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172,594</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(1,938,920)</w:t>
            </w:r>
          </w:p>
        </w:tc>
      </w:tr>
      <w:tr>
        <w:trPr>
          <w:trHeight w:val="23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(4,184,675)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154,467</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97,113</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(3,933,095)</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(25,344,585)</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295,836</w:t>
            </w:r>
          </w:p>
        </w:tc>
        <w:tc>
          <w:tcPr>
            <w:tcW w:w="220" w:type="dxa"/>
            <w:vAlign w:val="bottom"/>
          </w:tcPr>
          <w:p>
            <w:pPr>
              <w:spacing w:after="0"/>
              <w:rPr>
                <w:sz w:val="18"/>
                <w:szCs w:val="18"/>
                <w:color w:val="auto"/>
              </w:rPr>
            </w:pPr>
          </w:p>
        </w:tc>
        <w:tc>
          <w:tcPr>
            <w:tcW w:w="152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(24,599,204)</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(3,521,522)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449,545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295,836</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(2,776,141)</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(3,480,485)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449,545</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295,836</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(2,735,104)</w:t>
            </w:r>
          </w:p>
        </w:tc>
      </w:tr>
      <w:tr>
        <w:trPr>
          <w:trHeight w:val="198"/>
        </w:trPr>
        <w:tc>
          <w:tcPr>
            <w:tcW w:w="4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 shareholders 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NIO Inc.</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(3,660,753)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449,545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295,836</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155,369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(2,760,003)</w:t>
            </w:r>
          </w:p>
        </w:tc>
      </w:tr>
      <w:tr>
        <w:trPr>
          <w:trHeight w:val="198"/>
        </w:trPr>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439"/>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2024</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10"/>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(17,394,484)</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19,641</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(17,374,843)</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(3,635,826)</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344,088</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(3,291,738)</w:t>
            </w:r>
          </w:p>
        </w:tc>
      </w:tr>
      <w:tr>
        <w:trPr>
          <w:trHeight w:val="23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(4,877,995)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125,564</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(4,752,431)</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(25,908,305)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489,293</w:t>
            </w:r>
          </w:p>
        </w:tc>
        <w:tc>
          <w:tcPr>
            <w:tcW w:w="220" w:type="dxa"/>
            <w:vAlign w:val="bottom"/>
          </w:tcPr>
          <w:p>
            <w:pPr>
              <w:spacing w:after="0"/>
              <w:rPr>
                <w:sz w:val="18"/>
                <w:szCs w:val="18"/>
                <w:color w:val="auto"/>
              </w:rPr>
            </w:pPr>
          </w:p>
        </w:tc>
        <w:tc>
          <w:tcPr>
            <w:tcW w:w="152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(25,419,012)</w:t>
            </w:r>
          </w:p>
        </w:tc>
        <w:tc>
          <w:tcPr>
            <w:tcW w:w="1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(6,032,935)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489,293</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(5,543,642)</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(7,111,471)</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489,293</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(6,622,178)</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(7,131,769)</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489,293</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93,570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(6,548,906)</w:t>
            </w:r>
          </w:p>
        </w:tc>
      </w:tr>
      <w:tr>
        <w:trPr>
          <w:trHeight w:val="198"/>
        </w:trPr>
        <w:tc>
          <w:tcPr>
            <w:tcW w:w="52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 basic and</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(RMB)</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648"/>
        </w:trPr>
        <w:tc>
          <w:tcPr>
            <w:tcW w:w="3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40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optimization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redemption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408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charges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(75,571,805)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57,954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(75,433,440)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(10,604,993)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1,129,859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388,126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(9,087,008)</w:t>
            </w: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(16,087,747)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602,914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269,187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(15,215,646)</w:t>
            </w: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(102,264,545)</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1,790,727</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737,724</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(99,736,094)</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(14,041,238)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1,790,727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737,724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(11,512,787)</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(14,942,601)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1,790,727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737,724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(12,414,150)</w:t>
            </w: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 shareholders of NIO</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(15,570,678)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1,790,727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737,724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609,857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(12,432,370)</w:t>
            </w: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shareholders, basic and diluted (RMB)</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 basic and diluted (USD)</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(All amounts in thousands, except for share and per share data/ADS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472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interests to</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Result</w:t>
            </w:r>
          </w:p>
        </w:tc>
      </w:tr>
      <w:tr>
        <w:trPr>
          <w:trHeight w:val="238"/>
        </w:trPr>
        <w:tc>
          <w:tcPr>
            <w:tcW w:w="472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2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redemption value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(Non-GAAP)</w:t>
            </w:r>
          </w:p>
        </w:tc>
      </w:tr>
      <w:tr>
        <w:trPr>
          <w:trHeight w:val="210"/>
        </w:trPr>
        <w:tc>
          <w:tcPr>
            <w:tcW w:w="47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(59,238,797)</w:t>
            </w:r>
          </w:p>
        </w:tc>
        <w:tc>
          <w:tcPr>
            <w:tcW w:w="2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71,779</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(59,167,018)</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(13,037,304)</w:t>
            </w:r>
          </w:p>
        </w:tc>
        <w:tc>
          <w:tcPr>
            <w:tcW w:w="2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1,296,136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(11,741,168)</w:t>
            </w: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(15,741,057)</w:t>
            </w:r>
          </w:p>
        </w:tc>
        <w:tc>
          <w:tcPr>
            <w:tcW w:w="2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560,597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(15,180,460)</w:t>
            </w: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(88,017,158)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1,928,512</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(86,088,646)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(21,874,073)</w:t>
            </w:r>
          </w:p>
        </w:tc>
        <w:tc>
          <w:tcPr>
            <w:tcW w:w="2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1,928,512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(19,945,561)</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(22,401,709)</w:t>
            </w:r>
          </w:p>
        </w:tc>
        <w:tc>
          <w:tcPr>
            <w:tcW w:w="2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1,928,512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(20,473,197)</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(22,657,692)</w:t>
            </w:r>
          </w:p>
        </w:tc>
        <w:tc>
          <w:tcPr>
            <w:tcW w:w="2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1,928,512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347,516</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(20,381,664)</w:t>
            </w: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 (RMB)</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(11.03)</w:t>
            </w:r>
          </w:p>
        </w:tc>
        <w:tc>
          <w:tcPr>
            <w:tcW w:w="2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0.94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right="160" w:firstLine="8"/>
        <w:spacing w:after="0" w:line="195" w:lineRule="auto"/>
        <w:tabs>
          <w:tab w:leader="none" w:pos="87"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the fourth quarter and full year of 2025 were made at the rate of RMB6.9931 to US$1.00, the noon buying rate in effect on December 31, 2025 in the H.10 statistical release of the Federal Reserve Board.</w:t>
      </w:r>
    </w:p>
    <w:p>
      <w:pPr>
        <w:spacing w:after="0" w:line="1" w:lineRule="exact"/>
        <w:rPr>
          <w:rFonts w:ascii="Times New Roman" w:cs="Times New Roman" w:eastAsia="Times New Roman" w:hAnsi="Times New Roman"/>
          <w:sz w:val="30"/>
          <w:szCs w:val="30"/>
          <w:color w:val="auto"/>
          <w:vertAlign w:val="superscript"/>
        </w:rPr>
      </w:pPr>
    </w:p>
    <w:p>
      <w:pPr>
        <w:ind w:right="780"/>
        <w:spacing w:after="0" w:line="22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color w:val="auto"/>
        </w:rPr>
        <w:t xml:space="preserve"> Vehicle margin is the margin of new vehicle sales, which is calculated based on revenues and cost of sales derived from new vehicle sales only. </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color w:val="auto"/>
        </w:rPr>
        <w:t xml:space="preserve"> Except for gross margin and vehicle margin, where absolute changes instead of percentage changes are calculated.</w:t>
      </w:r>
    </w:p>
    <w:p>
      <w:pPr>
        <w:spacing w:after="0" w:line="320"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2)"/>
      <w:numFmt w:val="lowerRoman"/>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2026-03-10T06:02:24Z</dcterms:created>
  <dcterms:modified xsi:type="dcterms:W3CDTF">2026-03-10T06:02:24Z</dcterms:modified>
</cp:coreProperties>
</file>