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203835</wp:posOffset>
            </wp:positionH>
            <wp:positionV relativeFrom="page">
              <wp:posOffset>217170</wp:posOffset>
            </wp:positionV>
            <wp:extent cx="714121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1587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249555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ind w:left="476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2680335</wp:posOffset>
            </wp:positionH>
            <wp:positionV relativeFrom="paragraph">
              <wp:posOffset>163830</wp:posOffset>
            </wp:positionV>
            <wp:extent cx="1781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0"/>
          <w:szCs w:val="30"/>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2680335</wp:posOffset>
            </wp:positionH>
            <wp:positionV relativeFrom="paragraph">
              <wp:posOffset>186690</wp:posOffset>
            </wp:positionV>
            <wp:extent cx="1781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2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PURSUANT TO RULE 13a-16 OR 15d-16 UNDER</w:t>
      </w:r>
    </w:p>
    <w:p>
      <w:pPr>
        <w:spacing w:after="0" w:line="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8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 the month of July 2022</w:t>
      </w:r>
    </w:p>
    <w:p>
      <w:pPr>
        <w:spacing w:after="0" w:line="209"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2680335</wp:posOffset>
            </wp:positionH>
            <wp:positionV relativeFrom="paragraph">
              <wp:posOffset>177800</wp:posOffset>
            </wp:positionV>
            <wp:extent cx="1781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30"/>
          <w:szCs w:val="30"/>
          <w:b w:val="1"/>
          <w:bCs w:val="1"/>
          <w:color w:val="auto"/>
        </w:rPr>
        <w:t>NIO Inc.</w:t>
      </w:r>
    </w:p>
    <w:p>
      <w:pPr>
        <w:spacing w:after="0" w:line="4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7"/>
          <w:szCs w:val="17"/>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2680335</wp:posOffset>
            </wp:positionH>
            <wp:positionV relativeFrom="paragraph">
              <wp:posOffset>163830</wp:posOffset>
            </wp:positionV>
            <wp:extent cx="1781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Building 20, 56 Antuo Road</w:t>
      </w:r>
    </w:p>
    <w:p>
      <w:pPr>
        <w:spacing w:after="0" w:line="2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Jiading District, Shanghai 201804</w:t>
      </w:r>
    </w:p>
    <w:p>
      <w:pPr>
        <w:spacing w:after="0" w:line="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People’s Republic of China</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2680335</wp:posOffset>
            </wp:positionH>
            <wp:positionV relativeFrom="paragraph">
              <wp:posOffset>165100</wp:posOffset>
            </wp:positionV>
            <wp:extent cx="1781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81" w:lineRule="exact"/>
        <w:rPr>
          <w:sz w:val="24"/>
          <w:szCs w:val="24"/>
          <w:color w:val="auto"/>
        </w:rPr>
      </w:pPr>
    </w:p>
    <w:p>
      <w:pPr>
        <w:ind w:left="4580"/>
        <w:spacing w:after="0" w:line="196" w:lineRule="exact"/>
        <w:tabs>
          <w:tab w:leader="none" w:pos="5740" w:val="left"/>
        </w:tabs>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224155</wp:posOffset>
            </wp:positionV>
            <wp:extent cx="714121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513080</wp:posOffset>
            </wp:positionV>
            <wp:extent cx="714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658" w:right="1440" w:bottom="1440" w:gutter="0" w:footer="0" w:header="0"/>
        </w:sectPr>
      </w:pPr>
    </w:p>
    <w:bookmarkStart w:id="1" w:name="page2"/>
    <w:bookmarkEnd w:id="1"/>
    <w:p>
      <w:pPr>
        <w:jc w:val="right"/>
        <w:ind w:right="3859"/>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99.1 — Press Release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99.2 — Notice of Annual General Meeting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99.3 — Notice of Class C Meeting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99.4 — Notice of Class A Meeting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99.5 — Proxy Card for Annual General Meeting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99.6 — Proxy Card for Class C Meeting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99.7 — Proxy Card for Class A Meeting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99.8 — Voting Card for ADS Holders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99.9 — CDP Depositor Proxy 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405765</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852"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3" w:lineRule="exact"/>
        <w:rPr>
          <w:sz w:val="20"/>
          <w:szCs w:val="20"/>
          <w:color w:val="auto"/>
        </w:rPr>
      </w:pPr>
    </w:p>
    <w:p>
      <w:pPr>
        <w:ind w:firstLine="607"/>
        <w:spacing w:after="0" w:line="27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5" w:lineRule="exact"/>
        <w:rPr>
          <w:sz w:val="20"/>
          <w:szCs w:val="20"/>
          <w:color w:val="auto"/>
        </w:rPr>
      </w:pPr>
    </w:p>
    <w:tbl>
      <w:tblPr>
        <w:tblLayout w:type="fixed"/>
        <w:tblInd w:w="562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99"/>
              </w:rPr>
              <w:t>NIO Inc.</w:t>
            </w:r>
          </w:p>
        </w:tc>
        <w:tc>
          <w:tcPr>
            <w:tcW w:w="34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404"/>
        </w:trPr>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By</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83"/>
              </w:rPr>
              <w:t>:</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Wei Feng</w:t>
            </w:r>
          </w:p>
        </w:tc>
      </w:tr>
      <w:tr>
        <w:trPr>
          <w:trHeight w:val="179"/>
        </w:trPr>
        <w:tc>
          <w:tcPr>
            <w:tcW w:w="660" w:type="dxa"/>
            <w:vAlign w:val="bottom"/>
          </w:tcPr>
          <w:p>
            <w:pPr>
              <w:ind w:left="160"/>
              <w:spacing w:after="0" w:line="179" w:lineRule="exact"/>
              <w:rPr>
                <w:sz w:val="20"/>
                <w:szCs w:val="20"/>
                <w:color w:val="auto"/>
              </w:rPr>
            </w:pPr>
            <w:r>
              <w:rPr>
                <w:rFonts w:ascii="Times New Roman" w:cs="Times New Roman" w:eastAsia="Times New Roman" w:hAnsi="Times New Roman"/>
                <w:sz w:val="17"/>
                <w:szCs w:val="17"/>
                <w:color w:val="auto"/>
              </w:rPr>
              <w:t>Name</w:t>
            </w:r>
          </w:p>
        </w:tc>
        <w:tc>
          <w:tcPr>
            <w:tcW w:w="340" w:type="dxa"/>
            <w:vAlign w:val="bottom"/>
          </w:tcPr>
          <w:p>
            <w:pPr>
              <w:jc w:val="right"/>
              <w:ind w:right="196"/>
              <w:spacing w:after="0" w:line="179" w:lineRule="exact"/>
              <w:rPr>
                <w:sz w:val="20"/>
                <w:szCs w:val="20"/>
                <w:color w:val="auto"/>
              </w:rPr>
            </w:pPr>
            <w:r>
              <w:rPr>
                <w:rFonts w:ascii="Times New Roman" w:cs="Times New Roman" w:eastAsia="Times New Roman" w:hAnsi="Times New Roman"/>
                <w:sz w:val="17"/>
                <w:szCs w:val="17"/>
                <w:color w:val="auto"/>
                <w:w w:val="83"/>
              </w:rPr>
              <w:t>:</w:t>
            </w:r>
          </w:p>
        </w:tc>
        <w:tc>
          <w:tcPr>
            <w:tcW w:w="462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Wei Feng</w:t>
            </w:r>
          </w:p>
        </w:tc>
      </w:tr>
      <w:tr>
        <w:trPr>
          <w:trHeight w:val="218"/>
        </w:trPr>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Title</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83"/>
              </w:rPr>
              <w:t>:</w:t>
            </w:r>
          </w:p>
        </w:tc>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July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415925</wp:posOffset>
            </wp:positionV>
            <wp:extent cx="7141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NIO to Hold Annual General Meeting and Class Meetings on August 25, 2022</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333333"/>
        </w:rPr>
        <w:t xml:space="preserve">Shanghai, China, July 26, 2022 -- (GLOBE NEWSWIRE) -- NIO Inc. (NYSE: NIO; HKEX: 9866; SGX: NIO) (“NIO” or the “Company”), a pioneer and a leading company in the premium smart electric vehicle market, today published a notice to announce that it will hold an annual general meeting (the “AGM”) of shareholders (the “Notice of AGM”) at 10:30 am, Beijing time, on August 25, 2022 at Building 16, No. 56 AnTuo Road, Anting Town, Jiading District, Shanghai 201804, People’s Republic of China </w:t>
      </w:r>
      <w:r>
        <w:rPr>
          <w:rFonts w:ascii="Times New Roman" w:cs="Times New Roman" w:eastAsia="Times New Roman" w:hAnsi="Times New Roman"/>
          <w:sz w:val="17"/>
          <w:szCs w:val="17"/>
          <w:color w:val="000000"/>
        </w:rPr>
        <w:t>(or soon after the Class C Meeting and the Class A Meeting, both of which are defined below), for the purposes of considering and, if thought fit,</w:t>
      </w:r>
      <w:r>
        <w:rPr>
          <w:rFonts w:ascii="Times New Roman" w:cs="Times New Roman" w:eastAsia="Times New Roman" w:hAnsi="Times New Roman"/>
          <w:sz w:val="17"/>
          <w:szCs w:val="17"/>
          <w:color w:val="333333"/>
        </w:rPr>
        <w:t xml:space="preserve"> </w:t>
      </w:r>
      <w:r>
        <w:rPr>
          <w:rFonts w:ascii="Times New Roman" w:cs="Times New Roman" w:eastAsia="Times New Roman" w:hAnsi="Times New Roman"/>
          <w:sz w:val="17"/>
          <w:szCs w:val="17"/>
          <w:color w:val="000000"/>
        </w:rPr>
        <w:t xml:space="preserve">passing the Proposed Resolutions set forth in the Notice of AGM. The Notice of AGM and form of proxy for the AGM are available on the Company’s website at </w:t>
      </w:r>
      <w:r>
        <w:rPr>
          <w:rFonts w:ascii="Times New Roman" w:cs="Times New Roman" w:eastAsia="Times New Roman" w:hAnsi="Times New Roman"/>
          <w:sz w:val="17"/>
          <w:szCs w:val="17"/>
          <w:u w:val="single" w:color="auto"/>
          <w:color w:val="000000"/>
        </w:rPr>
        <w:t>https://ir.nio.com</w:t>
      </w:r>
      <w:r>
        <w:rPr>
          <w:rFonts w:ascii="Times New Roman" w:cs="Times New Roman" w:eastAsia="Times New Roman" w:hAnsi="Times New Roman"/>
          <w:sz w:val="17"/>
          <w:szCs w:val="17"/>
          <w:color w:val="000000"/>
        </w:rPr>
        <w:t>. The board of directors of NIO fully supports the Proposed Resolutions and recommends that shareholders and holders of ADSs vote in favor of the resolutions set out in the Notice of AGM.</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The Company will hold a class meeting of holders of the Class C ordinary shares with a par value of US$0.00025 each (the “Class C Meeting”) and a class meeting of holders of Class A ordinary shares with a par value of US$0.00025 each (the “Class A Meeting”) for the purposes of considering and, if thought fit, passing the Class-based Resolution set forth respectively in the notice of each of the Class C Meeting and the Class A Meeting. Each of the Class C Meeting and the Class A Meeting will be held at the same venue and on the same date as the AGM, with the Class C Meeting to be held at 10:00 a.m. (Beijing time) and the Class A Meeting at 10:15 a.m. (Beijing time) (or soon after the Class C Meeting). The notice and form of proxy for each of the Class C Meeting and the Class A Meeting are available on the Company’s website at </w:t>
      </w:r>
      <w:r>
        <w:rPr>
          <w:rFonts w:ascii="Times New Roman" w:cs="Times New Roman" w:eastAsia="Times New Roman" w:hAnsi="Times New Roman"/>
          <w:sz w:val="17"/>
          <w:szCs w:val="17"/>
          <w:u w:val="single" w:color="auto"/>
          <w:color w:val="auto"/>
        </w:rPr>
        <w:t>https://ir.nio.com</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 xml:space="preserve">Holders of record of ordinary shares of the Company at the close of business on Friday, July 22, 2022 (Hong Kong time) are entitled to attend and vote at the AGM or any adjournment or postponement thereof, and, as applicable, the Class C Meeting or the Class A Meeting. Holders of the Company’s American depositary shares (“ADSs”) as of the close of business on July 22, 2022 (New York time) who wish to exercise their voting rights for the underlying Class A ordinary shares must act through the depositary of the Company’s ADS program, Deutsche Bank Trust Company Americas. Holders of Class A ordinary shares which are held through (either directly or through depository agents) securities accounts maintained with The Central Depository (Pte) Limited (Singapore) (the “NIO CDP Depositors”) may </w:t>
      </w:r>
      <w:r>
        <w:rPr>
          <w:rFonts w:ascii="Times New Roman" w:cs="Times New Roman" w:eastAsia="Times New Roman" w:hAnsi="Times New Roman"/>
          <w:sz w:val="17"/>
          <w:szCs w:val="17"/>
          <w:color w:val="333333"/>
        </w:rPr>
        <w:t>provide instructions as to voting, or abstentions from voting, or be appointed as CDP's proxy to attend and cast votes at the AGM and/or Class A Meeting</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333333"/>
        </w:rPr>
        <w:t xml:space="preserve"> NIO CDP Depositors may refer to the Notice of AGM for further information on attendance and voting arrangements.</w:t>
      </w:r>
    </w:p>
    <w:p>
      <w:pPr>
        <w:spacing w:after="0" w:line="1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333333"/>
        </w:rPr>
        <w:t xml:space="preserve">NIO has filed its annual report on Form 20-F, including its audited financial statements, for the fiscal year ended December 31, 2021, with the U.S. Securities and Exchange Commission. NIO’s Form 20-F can be accessed on the Company’s website at </w:t>
      </w:r>
      <w:r>
        <w:rPr>
          <w:rFonts w:ascii="Times New Roman" w:cs="Times New Roman" w:eastAsia="Times New Roman" w:hAnsi="Times New Roman"/>
          <w:sz w:val="17"/>
          <w:szCs w:val="17"/>
          <w:u w:val="single" w:color="auto"/>
          <w:color w:val="000000"/>
        </w:rPr>
        <w:t>https://ir.nio.com</w:t>
      </w:r>
      <w:r>
        <w:rPr>
          <w:rFonts w:ascii="Times New Roman" w:cs="Times New Roman" w:eastAsia="Times New Roman" w:hAnsi="Times New Roman"/>
          <w:sz w:val="17"/>
          <w:szCs w:val="17"/>
          <w:color w:val="333333"/>
        </w:rPr>
        <w:t xml:space="preserve">, as well as on the SEC’s website at </w:t>
      </w:r>
      <w:r>
        <w:rPr>
          <w:rFonts w:ascii="Times New Roman" w:cs="Times New Roman" w:eastAsia="Times New Roman" w:hAnsi="Times New Roman"/>
          <w:sz w:val="17"/>
          <w:szCs w:val="17"/>
          <w:u w:val="single" w:color="auto"/>
          <w:color w:val="000000"/>
        </w:rPr>
        <w:t>http://www.sec.gov</w:t>
      </w:r>
      <w:r>
        <w:rPr>
          <w:rFonts w:ascii="Times New Roman" w:cs="Times New Roman" w:eastAsia="Times New Roman" w:hAnsi="Times New Roman"/>
          <w:sz w:val="17"/>
          <w:szCs w:val="17"/>
          <w:color w:val="000000"/>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333333"/>
        </w:rPr>
        <w:t>About NIO</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333333"/>
        </w:rPr>
        <w:t>NIO Inc. is a pioneer and a leading company in the premium smart electric vehicle market. Founded in November 2014, NIO’s mission is to shape a joyful lifestyle. NIO aims to build a community starting with smart electric vehicles to share joy and grow together with users. NIO designs, develops, jointly manufactures and sells premium smart electric vehicles, driving innovations in next-generation technologies in autonomous driving, digital technologies, electric powertrains and batteries. NIO differentiates itself through its continuous technological breakthroughs and innovations, such as its industry-leading battery swapping technologies, Battery as a Service, or BaaS, as well as its proprietary autonomous driving technologies and Autonomous Driving as a Service, or ADaaS. NIO launched the ES8, a seven-seater flagship premium smart electric SUV in December 2017, and began deliveries of the ES8 in June 2018 and its variant, the six-seater ES8, in March 2019. NIO launched the ES6, a five-seater high-performance premium smart electric SUV, in December 2018, and began deliveries of the ES6 in June 2019. NIO launched the EC6, a five-seater premium smart electric coupe SUV, in December 2019, and began deliveries of the EC6 in September 2020. NIO launched the ET7, a flagship premium smart electric sedan, in January 2021, and began deliveries of the ET7 in March 2022. NIO launched the ET5, a mid-size premium smart electric sedan, in December 2021. NIO launched the ES7, a mid-large five-seater premium smart electric SUV, in June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525780</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333333"/>
        </w:rPr>
        <w:t>Safe Harbor Statement</w:t>
      </w:r>
    </w:p>
    <w:p>
      <w:pPr>
        <w:spacing w:after="0" w:line="2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333333"/>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a car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newly introduced BaaS and ADaaS;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the ES8, ES6, EC6, ET7, ET5 and ES7; its ability to control costs associated with its operations; its ability to build the NIO brand; general economic and business conditions globally and in China and assumptions underlying or related to any of the foregoing. Further information regarding these and other risks is included in NIO’s filings with the U.S. Securities and Exchange Commission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33333"/>
        </w:rPr>
        <w:t>For more information, please visit: http://ir.nio.com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333333"/>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33333"/>
        </w:rPr>
        <w:t>ir@nio.com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333333"/>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33333"/>
        </w:rPr>
        <w:t>global.press@nio.com</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NIO Inc.</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i w:val="1"/>
          <w:iCs w:val="1"/>
          <w:color w:val="auto"/>
        </w:rPr>
        <w:t>(A company controlled through weighted voting rights and</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i w:val="1"/>
          <w:iCs w:val="1"/>
          <w:color w:val="auto"/>
        </w:rPr>
        <w:t>incorporated in the Cayman Islands with limited liability)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(NYSE: NIO; HKEX: 9866; SGX: NIO)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General Meeting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held on August 25,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(or any adjournment(s) or postponement(s) thereof)</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NOTICE IS HEREBY GIVEN </w:t>
      </w:r>
      <w:r>
        <w:rPr>
          <w:rFonts w:ascii="Times New Roman" w:cs="Times New Roman" w:eastAsia="Times New Roman" w:hAnsi="Times New Roman"/>
          <w:sz w:val="17"/>
          <w:szCs w:val="17"/>
          <w:color w:val="auto"/>
        </w:rPr>
        <w:t>that an annual general meeting (the “</w:t>
      </w:r>
      <w:r>
        <w:rPr>
          <w:rFonts w:ascii="Times New Roman" w:cs="Times New Roman" w:eastAsia="Times New Roman" w:hAnsi="Times New Roman"/>
          <w:sz w:val="17"/>
          <w:szCs w:val="17"/>
          <w:b w:val="1"/>
          <w:bCs w:val="1"/>
          <w:color w:val="auto"/>
        </w:rPr>
        <w:t>AGM</w:t>
      </w:r>
      <w:r>
        <w:rPr>
          <w:rFonts w:ascii="Times New Roman" w:cs="Times New Roman" w:eastAsia="Times New Roman" w:hAnsi="Times New Roman"/>
          <w:sz w:val="17"/>
          <w:szCs w:val="17"/>
          <w:color w:val="auto"/>
        </w:rPr>
        <w:t>”) of NIO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will be held at 10:30 am (or soon after the Class 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Meeting and the Class A Meeting, both of which are defined below), Beijing time, on August 25, 2022 at Building 16, No. 56 AnTuo Road, Anting Town, Jiading District, Shanghai 201804, People’s Republic of China, for the purposes of considering and, if thought fit, passing each of the following resolution (the “</w:t>
      </w:r>
      <w:r>
        <w:rPr>
          <w:rFonts w:ascii="Times New Roman" w:cs="Times New Roman" w:eastAsia="Times New Roman" w:hAnsi="Times New Roman"/>
          <w:sz w:val="17"/>
          <w:szCs w:val="17"/>
          <w:b w:val="1"/>
          <w:bCs w:val="1"/>
          <w:color w:val="auto"/>
        </w:rPr>
        <w:t>Proposed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Resolution</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jc w:val="both"/>
        <w:ind w:left="300" w:hanging="299"/>
        <w:spacing w:after="0" w:line="254" w:lineRule="auto"/>
        <w:tabs>
          <w:tab w:leader="none" w:pos="3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THAT the authorised but unissued 132,030,222 Class B ordinary shares of a par value of US$0.00025 each (the “</w:t>
      </w:r>
      <w:r>
        <w:rPr>
          <w:rFonts w:ascii="Times New Roman" w:cs="Times New Roman" w:eastAsia="Times New Roman" w:hAnsi="Times New Roman"/>
          <w:sz w:val="17"/>
          <w:szCs w:val="17"/>
          <w:b w:val="1"/>
          <w:bCs w:val="1"/>
          <w:color w:val="auto"/>
        </w:rPr>
        <w:t>Class B Ordinary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of the Company be redesignated as 132,030,222 Class A ordinary shares of a par value of US$0.00025 each (the “</w:t>
      </w:r>
      <w:r>
        <w:rPr>
          <w:rFonts w:ascii="Times New Roman" w:cs="Times New Roman" w:eastAsia="Times New Roman" w:hAnsi="Times New Roman"/>
          <w:sz w:val="17"/>
          <w:szCs w:val="17"/>
          <w:b w:val="1"/>
          <w:bCs w:val="1"/>
          <w:color w:val="auto"/>
        </w:rPr>
        <w:t>Class A Ordinary Shares</w:t>
      </w:r>
      <w:r>
        <w:rPr>
          <w:rFonts w:ascii="Times New Roman" w:cs="Times New Roman" w:eastAsia="Times New Roman" w:hAnsi="Times New Roman"/>
          <w:sz w:val="17"/>
          <w:szCs w:val="17"/>
          <w:color w:val="auto"/>
        </w:rPr>
        <w: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such that the authorised share capital of the Company is US$1,000,000 divided into 4,000,000,000 shares comprising of (i) 2,632,030,222 Class A Ordinary Shares, (ii) 148,500,000 Class C ordinary shares of a par value of US$0.00025 each (the “</w:t>
      </w:r>
      <w:r>
        <w:rPr>
          <w:rFonts w:ascii="Times New Roman" w:cs="Times New Roman" w:eastAsia="Times New Roman" w:hAnsi="Times New Roman"/>
          <w:sz w:val="17"/>
          <w:szCs w:val="17"/>
          <w:b w:val="1"/>
          <w:bCs w:val="1"/>
          <w:color w:val="auto"/>
        </w:rPr>
        <w:t>Class C Ordinary Shares</w:t>
      </w:r>
      <w:r>
        <w:rPr>
          <w:rFonts w:ascii="Times New Roman" w:cs="Times New Roman" w:eastAsia="Times New Roman" w:hAnsi="Times New Roman"/>
          <w:sz w:val="17"/>
          <w:szCs w:val="17"/>
          <w:color w:val="auto"/>
        </w:rPr>
        <w:t>,” together with the Class A Ordinary Shares,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and (iii) 1,219,469,778 shares of a par value of US$0.00025 each of such class or classes (however designated) as the board of directors may determine in accordance with Article 9 of the articles of association of the Company (the “</w:t>
      </w:r>
      <w:r>
        <w:rPr>
          <w:rFonts w:ascii="Times New Roman" w:cs="Times New Roman" w:eastAsia="Times New Roman" w:hAnsi="Times New Roman"/>
          <w:sz w:val="17"/>
          <w:szCs w:val="17"/>
          <w:b w:val="1"/>
          <w:bCs w:val="1"/>
          <w:color w:val="auto"/>
        </w:rPr>
        <w:t>Change of Authorised Share Capital Resolution</w:t>
      </w:r>
      <w:r>
        <w:rPr>
          <w:rFonts w:ascii="Times New Roman" w:cs="Times New Roman" w:eastAsia="Times New Roman" w:hAnsi="Times New Roman"/>
          <w:sz w:val="17"/>
          <w:szCs w:val="17"/>
          <w:color w:val="auto"/>
        </w:rPr>
        <w:t>”);</w:t>
      </w:r>
    </w:p>
    <w:p>
      <w:pPr>
        <w:spacing w:after="0" w:line="177" w:lineRule="exact"/>
        <w:rPr>
          <w:rFonts w:ascii="Times New Roman" w:cs="Times New Roman" w:eastAsia="Times New Roman" w:hAnsi="Times New Roman"/>
          <w:sz w:val="17"/>
          <w:szCs w:val="17"/>
          <w:color w:val="auto"/>
        </w:rPr>
      </w:pPr>
    </w:p>
    <w:p>
      <w:pPr>
        <w:jc w:val="both"/>
        <w:ind w:left="300" w:hanging="299"/>
        <w:spacing w:after="0" w:line="262" w:lineRule="auto"/>
        <w:tabs>
          <w:tab w:leader="none" w:pos="3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to re-appoint PricewaterhouseCoopers as the auditor of the Company to hold office until the conclusion of the next annual general meeting of the Company and to authorise the Board to fix their remuneration for the year ending December 31, 2022 (the “</w:t>
      </w:r>
      <w:r>
        <w:rPr>
          <w:rFonts w:ascii="Times New Roman" w:cs="Times New Roman" w:eastAsia="Times New Roman" w:hAnsi="Times New Roman"/>
          <w:sz w:val="17"/>
          <w:szCs w:val="17"/>
          <w:b w:val="1"/>
          <w:bCs w:val="1"/>
          <w:color w:val="auto"/>
        </w:rPr>
        <w:t>Auditor Re-appointment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Resolution</w:t>
      </w:r>
      <w:r>
        <w:rPr>
          <w:rFonts w:ascii="Times New Roman" w:cs="Times New Roman" w:eastAsia="Times New Roman" w:hAnsi="Times New Roman"/>
          <w:sz w:val="17"/>
          <w:szCs w:val="17"/>
          <w:color w:val="auto"/>
        </w:rPr>
        <w:t>”);</w:t>
      </w:r>
    </w:p>
    <w:p>
      <w:pPr>
        <w:spacing w:after="0" w:line="164" w:lineRule="exact"/>
        <w:rPr>
          <w:rFonts w:ascii="Times New Roman" w:cs="Times New Roman" w:eastAsia="Times New Roman" w:hAnsi="Times New Roman"/>
          <w:sz w:val="17"/>
          <w:szCs w:val="17"/>
          <w:color w:val="auto"/>
        </w:rPr>
      </w:pPr>
    </w:p>
    <w:p>
      <w:pPr>
        <w:jc w:val="both"/>
        <w:ind w:left="300" w:hanging="299"/>
        <w:spacing w:after="0" w:line="253" w:lineRule="auto"/>
        <w:tabs>
          <w:tab w:leader="none" w:pos="3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special resolution, THAT subject to the passing of this resolution at each of the class meeting of holders of Class C Ordinary Shares (the “</w:t>
      </w:r>
      <w:r>
        <w:rPr>
          <w:rFonts w:ascii="Times New Roman" w:cs="Times New Roman" w:eastAsia="Times New Roman" w:hAnsi="Times New Roman"/>
          <w:sz w:val="17"/>
          <w:szCs w:val="17"/>
          <w:b w:val="1"/>
          <w:bCs w:val="1"/>
          <w:color w:val="auto"/>
        </w:rPr>
        <w:t>Class C Meeting</w:t>
      </w:r>
      <w:r>
        <w:rPr>
          <w:rFonts w:ascii="Times New Roman" w:cs="Times New Roman" w:eastAsia="Times New Roman" w:hAnsi="Times New Roman"/>
          <w:sz w:val="17"/>
          <w:szCs w:val="17"/>
          <w:color w:val="auto"/>
        </w:rPr>
        <w:t>”) and the class meeting of holders of the Class A Ordinary Shares (the “</w:t>
      </w:r>
      <w:r>
        <w:rPr>
          <w:rFonts w:ascii="Times New Roman" w:cs="Times New Roman" w:eastAsia="Times New Roman" w:hAnsi="Times New Roman"/>
          <w:sz w:val="17"/>
          <w:szCs w:val="17"/>
          <w:b w:val="1"/>
          <w:bCs w:val="1"/>
          <w:color w:val="auto"/>
        </w:rPr>
        <w:t>Class A Meeting</w:t>
      </w:r>
      <w:r>
        <w:rPr>
          <w:rFonts w:ascii="Times New Roman" w:cs="Times New Roman" w:eastAsia="Times New Roman" w:hAnsi="Times New Roman"/>
          <w:sz w:val="17"/>
          <w:szCs w:val="17"/>
          <w:color w:val="auto"/>
        </w:rPr>
        <w:t>”) convened on the same date and at the same place as the AGM, the Company’s Twelfth Amended and Restated Memorandum of Association and Articles of Association in effect be amended and restated by the deletion in their entirety and the substitution in their place of the Thirteenth Amended and Restated Memorandum and Articles of Association annexed to this notice, as more particularly disclosed on pages 141 to 152 of the Company’s Hong Kong listing document dated February 28, 2022 (the “</w:t>
      </w:r>
      <w:r>
        <w:rPr>
          <w:rFonts w:ascii="Times New Roman" w:cs="Times New Roman" w:eastAsia="Times New Roman" w:hAnsi="Times New Roman"/>
          <w:sz w:val="17"/>
          <w:szCs w:val="17"/>
          <w:b w:val="1"/>
          <w:bCs w:val="1"/>
          <w:color w:val="auto"/>
        </w:rPr>
        <w:t>Listing Document</w:t>
      </w:r>
      <w:r>
        <w:rPr>
          <w:rFonts w:ascii="Times New Roman" w:cs="Times New Roman" w:eastAsia="Times New Roman" w:hAnsi="Times New Roman"/>
          <w:sz w:val="17"/>
          <w:szCs w:val="17"/>
          <w:color w:val="auto"/>
        </w:rPr>
        <w:t>”), by incorporating the following requirements under the Hong Kong Listing Rules: paragraph 15 of Appendix 3 and Rules 8A.09, 8A.13 to 8A.19, 8A.21 to 8A.24 (the “</w:t>
      </w:r>
      <w:r>
        <w:rPr>
          <w:rFonts w:ascii="Times New Roman" w:cs="Times New Roman" w:eastAsia="Times New Roman" w:hAnsi="Times New Roman"/>
          <w:sz w:val="17"/>
          <w:szCs w:val="17"/>
          <w:b w:val="1"/>
          <w:bCs w:val="1"/>
          <w:color w:val="auto"/>
        </w:rPr>
        <w:t>Class-based Resolution</w:t>
      </w:r>
      <w:r>
        <w:rPr>
          <w:rFonts w:ascii="Times New Roman" w:cs="Times New Roman" w:eastAsia="Times New Roman" w:hAnsi="Times New Roman"/>
          <w:sz w:val="17"/>
          <w:szCs w:val="17"/>
          <w:color w:val="auto"/>
        </w:rPr>
        <w:t>”);</w:t>
      </w:r>
    </w:p>
    <w:p>
      <w:pPr>
        <w:spacing w:after="0" w:line="178" w:lineRule="exact"/>
        <w:rPr>
          <w:rFonts w:ascii="Times New Roman" w:cs="Times New Roman" w:eastAsia="Times New Roman" w:hAnsi="Times New Roman"/>
          <w:sz w:val="17"/>
          <w:szCs w:val="17"/>
          <w:color w:val="auto"/>
        </w:rPr>
      </w:pPr>
    </w:p>
    <w:p>
      <w:pPr>
        <w:jc w:val="both"/>
        <w:ind w:left="300" w:hanging="299"/>
        <w:spacing w:after="0" w:line="253" w:lineRule="auto"/>
        <w:tabs>
          <w:tab w:leader="none" w:pos="3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special resolution, THAT the Company’s Twelfth Amended and Restated Memorandum of Association and Articles of Association in effect be amended and restated by the deletion in their entirety and the substitution in their place of the Thirteenth Amended and Restated Memorandum and Articles of Association annexed to this notice, as more particularly disclosed on pages 141 to 152 of the Listing Document, by (a) incorporating the following requirements under the Hong Kong Listing Rules: (i) paragraphs 14(1), 14(2), 14(4), 17 and 20 of Appendix 3, and (ii) Rules 8A.07, 8A.26 to 8A.35 and 8A.37 to 8A.41,</w:t>
      </w:r>
    </w:p>
    <w:p>
      <w:pPr>
        <w:ind w:left="560" w:hanging="256"/>
        <w:spacing w:after="0"/>
        <w:tabs>
          <w:tab w:leader="none" w:pos="56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incorporating a requirement that where a general meeting is postponed by the directors, such meeting shall be postponed to a specific date, time and place,</w:t>
      </w:r>
    </w:p>
    <w:p>
      <w:pPr>
        <w:spacing w:after="0" w:line="6" w:lineRule="exact"/>
        <w:rPr>
          <w:rFonts w:ascii="Times New Roman" w:cs="Times New Roman" w:eastAsia="Times New Roman" w:hAnsi="Times New Roman"/>
          <w:sz w:val="17"/>
          <w:szCs w:val="17"/>
          <w:color w:val="auto"/>
        </w:rPr>
      </w:pPr>
    </w:p>
    <w:p>
      <w:pPr>
        <w:ind w:left="300" w:firstLine="4"/>
        <w:spacing w:after="0" w:line="256" w:lineRule="auto"/>
        <w:tabs>
          <w:tab w:leader="none" w:pos="552"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removing the shareholding structure of Class B Ordinary Shares and provisions related to Class B Ordinary Shares, and (d) to provide flexibility to the Company in relation to the conduct of general meetings (the “</w:t>
      </w:r>
      <w:r>
        <w:rPr>
          <w:rFonts w:ascii="Times New Roman" w:cs="Times New Roman" w:eastAsia="Times New Roman" w:hAnsi="Times New Roman"/>
          <w:sz w:val="17"/>
          <w:szCs w:val="17"/>
          <w:b w:val="1"/>
          <w:bCs w:val="1"/>
          <w:color w:val="auto"/>
        </w:rPr>
        <w:t>Non-class-based Resolution</w:t>
      </w:r>
      <w:r>
        <w:rPr>
          <w:rFonts w:ascii="Times New Roman" w:cs="Times New Roman" w:eastAsia="Times New Roman" w:hAnsi="Times New Roman"/>
          <w:sz w:val="17"/>
          <w:szCs w:val="17"/>
          <w:color w:val="auto"/>
        </w:rPr>
        <w:t>”);</w:t>
      </w:r>
    </w:p>
    <w:p>
      <w:pPr>
        <w:spacing w:after="0" w:line="182" w:lineRule="exact"/>
        <w:rPr>
          <w:rFonts w:ascii="Times New Roman" w:cs="Times New Roman" w:eastAsia="Times New Roman" w:hAnsi="Times New Roman"/>
          <w:sz w:val="17"/>
          <w:szCs w:val="17"/>
          <w:color w:val="auto"/>
        </w:rPr>
      </w:pPr>
    </w:p>
    <w:p>
      <w:pPr>
        <w:ind w:left="300" w:hanging="299"/>
        <w:spacing w:after="0" w:line="207" w:lineRule="exact"/>
        <w:tabs>
          <w:tab w:leader="none" w:pos="3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a special resolution, THAT </w:t>
      </w:r>
      <w:r>
        <w:rPr>
          <w:rFonts w:ascii="PMingLiU" w:cs="PMingLiU" w:eastAsia="PMingLiU" w:hAnsi="PMingLiU"/>
          <w:sz w:val="17"/>
          <w:szCs w:val="17"/>
          <w:color w:val="auto"/>
        </w:rPr>
        <w:t>蔚來集團</w:t>
      </w:r>
      <w:r>
        <w:rPr>
          <w:rFonts w:ascii="Times New Roman" w:cs="Times New Roman" w:eastAsia="Times New Roman" w:hAnsi="Times New Roman"/>
          <w:sz w:val="17"/>
          <w:szCs w:val="17"/>
          <w:color w:val="auto"/>
        </w:rPr>
        <w:t xml:space="preserve"> be adopted as the dual foreign name of the Company (the “</w:t>
      </w:r>
      <w:r>
        <w:rPr>
          <w:rFonts w:ascii="Times New Roman" w:cs="Times New Roman" w:eastAsia="Times New Roman" w:hAnsi="Times New Roman"/>
          <w:sz w:val="17"/>
          <w:szCs w:val="17"/>
          <w:b w:val="1"/>
          <w:bCs w:val="1"/>
          <w:color w:val="auto"/>
        </w:rPr>
        <w:t>Resolution for Adopting Dual Foreign Name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419100</wp:posOffset>
            </wp:positionV>
            <wp:extent cx="7141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6" w:name="page7"/>
    <w:bookmarkEnd w:id="6"/>
    <w:p>
      <w:pPr>
        <w:spacing w:after="0" w:line="275" w:lineRule="auto"/>
        <w:rPr>
          <w:sz w:val="20"/>
          <w:szCs w:val="20"/>
          <w:color w:val="auto"/>
        </w:rPr>
      </w:pPr>
      <w:r>
        <w:rPr>
          <w:rFonts w:ascii="Times New Roman" w:cs="Times New Roman" w:eastAsia="Times New Roman" w:hAnsi="Times New Roman"/>
          <w:sz w:val="17"/>
          <w:szCs w:val="17"/>
          <w:color w:val="auto"/>
        </w:rPr>
        <w:t>The passing of the above resolutions requires approval by the holders of the Class A Ordinary Shares and the Class C Ordinary Shares of the Company in the following manner:</w:t>
      </w:r>
    </w:p>
    <w:p>
      <w:pPr>
        <w:spacing w:after="0" w:line="159" w:lineRule="exact"/>
        <w:rPr>
          <w:sz w:val="20"/>
          <w:szCs w:val="20"/>
          <w:color w:val="auto"/>
        </w:rPr>
      </w:pPr>
    </w:p>
    <w:p>
      <w:pPr>
        <w:ind w:left="300" w:hanging="299"/>
        <w:spacing w:after="0" w:line="275" w:lineRule="auto"/>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of Authorised Share Capital Resolution: approval by members by a simple majority of the votes cast by the shareholders as, being entitled to do so, vote in person or by proxy at the AGM;</w:t>
      </w:r>
    </w:p>
    <w:p>
      <w:pPr>
        <w:spacing w:after="0" w:line="158" w:lineRule="exact"/>
        <w:rPr>
          <w:rFonts w:ascii="Times New Roman" w:cs="Times New Roman" w:eastAsia="Times New Roman" w:hAnsi="Times New Roman"/>
          <w:sz w:val="17"/>
          <w:szCs w:val="17"/>
          <w:color w:val="auto"/>
        </w:rPr>
      </w:pPr>
    </w:p>
    <w:p>
      <w:pPr>
        <w:ind w:left="300" w:hanging="299"/>
        <w:spacing w:after="0" w:line="275" w:lineRule="auto"/>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Auditor Re-appointment Resolution: approval by members by a simple majority of the votes cast by the shareholders as, being entitled to do so, vote in person or by proxy at the AGM, on a one share one vote basis;</w:t>
      </w:r>
    </w:p>
    <w:p>
      <w:pPr>
        <w:spacing w:after="0" w:line="154" w:lineRule="exact"/>
        <w:rPr>
          <w:rFonts w:ascii="Times New Roman" w:cs="Times New Roman" w:eastAsia="Times New Roman" w:hAnsi="Times New Roman"/>
          <w:sz w:val="17"/>
          <w:szCs w:val="17"/>
          <w:color w:val="auto"/>
        </w:rPr>
      </w:pPr>
    </w:p>
    <w:p>
      <w:pPr>
        <w:ind w:left="300" w:hanging="299"/>
        <w:spacing w:after="0" w:line="280" w:lineRule="auto"/>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Class-based Resolution: approval by holders of not less than </w:t>
      </w:r>
      <w:r>
        <w:rPr>
          <w:rFonts w:ascii="Times New Roman" w:cs="Times New Roman" w:eastAsia="Times New Roman" w:hAnsi="Times New Roman"/>
          <w:sz w:val="17"/>
          <w:szCs w:val="17"/>
          <w:i w:val="1"/>
          <w:iCs w:val="1"/>
          <w:color w:val="auto"/>
        </w:rPr>
        <w:t>two-thirds</w:t>
      </w:r>
      <w:r>
        <w:rPr>
          <w:rFonts w:ascii="Times New Roman" w:cs="Times New Roman" w:eastAsia="Times New Roman" w:hAnsi="Times New Roman"/>
          <w:sz w:val="17"/>
          <w:szCs w:val="17"/>
          <w:color w:val="auto"/>
        </w:rPr>
        <w:t xml:space="preserve"> of the voting rights of those present and voting in person or by proxy for Class C Meeting and Class A Meeting, respectively;</w:t>
      </w:r>
    </w:p>
    <w:p>
      <w:pPr>
        <w:spacing w:after="0" w:line="150" w:lineRule="exact"/>
        <w:rPr>
          <w:rFonts w:ascii="Times New Roman" w:cs="Times New Roman" w:eastAsia="Times New Roman" w:hAnsi="Times New Roman"/>
          <w:sz w:val="17"/>
          <w:szCs w:val="17"/>
          <w:color w:val="auto"/>
        </w:rPr>
      </w:pPr>
    </w:p>
    <w:p>
      <w:pPr>
        <w:ind w:left="300" w:hanging="299"/>
        <w:spacing w:after="0" w:line="280" w:lineRule="auto"/>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Non-class-based Resolution: approval by members of the Company holding not less than </w:t>
      </w:r>
      <w:r>
        <w:rPr>
          <w:rFonts w:ascii="Times New Roman" w:cs="Times New Roman" w:eastAsia="Times New Roman" w:hAnsi="Times New Roman"/>
          <w:sz w:val="17"/>
          <w:szCs w:val="17"/>
          <w:i w:val="1"/>
          <w:iCs w:val="1"/>
          <w:color w:val="auto"/>
        </w:rPr>
        <w:t>two-thirds</w:t>
      </w:r>
      <w:r>
        <w:rPr>
          <w:rFonts w:ascii="Times New Roman" w:cs="Times New Roman" w:eastAsia="Times New Roman" w:hAnsi="Times New Roman"/>
          <w:sz w:val="17"/>
          <w:szCs w:val="17"/>
          <w:color w:val="auto"/>
        </w:rPr>
        <w:t xml:space="preserve"> of the voting rights of those present and voting in person or by proxy at the AGM;</w:t>
      </w:r>
    </w:p>
    <w:p>
      <w:pPr>
        <w:spacing w:after="0" w:line="150" w:lineRule="exact"/>
        <w:rPr>
          <w:rFonts w:ascii="Times New Roman" w:cs="Times New Roman" w:eastAsia="Times New Roman" w:hAnsi="Times New Roman"/>
          <w:sz w:val="17"/>
          <w:szCs w:val="17"/>
          <w:color w:val="auto"/>
        </w:rPr>
      </w:pPr>
    </w:p>
    <w:p>
      <w:pPr>
        <w:ind w:left="300" w:hanging="299"/>
        <w:spacing w:after="0" w:line="280" w:lineRule="auto"/>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Resolution for Adopting Dual Foreign Name: approval by members of the Company holding not less than </w:t>
      </w:r>
      <w:r>
        <w:rPr>
          <w:rFonts w:ascii="Times New Roman" w:cs="Times New Roman" w:eastAsia="Times New Roman" w:hAnsi="Times New Roman"/>
          <w:sz w:val="17"/>
          <w:szCs w:val="17"/>
          <w:i w:val="1"/>
          <w:iCs w:val="1"/>
          <w:color w:val="auto"/>
        </w:rPr>
        <w:t>two-thirds</w:t>
      </w:r>
      <w:r>
        <w:rPr>
          <w:rFonts w:ascii="Times New Roman" w:cs="Times New Roman" w:eastAsia="Times New Roman" w:hAnsi="Times New Roman"/>
          <w:sz w:val="17"/>
          <w:szCs w:val="17"/>
          <w:color w:val="auto"/>
        </w:rPr>
        <w:t xml:space="preserve"> of the voting rights of those present and voting in person or by proxy at the AGM.</w:t>
      </w:r>
    </w:p>
    <w:p>
      <w:pPr>
        <w:spacing w:after="0" w:line="154" w:lineRule="exact"/>
        <w:rPr>
          <w:sz w:val="20"/>
          <w:szCs w:val="20"/>
          <w:color w:val="auto"/>
        </w:rPr>
      </w:pPr>
    </w:p>
    <w:p>
      <w:pPr>
        <w:jc w:val="both"/>
        <w:ind w:firstLine="607"/>
        <w:spacing w:after="0" w:line="275" w:lineRule="auto"/>
        <w:rPr>
          <w:sz w:val="20"/>
          <w:szCs w:val="20"/>
          <w:color w:val="auto"/>
        </w:rPr>
      </w:pPr>
      <w:r>
        <w:rPr>
          <w:rFonts w:ascii="Times New Roman" w:cs="Times New Roman" w:eastAsia="Times New Roman" w:hAnsi="Times New Roman"/>
          <w:sz w:val="17"/>
          <w:szCs w:val="17"/>
          <w:color w:val="auto"/>
        </w:rPr>
        <w:t>The quorum of the AGM shall be one or more members holding in aggregate at least one-third of all votes attaching to all issued shares of the Company, present in person or by proxy and entitled to vote at the AGM.</w:t>
      </w:r>
    </w:p>
    <w:p>
      <w:pPr>
        <w:spacing w:after="0" w:line="159" w:lineRule="exact"/>
        <w:rPr>
          <w:sz w:val="20"/>
          <w:szCs w:val="20"/>
          <w:color w:val="auto"/>
        </w:rPr>
      </w:pPr>
    </w:p>
    <w:p>
      <w:pPr>
        <w:jc w:val="both"/>
        <w:ind w:firstLine="607"/>
        <w:spacing w:after="0" w:line="275" w:lineRule="auto"/>
        <w:rPr>
          <w:sz w:val="20"/>
          <w:szCs w:val="20"/>
          <w:color w:val="auto"/>
        </w:rPr>
      </w:pPr>
      <w:r>
        <w:rPr>
          <w:rFonts w:ascii="Times New Roman" w:cs="Times New Roman" w:eastAsia="Times New Roman" w:hAnsi="Times New Roman"/>
          <w:sz w:val="17"/>
          <w:szCs w:val="17"/>
          <w:color w:val="auto"/>
        </w:rPr>
        <w:t>The quorum for each of the Class C Meeting and the Class A Meeting shall be one or more persons holding or representing by proxy at least one-third in nominal or par value amount of the issued Class C Ordinary Shares or Class A Ordinary Shares of the Company, as the case may be.</w:t>
      </w:r>
    </w:p>
    <w:p>
      <w:pPr>
        <w:spacing w:after="0" w:line="159" w:lineRule="exact"/>
        <w:rPr>
          <w:sz w:val="20"/>
          <w:szCs w:val="20"/>
          <w:color w:val="auto"/>
        </w:rPr>
      </w:pPr>
    </w:p>
    <w:p>
      <w:pPr>
        <w:jc w:val="both"/>
        <w:ind w:firstLine="607"/>
        <w:spacing w:after="0" w:line="255" w:lineRule="auto"/>
        <w:rPr>
          <w:sz w:val="20"/>
          <w:szCs w:val="20"/>
          <w:color w:val="auto"/>
        </w:rPr>
      </w:pPr>
      <w:r>
        <w:rPr>
          <w:rFonts w:ascii="Times New Roman" w:cs="Times New Roman" w:eastAsia="Times New Roman" w:hAnsi="Times New Roman"/>
          <w:sz w:val="17"/>
          <w:szCs w:val="17"/>
          <w:color w:val="auto"/>
        </w:rPr>
        <w:t xml:space="preserve">Upon (i) the passing of the Class-based Resolution at each of the Class C Meeting and the Class A Meeting, and (ii) the passing of the Class-based Resolution, the Non-class-based Resolution, the Re-appoint Auditor Resolution, the Change of Authorised Share Capital Resolution and the Resolution for Change of Name at the AGM, the Company’s Twelfth Amended and Restated Memorandum and Articles of Association shall be amended and restated by their deletion in their entirety and by the substitution in their place of the Thirteenth Amended and Restated Memorandum and Articles of Association in the form as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which is marked to show the proposed changes that would be made.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SHARES RECORD DATE AND ADS RECORD DATE</w:t>
      </w:r>
    </w:p>
    <w:p>
      <w:pPr>
        <w:spacing w:after="0" w:line="209" w:lineRule="exact"/>
        <w:rPr>
          <w:sz w:val="20"/>
          <w:szCs w:val="20"/>
          <w:color w:val="auto"/>
        </w:rPr>
      </w:pPr>
    </w:p>
    <w:p>
      <w:pPr>
        <w:jc w:val="both"/>
        <w:ind w:firstLine="607"/>
        <w:spacing w:after="0" w:line="264" w:lineRule="auto"/>
        <w:rPr>
          <w:sz w:val="20"/>
          <w:szCs w:val="20"/>
          <w:color w:val="auto"/>
        </w:rPr>
      </w:pPr>
      <w:r>
        <w:rPr>
          <w:rFonts w:ascii="Times New Roman" w:cs="Times New Roman" w:eastAsia="Times New Roman" w:hAnsi="Times New Roman"/>
          <w:sz w:val="17"/>
          <w:szCs w:val="17"/>
          <w:color w:val="auto"/>
        </w:rPr>
        <w:t>The board of directors of the Company has fixed the close of business on Friday, July 22, 2022 (Hong Kong time), as the record date (the “</w:t>
      </w:r>
      <w:r>
        <w:rPr>
          <w:rFonts w:ascii="Times New Roman" w:cs="Times New Roman" w:eastAsia="Times New Roman" w:hAnsi="Times New Roman"/>
          <w:sz w:val="17"/>
          <w:szCs w:val="17"/>
          <w:b w:val="1"/>
          <w:bCs w:val="1"/>
          <w:color w:val="auto"/>
        </w:rPr>
        <w:t>Shares Record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Date</w:t>
      </w:r>
      <w:r>
        <w:rPr>
          <w:rFonts w:ascii="Times New Roman" w:cs="Times New Roman" w:eastAsia="Times New Roman" w:hAnsi="Times New Roman"/>
          <w:sz w:val="17"/>
          <w:szCs w:val="17"/>
          <w:color w:val="auto"/>
        </w:rPr>
        <w:t>”) of Class A Ordinary Shares and Class C Ordinary Shares. Holders of record of the Company’s Shares (as of the Shares Record Date) are entitled to attend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vote at the AGM and any adjourned meeting thereof.</w:t>
      </w:r>
    </w:p>
    <w:p>
      <w:pPr>
        <w:spacing w:after="0" w:line="164" w:lineRule="exact"/>
        <w:rPr>
          <w:sz w:val="20"/>
          <w:szCs w:val="20"/>
          <w:color w:val="auto"/>
        </w:rPr>
      </w:pPr>
    </w:p>
    <w:p>
      <w:pPr>
        <w:jc w:val="both"/>
        <w:ind w:firstLine="607"/>
        <w:spacing w:after="0" w:line="264" w:lineRule="auto"/>
        <w:rPr>
          <w:sz w:val="20"/>
          <w:szCs w:val="20"/>
          <w:color w:val="auto"/>
        </w:rPr>
      </w:pPr>
      <w:r>
        <w:rPr>
          <w:rFonts w:ascii="Times New Roman" w:cs="Times New Roman" w:eastAsia="Times New Roman" w:hAnsi="Times New Roman"/>
          <w:sz w:val="17"/>
          <w:szCs w:val="17"/>
          <w:color w:val="auto"/>
        </w:rPr>
        <w:t>Holders of record of American Depositary Shares (the “</w:t>
      </w:r>
      <w:r>
        <w:rPr>
          <w:rFonts w:ascii="Times New Roman" w:cs="Times New Roman" w:eastAsia="Times New Roman" w:hAnsi="Times New Roman"/>
          <w:sz w:val="17"/>
          <w:szCs w:val="17"/>
          <w:b w:val="1"/>
          <w:bCs w:val="1"/>
          <w:color w:val="auto"/>
        </w:rPr>
        <w:t>ADSs</w:t>
      </w:r>
      <w:r>
        <w:rPr>
          <w:rFonts w:ascii="Times New Roman" w:cs="Times New Roman" w:eastAsia="Times New Roman" w:hAnsi="Times New Roman"/>
          <w:sz w:val="17"/>
          <w:szCs w:val="17"/>
          <w:color w:val="auto"/>
        </w:rPr>
        <w:t>”) as of the close of business on July 22, 2022 (New York time) (the “</w:t>
      </w:r>
      <w:r>
        <w:rPr>
          <w:rFonts w:ascii="Times New Roman" w:cs="Times New Roman" w:eastAsia="Times New Roman" w:hAnsi="Times New Roman"/>
          <w:sz w:val="17"/>
          <w:szCs w:val="17"/>
          <w:b w:val="1"/>
          <w:bCs w:val="1"/>
          <w:color w:val="auto"/>
        </w:rPr>
        <w:t>ADS Record Date</w:t>
      </w:r>
      <w:r>
        <w:rPr>
          <w:rFonts w:ascii="Times New Roman" w:cs="Times New Roman" w:eastAsia="Times New Roman" w:hAnsi="Times New Roman"/>
          <w:sz w:val="17"/>
          <w:szCs w:val="17"/>
          <w:color w:val="auto"/>
        </w:rPr>
        <w:t>,” together with the Shares Record Date,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will be able to instruct Deutsche Bank Trust Company Americas, the depositary of the ADSs, as to how to vote the Class A Ordinary Shares represented by such ADSs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389890</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ATTENDING THE AGM</w:t>
      </w:r>
    </w:p>
    <w:p>
      <w:pPr>
        <w:spacing w:after="0" w:line="213" w:lineRule="exact"/>
        <w:rPr>
          <w:sz w:val="20"/>
          <w:szCs w:val="20"/>
          <w:color w:val="auto"/>
        </w:rPr>
      </w:pPr>
    </w:p>
    <w:p>
      <w:pPr>
        <w:ind w:firstLine="607"/>
        <w:spacing w:after="0" w:line="275" w:lineRule="auto"/>
        <w:rPr>
          <w:sz w:val="20"/>
          <w:szCs w:val="20"/>
          <w:color w:val="auto"/>
        </w:rPr>
      </w:pPr>
      <w:r>
        <w:rPr>
          <w:rFonts w:ascii="Times New Roman" w:cs="Times New Roman" w:eastAsia="Times New Roman" w:hAnsi="Times New Roman"/>
          <w:sz w:val="17"/>
          <w:szCs w:val="17"/>
          <w:color w:val="auto"/>
        </w:rPr>
        <w:t>Only holders of record of Shares as of the Shares Record Date are entitled to attend and vote at the AGM. Holders of ADSs must give voting instructions to Deutsche Bank Trust Company Americas if they wish to exercise their voting rights for the underlying Class A Ordinary Shares.</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Holders of Class A Ordinary Shares which are held through (either directly or through depository agents) securities accounts (the “</w:t>
      </w:r>
      <w:r>
        <w:rPr>
          <w:rFonts w:ascii="Times New Roman" w:cs="Times New Roman" w:eastAsia="Times New Roman" w:hAnsi="Times New Roman"/>
          <w:sz w:val="17"/>
          <w:szCs w:val="17"/>
          <w:b w:val="1"/>
          <w:bCs w:val="1"/>
          <w:color w:val="auto"/>
        </w:rPr>
        <w:t>NIO CDP Depositors</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maintained with The Central Depository (Pte) Limited (“</w:t>
      </w:r>
      <w:r>
        <w:rPr>
          <w:rFonts w:ascii="Times New Roman" w:cs="Times New Roman" w:eastAsia="Times New Roman" w:hAnsi="Times New Roman"/>
          <w:sz w:val="17"/>
          <w:szCs w:val="17"/>
          <w:b w:val="1"/>
          <w:bCs w:val="1"/>
          <w:color w:val="auto"/>
        </w:rPr>
        <w:t>CDP</w:t>
      </w:r>
      <w:r>
        <w:rPr>
          <w:rFonts w:ascii="Times New Roman" w:cs="Times New Roman" w:eastAsia="Times New Roman" w:hAnsi="Times New Roman"/>
          <w:sz w:val="17"/>
          <w:szCs w:val="17"/>
          <w:color w:val="auto"/>
        </w:rPr>
        <w:t>”) (Singapore) who:</w:t>
      </w:r>
    </w:p>
    <w:p>
      <w:pPr>
        <w:spacing w:after="0" w:line="193" w:lineRule="exact"/>
        <w:rPr>
          <w:sz w:val="20"/>
          <w:szCs w:val="20"/>
          <w:color w:val="auto"/>
        </w:rPr>
      </w:pPr>
    </w:p>
    <w:p>
      <w:pPr>
        <w:ind w:left="600" w:hanging="599"/>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wish to be appointed as CDP’s proxy to attend and cast votes at the AGM as CDP’s proxy; or</w:t>
      </w:r>
    </w:p>
    <w:p>
      <w:pPr>
        <w:spacing w:after="0" w:line="208"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wish to attend the AGM as CDP’s proxy but wish to provide instructions as to voting, or abstentions from voting,</w:t>
      </w:r>
    </w:p>
    <w:p>
      <w:pPr>
        <w:spacing w:after="0" w:line="208" w:lineRule="exact"/>
        <w:rPr>
          <w:rFonts w:ascii="Times New Roman" w:cs="Times New Roman" w:eastAsia="Times New Roman" w:hAnsi="Times New Roman"/>
          <w:sz w:val="17"/>
          <w:szCs w:val="17"/>
          <w:color w:val="auto"/>
        </w:rPr>
      </w:pPr>
    </w:p>
    <w:p>
      <w:pPr>
        <w:jc w:val="both"/>
        <w:ind w:left="600"/>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should complete and return the AGM Depositor Proxy Form, which will be mailed to the NIO CDP Depositors and is also available on our website at </w:t>
      </w:r>
      <w:r>
        <w:rPr>
          <w:rFonts w:ascii="Times New Roman" w:cs="Times New Roman" w:eastAsia="Times New Roman" w:hAnsi="Times New Roman"/>
          <w:sz w:val="17"/>
          <w:szCs w:val="17"/>
          <w:u w:val="single" w:color="auto"/>
          <w:color w:val="auto"/>
        </w:rPr>
        <w:t>https://ir.nio.com</w:t>
      </w:r>
      <w:r>
        <w:rPr>
          <w:rFonts w:ascii="Times New Roman" w:cs="Times New Roman" w:eastAsia="Times New Roman" w:hAnsi="Times New Roman"/>
          <w:sz w:val="17"/>
          <w:szCs w:val="17"/>
          <w:color w:val="auto"/>
        </w:rPr>
        <w:t>, to Boardroom Corporate &amp; Advisory Services Pte. Ltd. (“</w:t>
      </w:r>
      <w:r>
        <w:rPr>
          <w:rFonts w:ascii="Times New Roman" w:cs="Times New Roman" w:eastAsia="Times New Roman" w:hAnsi="Times New Roman"/>
          <w:sz w:val="17"/>
          <w:szCs w:val="17"/>
          <w:b w:val="1"/>
          <w:bCs w:val="1"/>
          <w:color w:val="auto"/>
        </w:rPr>
        <w:t>Boardroom</w:t>
      </w:r>
      <w:r>
        <w:rPr>
          <w:rFonts w:ascii="Times New Roman" w:cs="Times New Roman" w:eastAsia="Times New Roman" w:hAnsi="Times New Roman"/>
          <w:sz w:val="17"/>
          <w:szCs w:val="17"/>
          <w:color w:val="auto"/>
        </w:rPr>
        <w:t xml:space="preserve">”), the Singapore transfer agent of the Company, by 5 pm, Singapore time, on August 18, 2022. For the avoidance of doubt, NIO CDP Depositors who do not complete and return the AGM Depositor Proxy Form by 5 pm, Singapore time, on August 18, 2022, will </w:t>
      </w:r>
      <w:r>
        <w:rPr>
          <w:rFonts w:ascii="Times New Roman" w:cs="Times New Roman" w:eastAsia="Times New Roman" w:hAnsi="Times New Roman"/>
          <w:sz w:val="17"/>
          <w:szCs w:val="17"/>
          <w:b w:val="1"/>
          <w:bCs w:val="1"/>
          <w:u w:val="single" w:color="auto"/>
          <w:color w:val="auto"/>
        </w:rPr>
        <w:t>not</w:t>
      </w:r>
      <w:r>
        <w:rPr>
          <w:rFonts w:ascii="Times New Roman" w:cs="Times New Roman" w:eastAsia="Times New Roman" w:hAnsi="Times New Roman"/>
          <w:sz w:val="17"/>
          <w:szCs w:val="17"/>
          <w:color w:val="auto"/>
        </w:rPr>
        <w:t xml:space="preserve"> be able to attend or vote at the AGM, or provide instructions as to voting, or abstentions from voting.</w:t>
      </w:r>
    </w:p>
    <w:p>
      <w:pPr>
        <w:spacing w:after="0" w:line="173"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NIO CDP Depositors who have queries on the above instructions should contact Boardroom via the following for assistance:</w:t>
      </w:r>
    </w:p>
    <w:p>
      <w:pPr>
        <w:spacing w:after="0" w:line="204"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Boardroom Corporate &amp; Advisory Services Pte. Ltd.</w:t>
      </w:r>
    </w:p>
    <w:p>
      <w:pPr>
        <w:spacing w:after="0" w:line="26"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1 Harbourfront Avenue, #14-07 Keppel Bay Tower, Singapore 098632</w:t>
      </w:r>
    </w:p>
    <w:p>
      <w:pPr>
        <w:spacing w:after="0" w:line="6"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Telephone: (+65) 6536 5355</w:t>
      </w:r>
    </w:p>
    <w:p>
      <w:pPr>
        <w:spacing w:after="0" w:line="6"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E-mail: agm.teame@boardroomlimited.com</w:t>
      </w:r>
    </w:p>
    <w:p>
      <w:pPr>
        <w:spacing w:after="0" w:line="193" w:lineRule="exact"/>
        <w:rPr>
          <w:sz w:val="20"/>
          <w:szCs w:val="20"/>
          <w:color w:val="auto"/>
        </w:rPr>
      </w:pPr>
    </w:p>
    <w:p>
      <w:pPr>
        <w:jc w:val="both"/>
        <w:ind w:firstLine="607"/>
        <w:spacing w:after="0" w:line="262" w:lineRule="auto"/>
        <w:rPr>
          <w:sz w:val="20"/>
          <w:szCs w:val="20"/>
          <w:color w:val="auto"/>
        </w:rPr>
      </w:pPr>
      <w:r>
        <w:rPr>
          <w:rFonts w:ascii="Times New Roman" w:cs="Times New Roman" w:eastAsia="Times New Roman" w:hAnsi="Times New Roman"/>
          <w:sz w:val="17"/>
          <w:szCs w:val="17"/>
          <w:color w:val="auto"/>
        </w:rPr>
        <w:t>In relation to paragraphs (a) and (b) above, NIO CDP Depositors should further note that they will only be able to be appointed as CDP’s proxy and/or exercise their voting rights in respect of such number of Class A Ordinary Shares set out against their respective names in the depository register maintained by the CDP as at the Shares Record Date.</w:t>
      </w:r>
    </w:p>
    <w:p>
      <w:pPr>
        <w:spacing w:after="0" w:line="168" w:lineRule="exact"/>
        <w:rPr>
          <w:sz w:val="20"/>
          <w:szCs w:val="20"/>
          <w:color w:val="auto"/>
        </w:rPr>
      </w:pPr>
    </w:p>
    <w:p>
      <w:pPr>
        <w:jc w:val="both"/>
        <w:ind w:firstLine="607"/>
        <w:spacing w:after="0" w:line="257" w:lineRule="auto"/>
        <w:rPr>
          <w:sz w:val="20"/>
          <w:szCs w:val="20"/>
          <w:color w:val="auto"/>
        </w:rPr>
      </w:pPr>
      <w:r>
        <w:rPr>
          <w:rFonts w:ascii="Times New Roman" w:cs="Times New Roman" w:eastAsia="Times New Roman" w:hAnsi="Times New Roman"/>
          <w:sz w:val="17"/>
          <w:szCs w:val="17"/>
          <w:color w:val="auto"/>
        </w:rPr>
        <w:t>In order to prevent the spread of COVID-19 and to safeguard the health and safety of shareholders, the Company may implement certain precautionary measures at the AGM. All officers and agents of the Company reserve the right to refuse any person entry to the AGM venue, or to instruct any person to leave the AGM venue, where such officer or agent reasonably considers that such refusal or instruction is or may be required for the Company or any other person to be able to comply with applicable laws and regulations. The exercise of such right to refuse entry or instruct to leave shall not invalidate the proceedings at the AGM.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PROXY FORMS, ADS VOTING CARDS AND DEPOSITOR PROXY FORMS</w:t>
      </w:r>
    </w:p>
    <w:p>
      <w:pPr>
        <w:spacing w:after="0" w:line="213" w:lineRule="exact"/>
        <w:rPr>
          <w:sz w:val="20"/>
          <w:szCs w:val="20"/>
          <w:color w:val="auto"/>
        </w:rPr>
      </w:pPr>
    </w:p>
    <w:p>
      <w:pPr>
        <w:jc w:val="both"/>
        <w:ind w:firstLine="506"/>
        <w:spacing w:after="0" w:line="255" w:lineRule="auto"/>
        <w:rPr>
          <w:sz w:val="20"/>
          <w:szCs w:val="20"/>
          <w:color w:val="auto"/>
        </w:rPr>
      </w:pPr>
      <w:r>
        <w:rPr>
          <w:rFonts w:ascii="Times New Roman" w:cs="Times New Roman" w:eastAsia="Times New Roman" w:hAnsi="Times New Roman"/>
          <w:sz w:val="17"/>
          <w:szCs w:val="17"/>
          <w:color w:val="auto"/>
        </w:rPr>
        <w:t xml:space="preserve">A holder of Shares as of the Shares Record Date may attend the AGM in person or appoint one proxy to exercise his or her rights at the AGM. A holder of ADSs as of the ADS Record Date will need to instruct Deutsche Bank Trust Company Americas, the depositary of the ADSs, as to how to vote the Class A Ordinary Shares represented by the ADSs. NIO CDP Depositors can exercise their voting rights in the manner set out in paragraphs (a) or (b) above by submitting the completed AGM Depositor Proxy Form to Boardroom. Please refer to the proxy form (for holders of Shares), ADS voting card (for holders of ADSs) or AGM Depositor Proxy Form (for NIO CDP Depositors), each of which is available on our website at </w:t>
      </w:r>
      <w:r>
        <w:rPr>
          <w:rFonts w:ascii="Times New Roman" w:cs="Times New Roman" w:eastAsia="Times New Roman" w:hAnsi="Times New Roman"/>
          <w:sz w:val="17"/>
          <w:szCs w:val="17"/>
          <w:u w:val="single" w:color="auto"/>
          <w:color w:val="auto"/>
        </w:rPr>
        <w:t>https://ir.nio.com</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both"/>
        <w:ind w:firstLine="596"/>
        <w:spacing w:after="0" w:line="266" w:lineRule="auto"/>
        <w:rPr>
          <w:sz w:val="20"/>
          <w:szCs w:val="20"/>
          <w:color w:val="auto"/>
        </w:rPr>
      </w:pPr>
      <w:r>
        <w:rPr>
          <w:rFonts w:ascii="Times New Roman" w:cs="Times New Roman" w:eastAsia="Times New Roman" w:hAnsi="Times New Roman"/>
          <w:sz w:val="16"/>
          <w:szCs w:val="16"/>
          <w:color w:val="auto"/>
        </w:rPr>
        <w:t>You are urged to complete, sign, date and return the accompanying proxy form to the Company’s Hong Kong branch share registrar and transfer office, Computershare Hong Kong Investor Services Limited (“</w:t>
      </w:r>
      <w:r>
        <w:rPr>
          <w:rFonts w:ascii="Times New Roman" w:cs="Times New Roman" w:eastAsia="Times New Roman" w:hAnsi="Times New Roman"/>
          <w:sz w:val="16"/>
          <w:szCs w:val="16"/>
          <w:b w:val="1"/>
          <w:bCs w:val="1"/>
          <w:color w:val="auto"/>
        </w:rPr>
        <w:t>Computershare</w:t>
      </w:r>
      <w:r>
        <w:rPr>
          <w:rFonts w:ascii="Times New Roman" w:cs="Times New Roman" w:eastAsia="Times New Roman" w:hAnsi="Times New Roman"/>
          <w:sz w:val="16"/>
          <w:szCs w:val="16"/>
          <w:color w:val="auto"/>
        </w:rPr>
        <w:t>”) (for holders of Shares), your voting instructions to Deutsche Bank Trust Company Americas (for holders of the ADSs), and the AGM Depositor Proxy Form to Boardroom (for NIO CDP Depositors) as promptly as possible and before the prescribed deadline if you wish to exercise your voting rights. Computershare must receive the proxy form by no later than 10:30 am, Hong Kong time, on August 23, 2022 at 17M Floor, Hopewell Centre, 183 Queen’s Road East, Wan Chai, Hong Kong, being not less than 48 hours before the time for holding the AGM, to ensure your representation at the AGM. Deutsche Bank Trust Company Americas must receive your voting instructions by no later than 10 am, New York time, on August 11, 2022 to enable the votes attaching to the Shares represented by your ADSs to be cast at the AGM. To exercise their voting rights in the manner set out at paragraphs</w:t>
      </w:r>
    </w:p>
    <w:p>
      <w:pPr>
        <w:spacing w:after="0" w:line="4" w:lineRule="exact"/>
        <w:rPr>
          <w:sz w:val="20"/>
          <w:szCs w:val="20"/>
          <w:color w:val="auto"/>
        </w:rPr>
      </w:pPr>
    </w:p>
    <w:p>
      <w:pPr>
        <w:ind w:firstLine="1"/>
        <w:spacing w:after="0" w:line="256" w:lineRule="auto"/>
        <w:tabs>
          <w:tab w:leader="none" w:pos="24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(b) above under the section titled “Attending the AGM,” NIO CDP Depositors must return the completed AGM Depositor Proxy Form to Boardroom by no later than 5 pm, Singapore time, on August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393700</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ANNUAL REPORT</w:t>
      </w:r>
    </w:p>
    <w:p>
      <w:pPr>
        <w:spacing w:after="0" w:line="213" w:lineRule="exact"/>
        <w:rPr>
          <w:sz w:val="20"/>
          <w:szCs w:val="20"/>
          <w:color w:val="auto"/>
        </w:rPr>
      </w:pPr>
    </w:p>
    <w:p>
      <w:pPr>
        <w:jc w:val="both"/>
        <w:ind w:firstLine="596"/>
        <w:spacing w:after="0" w:line="262" w:lineRule="auto"/>
        <w:rPr>
          <w:sz w:val="20"/>
          <w:szCs w:val="20"/>
          <w:color w:val="auto"/>
        </w:rPr>
      </w:pPr>
      <w:r>
        <w:rPr>
          <w:rFonts w:ascii="Times New Roman" w:cs="Times New Roman" w:eastAsia="Times New Roman" w:hAnsi="Times New Roman"/>
          <w:sz w:val="17"/>
          <w:szCs w:val="17"/>
          <w:color w:val="auto"/>
        </w:rPr>
        <w:t>Shareholders may obtain a copy of the Company’s annual report, free of charge, from the Company’s website at ir.nio.com, the HKEX’s website at www.hkexnews.hk or from the SEC’s website at www.sec.gov, or by contacting Investor Relations Department, NIO Inc., Building 20, No. 56 AnTuo Road, Jiading District, Shanghai, 201804, People’s Republic of China, or by email to ir@nio.com.</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564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By Order of the Board of Directors,</w:t>
            </w:r>
          </w:p>
        </w:tc>
      </w:tr>
      <w:tr>
        <w:trPr>
          <w:trHeight w:val="222"/>
        </w:trPr>
        <w:tc>
          <w:tcPr>
            <w:tcW w:w="564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NIO Inc.</w:t>
            </w:r>
          </w:p>
        </w:tc>
      </w:tr>
      <w:tr>
        <w:trPr>
          <w:trHeight w:val="405"/>
        </w:trPr>
        <w:tc>
          <w:tcPr>
            <w:tcW w:w="564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Bin Li</w:t>
            </w:r>
          </w:p>
        </w:tc>
      </w:tr>
      <w:tr>
        <w:trPr>
          <w:trHeight w:val="175"/>
        </w:trPr>
        <w:tc>
          <w:tcPr>
            <w:tcW w:w="5640" w:type="dxa"/>
            <w:vAlign w:val="bottom"/>
          </w:tcPr>
          <w:p>
            <w:pPr>
              <w:spacing w:after="0"/>
              <w:rPr>
                <w:sz w:val="15"/>
                <w:szCs w:val="15"/>
                <w:color w:val="auto"/>
              </w:rPr>
            </w:pPr>
          </w:p>
        </w:tc>
        <w:tc>
          <w:tcPr>
            <w:tcW w:w="5620" w:type="dxa"/>
            <w:vAlign w:val="bottom"/>
          </w:tcPr>
          <w:p>
            <w:pPr>
              <w:spacing w:after="0" w:line="175" w:lineRule="exact"/>
              <w:rPr>
                <w:sz w:val="20"/>
                <w:szCs w:val="20"/>
                <w:color w:val="auto"/>
              </w:rPr>
            </w:pPr>
            <w:r>
              <w:rPr>
                <w:rFonts w:ascii="Times New Roman" w:cs="Times New Roman" w:eastAsia="Times New Roman" w:hAnsi="Times New Roman"/>
                <w:sz w:val="17"/>
                <w:szCs w:val="17"/>
                <w:b w:val="1"/>
                <w:bCs w:val="1"/>
                <w:color w:val="auto"/>
              </w:rPr>
              <w:t>Bin Li</w:t>
            </w:r>
          </w:p>
        </w:tc>
      </w:tr>
      <w:tr>
        <w:trPr>
          <w:trHeight w:val="222"/>
        </w:trPr>
        <w:tc>
          <w:tcPr>
            <w:tcW w:w="564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Chairman of the Board</w:t>
            </w:r>
          </w:p>
        </w:tc>
      </w:tr>
      <w:tr>
        <w:trPr>
          <w:trHeight w:val="203"/>
        </w:trPr>
        <w:tc>
          <w:tcPr>
            <w:tcW w:w="5640" w:type="dxa"/>
            <w:vAlign w:val="bottom"/>
            <w:tcBorders>
              <w:bottom w:val="single" w:sz="8" w:color="auto"/>
            </w:tcBorders>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r>
      <w:tr>
        <w:trPr>
          <w:trHeight w:val="204"/>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i w:val="1"/>
                <w:iCs w:val="1"/>
                <w:color w:val="auto"/>
              </w:rPr>
              <w:t>Executive Office</w:t>
            </w:r>
            <w:r>
              <w:rPr>
                <w:rFonts w:ascii="Times New Roman" w:cs="Times New Roman" w:eastAsia="Times New Roman" w:hAnsi="Times New Roman"/>
                <w:sz w:val="17"/>
                <w:szCs w:val="17"/>
                <w:color w:val="auto"/>
              </w:rPr>
              <w:t>:</w:t>
            </w: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i w:val="1"/>
                <w:iCs w:val="1"/>
                <w:color w:val="auto"/>
              </w:rPr>
              <w:t>Registered Office</w:t>
            </w:r>
            <w:r>
              <w:rPr>
                <w:rFonts w:ascii="Times New Roman" w:cs="Times New Roman" w:eastAsia="Times New Roman" w:hAnsi="Times New Roman"/>
                <w:sz w:val="17"/>
                <w:szCs w:val="17"/>
                <w:color w:val="auto"/>
              </w:rPr>
              <w:t>:</w:t>
            </w:r>
          </w:p>
        </w:tc>
      </w:tr>
      <w:tr>
        <w:trPr>
          <w:trHeight w:val="202"/>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Building 20, No. 56 AnTuo Road, Anting Town,</w:t>
            </w: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PO Box 309, Ugland House, Grand Cayman,</w:t>
            </w:r>
          </w:p>
        </w:tc>
      </w:tr>
      <w:tr>
        <w:trPr>
          <w:trHeight w:val="202"/>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Jiading District, Shanghai 201804</w:t>
            </w: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KY1-1104, Cayman Islands</w:t>
            </w:r>
          </w:p>
        </w:tc>
      </w:tr>
      <w:tr>
        <w:trPr>
          <w:trHeight w:val="218"/>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People’s Republic of China</w:t>
            </w:r>
          </w:p>
        </w:tc>
        <w:tc>
          <w:tcPr>
            <w:tcW w:w="5620" w:type="dxa"/>
            <w:vAlign w:val="bottom"/>
            <w:tcBorders>
              <w:right w:val="single" w:sz="8" w:color="auto"/>
            </w:tcBorders>
          </w:tcPr>
          <w:p>
            <w:pPr>
              <w:spacing w:after="0"/>
              <w:rPr>
                <w:sz w:val="18"/>
                <w:szCs w:val="18"/>
                <w:color w:val="auto"/>
              </w:rPr>
            </w:pPr>
          </w:p>
        </w:tc>
      </w:tr>
      <w:tr>
        <w:trPr>
          <w:trHeight w:val="26"/>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396"/>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July 26, 2022</w:t>
            </w:r>
          </w:p>
        </w:tc>
        <w:tc>
          <w:tcPr>
            <w:tcW w:w="5620" w:type="dxa"/>
            <w:vAlign w:val="bottom"/>
          </w:tcPr>
          <w:p>
            <w:pPr>
              <w:spacing w:after="0"/>
              <w:rPr>
                <w:sz w:val="24"/>
                <w:szCs w:val="24"/>
                <w:color w:val="auto"/>
              </w:rPr>
            </w:pPr>
          </w:p>
        </w:tc>
      </w:tr>
      <w:tr>
        <w:trPr>
          <w:trHeight w:val="430"/>
        </w:trPr>
        <w:tc>
          <w:tcPr>
            <w:tcW w:w="56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2"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Thirteenth Amended and Restated Memorandum of Association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422910</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852" w:right="1440" w:bottom="1440" w:gutter="0" w:footer="0" w:header="0"/>
        </w:sectPr>
      </w:pPr>
    </w:p>
    <w:bookmarkStart w:id="10" w:name="page11"/>
    <w:bookmarkEnd w:id="10"/>
    <w:p>
      <w:pPr>
        <w:jc w:val="center"/>
        <w:ind w:right="-698"/>
        <w:spacing w:after="0"/>
        <w:rPr>
          <w:sz w:val="20"/>
          <w:szCs w:val="20"/>
          <w:color w:val="auto"/>
        </w:rPr>
      </w:pPr>
      <w:r>
        <w:rPr>
          <w:rFonts w:ascii="Times New Roman" w:cs="Times New Roman" w:eastAsia="Times New Roman" w:hAnsi="Times New Roman"/>
          <w:sz w:val="17"/>
          <w:szCs w:val="17"/>
          <w:b w:val="1"/>
          <w:bCs w:val="1"/>
          <w:color w:val="auto"/>
        </w:rPr>
        <w:t>THE COMPANIES ACT (AS REVISED)</w:t>
      </w:r>
    </w:p>
    <w:p>
      <w:pPr>
        <w:spacing w:after="0" w:line="27" w:lineRule="exact"/>
        <w:rPr>
          <w:sz w:val="20"/>
          <w:szCs w:val="20"/>
          <w:color w:val="auto"/>
        </w:rPr>
      </w:pPr>
    </w:p>
    <w:p>
      <w:pPr>
        <w:jc w:val="center"/>
        <w:ind w:right="-698"/>
        <w:spacing w:after="0"/>
        <w:rPr>
          <w:sz w:val="20"/>
          <w:szCs w:val="20"/>
          <w:color w:val="auto"/>
        </w:rPr>
      </w:pPr>
      <w:r>
        <w:rPr>
          <w:rFonts w:ascii="Times New Roman" w:cs="Times New Roman" w:eastAsia="Times New Roman" w:hAnsi="Times New Roman"/>
          <w:sz w:val="17"/>
          <w:szCs w:val="17"/>
          <w:b w:val="1"/>
          <w:bCs w:val="1"/>
          <w:color w:val="auto"/>
        </w:rPr>
        <w:t>OF THE CAYMAN ISLANDS</w:t>
      </w:r>
    </w:p>
    <w:p>
      <w:pPr>
        <w:spacing w:after="0" w:line="7" w:lineRule="exact"/>
        <w:rPr>
          <w:sz w:val="20"/>
          <w:szCs w:val="20"/>
          <w:color w:val="auto"/>
        </w:rPr>
      </w:pPr>
    </w:p>
    <w:p>
      <w:pPr>
        <w:jc w:val="center"/>
        <w:ind w:right="-698"/>
        <w:spacing w:after="0"/>
        <w:rPr>
          <w:sz w:val="20"/>
          <w:szCs w:val="20"/>
          <w:color w:val="auto"/>
        </w:rPr>
      </w:pPr>
      <w:r>
        <w:rPr>
          <w:rFonts w:ascii="Times New Roman" w:cs="Times New Roman" w:eastAsia="Times New Roman" w:hAnsi="Times New Roman"/>
          <w:sz w:val="17"/>
          <w:szCs w:val="17"/>
          <w:b w:val="1"/>
          <w:bCs w:val="1"/>
          <w:color w:val="auto"/>
        </w:rPr>
        <w:t>COMPANY LIMITED BY SHARES</w:t>
      </w:r>
    </w:p>
    <w:p>
      <w:pPr>
        <w:spacing w:after="0" w:line="7" w:lineRule="exact"/>
        <w:rPr>
          <w:sz w:val="20"/>
          <w:szCs w:val="20"/>
          <w:color w:val="auto"/>
        </w:rPr>
      </w:pPr>
    </w:p>
    <w:p>
      <w:pPr>
        <w:jc w:val="center"/>
        <w:ind w:right="-698"/>
        <w:spacing w:after="0"/>
        <w:rPr>
          <w:sz w:val="20"/>
          <w:szCs w:val="20"/>
          <w:color w:val="auto"/>
        </w:rPr>
      </w:pPr>
      <w:r>
        <w:rPr>
          <w:rFonts w:ascii="Times New Roman" w:cs="Times New Roman" w:eastAsia="Times New Roman" w:hAnsi="Times New Roman"/>
          <w:sz w:val="17"/>
          <w:szCs w:val="17"/>
          <w:b w:val="1"/>
          <w:bCs w:val="1"/>
          <w:color w:val="auto"/>
        </w:rPr>
        <w:t>THIRTEENTH AMENDED AND RESTATED</w:t>
      </w:r>
    </w:p>
    <w:p>
      <w:pPr>
        <w:spacing w:after="0" w:line="7" w:lineRule="exact"/>
        <w:rPr>
          <w:sz w:val="20"/>
          <w:szCs w:val="20"/>
          <w:color w:val="auto"/>
        </w:rPr>
      </w:pPr>
    </w:p>
    <w:p>
      <w:pPr>
        <w:jc w:val="center"/>
        <w:ind w:right="-698"/>
        <w:spacing w:after="0"/>
        <w:rPr>
          <w:sz w:val="20"/>
          <w:szCs w:val="20"/>
          <w:color w:val="auto"/>
        </w:rPr>
      </w:pPr>
      <w:r>
        <w:rPr>
          <w:rFonts w:ascii="Times New Roman" w:cs="Times New Roman" w:eastAsia="Times New Roman" w:hAnsi="Times New Roman"/>
          <w:sz w:val="17"/>
          <w:szCs w:val="17"/>
          <w:b w:val="1"/>
          <w:bCs w:val="1"/>
          <w:color w:val="auto"/>
        </w:rPr>
        <w:t>MEMORANDUM OF ASSOCIATION</w:t>
      </w:r>
    </w:p>
    <w:p>
      <w:pPr>
        <w:spacing w:after="0" w:line="7" w:lineRule="exact"/>
        <w:rPr>
          <w:sz w:val="20"/>
          <w:szCs w:val="20"/>
          <w:color w:val="auto"/>
        </w:rPr>
      </w:pPr>
    </w:p>
    <w:p>
      <w:pPr>
        <w:jc w:val="center"/>
        <w:ind w:right="-698"/>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7" w:lineRule="exact"/>
        <w:rPr>
          <w:sz w:val="20"/>
          <w:szCs w:val="20"/>
          <w:color w:val="auto"/>
        </w:rPr>
      </w:pPr>
    </w:p>
    <w:p>
      <w:pPr>
        <w:ind w:left="5259"/>
        <w:spacing w:after="0"/>
        <w:rPr>
          <w:sz w:val="20"/>
          <w:szCs w:val="20"/>
          <w:color w:val="auto"/>
        </w:rPr>
      </w:pPr>
      <w:r>
        <w:rPr>
          <w:rFonts w:ascii="Times New Roman" w:cs="Times New Roman" w:eastAsia="Times New Roman" w:hAnsi="Times New Roman"/>
          <w:sz w:val="17"/>
          <w:szCs w:val="17"/>
          <w:b w:val="1"/>
          <w:bCs w:val="1"/>
          <w:color w:val="auto"/>
        </w:rPr>
        <w:t>NIO INC.</w:t>
      </w:r>
    </w:p>
    <w:p>
      <w:pPr>
        <w:spacing w:after="0" w:line="9" w:lineRule="exact"/>
        <w:rPr>
          <w:sz w:val="20"/>
          <w:szCs w:val="20"/>
          <w:color w:val="auto"/>
        </w:rPr>
      </w:pPr>
    </w:p>
    <w:p>
      <w:pPr>
        <w:ind w:left="5299"/>
        <w:spacing w:after="0" w:line="204" w:lineRule="exact"/>
        <w:rPr>
          <w:sz w:val="20"/>
          <w:szCs w:val="20"/>
          <w:color w:val="auto"/>
        </w:rPr>
      </w:pPr>
      <w:r>
        <w:rPr>
          <w:rFonts w:ascii="PMingLiU" w:cs="PMingLiU" w:eastAsia="PMingLiU" w:hAnsi="PMingLiU"/>
          <w:sz w:val="17"/>
          <w:szCs w:val="17"/>
          <w:color w:val="auto"/>
          <w:highlight w:val="black"/>
        </w:rPr>
        <w:t>蔚來集團</w:t>
      </w:r>
    </w:p>
    <w:p>
      <w:pPr>
        <w:spacing w:after="0" w:line="207" w:lineRule="exact"/>
        <w:rPr>
          <w:sz w:val="20"/>
          <w:szCs w:val="20"/>
          <w:color w:val="auto"/>
        </w:rPr>
      </w:pPr>
    </w:p>
    <w:p>
      <w:pPr>
        <w:ind w:left="2919"/>
        <w:spacing w:after="0"/>
        <w:rPr>
          <w:sz w:val="20"/>
          <w:szCs w:val="20"/>
          <w:color w:val="auto"/>
        </w:rPr>
      </w:pPr>
      <w:r>
        <w:rPr>
          <w:rFonts w:ascii="Times New Roman" w:cs="Times New Roman" w:eastAsia="Times New Roman" w:hAnsi="Times New Roman"/>
          <w:sz w:val="17"/>
          <w:szCs w:val="17"/>
          <w:color w:val="auto"/>
        </w:rPr>
        <w:t>(Adopted by a Special Resolution passed on [●] 2022 and effective on [●] 2022)</w:t>
      </w:r>
    </w:p>
    <w:p>
      <w:pPr>
        <w:spacing w:after="0" w:line="221" w:lineRule="exact"/>
        <w:rPr>
          <w:sz w:val="20"/>
          <w:szCs w:val="20"/>
          <w:color w:val="auto"/>
        </w:rPr>
      </w:pPr>
    </w:p>
    <w:p>
      <w:pPr>
        <w:ind w:left="459" w:hanging="459"/>
        <w:spacing w:after="0" w:line="207" w:lineRule="exact"/>
        <w:tabs>
          <w:tab w:leader="none" w:pos="45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name of the Company is NIO Inc </w:t>
      </w:r>
      <w:r>
        <w:rPr>
          <w:rFonts w:ascii="PMingLiU" w:cs="PMingLiU" w:eastAsia="PMingLiU" w:hAnsi="PMingLiU"/>
          <w:sz w:val="17"/>
          <w:szCs w:val="17"/>
          <w:color w:val="auto"/>
        </w:rPr>
        <w:t>蔚來集團</w:t>
      </w:r>
      <w:r>
        <w:rPr>
          <w:rFonts w:ascii="Times New Roman" w:cs="Times New Roman" w:eastAsia="Times New Roman" w:hAnsi="Times New Roman"/>
          <w:sz w:val="17"/>
          <w:szCs w:val="17"/>
          <w:color w:val="auto"/>
        </w:rPr>
        <w:t>.</w:t>
      </w:r>
    </w:p>
    <w:p>
      <w:pPr>
        <w:spacing w:after="0" w:line="210" w:lineRule="exact"/>
        <w:rPr>
          <w:rFonts w:ascii="Times New Roman" w:cs="Times New Roman" w:eastAsia="Times New Roman" w:hAnsi="Times New Roman"/>
          <w:sz w:val="17"/>
          <w:szCs w:val="17"/>
          <w:color w:val="auto"/>
        </w:rPr>
      </w:pPr>
    </w:p>
    <w:p>
      <w:pPr>
        <w:ind w:left="459" w:right="380" w:hanging="459"/>
        <w:spacing w:after="0" w:line="308" w:lineRule="auto"/>
        <w:tabs>
          <w:tab w:leader="none" w:pos="45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Office of the Company will be situated at the offices of Maples Corporate Services Limited, PO Box 309, Ugland House, Grand Cayman, KY1-1104, Cayman Islands, or at such other location within the Cayman Islands as the Directors may from time to time determine.</w:t>
      </w:r>
    </w:p>
    <w:p>
      <w:pPr>
        <w:spacing w:after="0" w:line="134" w:lineRule="exact"/>
        <w:rPr>
          <w:rFonts w:ascii="Times New Roman" w:cs="Times New Roman" w:eastAsia="Times New Roman" w:hAnsi="Times New Roman"/>
          <w:sz w:val="16"/>
          <w:szCs w:val="16"/>
          <w:color w:val="auto"/>
        </w:rPr>
      </w:pPr>
    </w:p>
    <w:p>
      <w:pPr>
        <w:ind w:left="459" w:right="200" w:hanging="459"/>
        <w:spacing w:after="0" w:line="275" w:lineRule="auto"/>
        <w:tabs>
          <w:tab w:leader="none" w:pos="45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objects for which the Company is established are unrestricted and the Company shall have full power and authority to carry out any object not prohibited by the Companies Act or any other law of the Cayman Islands.</w:t>
      </w:r>
    </w:p>
    <w:p>
      <w:pPr>
        <w:spacing w:after="0" w:line="158" w:lineRule="exact"/>
        <w:rPr>
          <w:rFonts w:ascii="Times New Roman" w:cs="Times New Roman" w:eastAsia="Times New Roman" w:hAnsi="Times New Roman"/>
          <w:sz w:val="17"/>
          <w:szCs w:val="17"/>
          <w:color w:val="auto"/>
        </w:rPr>
      </w:pPr>
    </w:p>
    <w:p>
      <w:pPr>
        <w:ind w:left="459" w:right="180" w:hanging="459"/>
        <w:spacing w:after="0" w:line="275" w:lineRule="auto"/>
        <w:tabs>
          <w:tab w:leader="none" w:pos="45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and be capable of exercising all the functions of a natural person of full capacity irrespective of any question of corporate benefit as provided by the Companies Act.</w:t>
      </w:r>
    </w:p>
    <w:p>
      <w:pPr>
        <w:spacing w:after="0" w:line="158" w:lineRule="exact"/>
        <w:rPr>
          <w:rFonts w:ascii="Times New Roman" w:cs="Times New Roman" w:eastAsia="Times New Roman" w:hAnsi="Times New Roman"/>
          <w:sz w:val="17"/>
          <w:szCs w:val="17"/>
          <w:color w:val="auto"/>
        </w:rPr>
      </w:pPr>
    </w:p>
    <w:p>
      <w:pPr>
        <w:ind w:left="459" w:hanging="459"/>
        <w:spacing w:after="0" w:line="257" w:lineRule="auto"/>
        <w:tabs>
          <w:tab w:leader="none" w:pos="45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173" w:lineRule="exact"/>
        <w:rPr>
          <w:rFonts w:ascii="Times New Roman" w:cs="Times New Roman" w:eastAsia="Times New Roman" w:hAnsi="Times New Roman"/>
          <w:sz w:val="17"/>
          <w:szCs w:val="17"/>
          <w:color w:val="auto"/>
        </w:rPr>
      </w:pPr>
    </w:p>
    <w:p>
      <w:pPr>
        <w:ind w:left="459" w:hanging="459"/>
        <w:spacing w:after="0"/>
        <w:tabs>
          <w:tab w:leader="none" w:pos="45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liability of each Shareholder is limited to the amount, if any, unpaid on the Shares held by such Shareholder.</w:t>
      </w:r>
    </w:p>
    <w:p>
      <w:pPr>
        <w:spacing w:after="0" w:line="208" w:lineRule="exact"/>
        <w:rPr>
          <w:rFonts w:ascii="Times New Roman" w:cs="Times New Roman" w:eastAsia="Times New Roman" w:hAnsi="Times New Roman"/>
          <w:sz w:val="17"/>
          <w:szCs w:val="17"/>
          <w:color w:val="auto"/>
        </w:rPr>
      </w:pPr>
    </w:p>
    <w:p>
      <w:pPr>
        <w:ind w:left="459" w:right="140" w:hanging="459"/>
        <w:spacing w:after="0" w:line="251" w:lineRule="auto"/>
        <w:tabs>
          <w:tab w:leader="none" w:pos="45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authorised share capital of the Company is US$1,000,000 divided into 4,000,000,000 shares comprising of (i) 2,632,030,222 Class A Ordinary Shares of a par value of US$0.00025 each, (ii) 148,500,000 Class C Ordinary Shares of a par value of US$0.00025 each and (iii) 1,219,469,778 shares of a par value of US$0.00025 each of such class or classes (however designated) as the board of directors may determine in accordance with Article 9 of the Articles. Subject to the Companies Act and the Articles, the Company shall have power to redeem or purchase any of its Shares and to increase or reduce its authorised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181" w:lineRule="exact"/>
        <w:rPr>
          <w:rFonts w:ascii="Times New Roman" w:cs="Times New Roman" w:eastAsia="Times New Roman" w:hAnsi="Times New Roman"/>
          <w:sz w:val="17"/>
          <w:szCs w:val="17"/>
          <w:color w:val="auto"/>
        </w:rPr>
      </w:pPr>
    </w:p>
    <w:p>
      <w:pPr>
        <w:ind w:left="459" w:right="160" w:hanging="459"/>
        <w:spacing w:after="0" w:line="275" w:lineRule="auto"/>
        <w:tabs>
          <w:tab w:leader="none" w:pos="45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the power contained in the Companies Act to deregister in the Cayman Islands and be registered by way of continuation in some other jurisdiction.</w:t>
      </w:r>
    </w:p>
    <w:p>
      <w:pPr>
        <w:spacing w:after="0" w:line="158" w:lineRule="exact"/>
        <w:rPr>
          <w:rFonts w:ascii="Times New Roman" w:cs="Times New Roman" w:eastAsia="Times New Roman" w:hAnsi="Times New Roman"/>
          <w:sz w:val="17"/>
          <w:szCs w:val="17"/>
          <w:color w:val="auto"/>
        </w:rPr>
      </w:pPr>
    </w:p>
    <w:p>
      <w:pPr>
        <w:ind w:left="459" w:hanging="459"/>
        <w:spacing w:after="0" w:line="275" w:lineRule="auto"/>
        <w:tabs>
          <w:tab w:leader="none" w:pos="45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Capitalized terms that are not defined in this Memorandum of Association bear the same meanings as those given in the Articles of Association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384175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539"/>
          </w:cols>
          <w:pgMar w:left="321" w:top="675" w:right="10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THE COMPANIES ACT (AS REVISED)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CAYMAN ISLANDS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COMPANY LIMITED BY SHARES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THIRTEENTH 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ARTICLES OF ASSOCIATION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NIO INC.</w:t>
      </w:r>
    </w:p>
    <w:p>
      <w:pPr>
        <w:spacing w:after="0" w:line="9" w:lineRule="exact"/>
        <w:rPr>
          <w:sz w:val="20"/>
          <w:szCs w:val="20"/>
          <w:color w:val="auto"/>
        </w:rPr>
      </w:pPr>
    </w:p>
    <w:p>
      <w:pPr>
        <w:ind w:left="5300"/>
        <w:spacing w:after="0" w:line="204" w:lineRule="exact"/>
        <w:rPr>
          <w:sz w:val="20"/>
          <w:szCs w:val="20"/>
          <w:color w:val="auto"/>
        </w:rPr>
      </w:pPr>
      <w:r>
        <w:rPr>
          <w:rFonts w:ascii="PMingLiU" w:cs="PMingLiU" w:eastAsia="PMingLiU" w:hAnsi="PMingLiU"/>
          <w:sz w:val="17"/>
          <w:szCs w:val="17"/>
          <w:color w:val="auto"/>
          <w:highlight w:val="black"/>
        </w:rPr>
        <w:t>蔚來集團</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(Adopted by a Special Resolution passed on [●] 2022 and effective on [●] 2022)</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INTERPRETATION</w:t>
      </w:r>
    </w:p>
    <w:p>
      <w:pPr>
        <w:spacing w:after="0" w:line="213" w:lineRule="exact"/>
        <w:rPr>
          <w:sz w:val="20"/>
          <w:szCs w:val="20"/>
          <w:color w:val="auto"/>
        </w:rPr>
      </w:pPr>
    </w:p>
    <w:p>
      <w:pPr>
        <w:ind w:left="460" w:right="720" w:hanging="459"/>
        <w:spacing w:after="0" w:line="275" w:lineRule="auto"/>
        <w:tabs>
          <w:tab w:leader="none" w:pos="4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these Articles Table A in the First Schedule to the Statute does not apply and the following defined terms will have the meanings ascribed to them, if not inconsistent with the subject or context: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“ADS”</w:t>
            </w:r>
          </w:p>
        </w:tc>
        <w:tc>
          <w:tcPr>
            <w:tcW w:w="8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means an American Depositary Share representing Class A Ordinary Shares;</w:t>
            </w:r>
          </w:p>
        </w:tc>
      </w:tr>
      <w:tr>
        <w:trPr>
          <w:trHeight w:val="388"/>
        </w:trPr>
        <w:tc>
          <w:tcPr>
            <w:tcW w:w="2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“Affiliate”</w:t>
            </w:r>
          </w:p>
        </w:tc>
        <w:tc>
          <w:tcPr>
            <w:tcW w:w="8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means in respect of a Person, any other Person that, directly or indirectly, through one or more intermediaries,</w:t>
            </w:r>
          </w:p>
        </w:tc>
      </w:tr>
      <w:tr>
        <w:trPr>
          <w:trHeight w:val="202"/>
        </w:trPr>
        <w:tc>
          <w:tcPr>
            <w:tcW w:w="2800" w:type="dxa"/>
            <w:vAlign w:val="bottom"/>
          </w:tcPr>
          <w:p>
            <w:pPr>
              <w:spacing w:after="0"/>
              <w:rPr>
                <w:sz w:val="17"/>
                <w:szCs w:val="17"/>
                <w:color w:val="auto"/>
              </w:rPr>
            </w:pPr>
          </w:p>
        </w:tc>
        <w:tc>
          <w:tcPr>
            <w:tcW w:w="8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controls, is controlled by, or is under common control with, such Person, and (i) in the case of a natural person,</w:t>
            </w:r>
          </w:p>
        </w:tc>
      </w:tr>
      <w:tr>
        <w:trPr>
          <w:trHeight w:val="202"/>
        </w:trPr>
        <w:tc>
          <w:tcPr>
            <w:tcW w:w="2800" w:type="dxa"/>
            <w:vAlign w:val="bottom"/>
          </w:tcPr>
          <w:p>
            <w:pPr>
              <w:spacing w:after="0"/>
              <w:rPr>
                <w:sz w:val="17"/>
                <w:szCs w:val="17"/>
                <w:color w:val="auto"/>
              </w:rPr>
            </w:pPr>
          </w:p>
        </w:tc>
        <w:tc>
          <w:tcPr>
            <w:tcW w:w="8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shall include, without limitation, such person’s spouse, parents, children, siblings, mother-in-law, father-in-law,</w:t>
            </w:r>
          </w:p>
        </w:tc>
      </w:tr>
      <w:tr>
        <w:trPr>
          <w:trHeight w:val="202"/>
        </w:trPr>
        <w:tc>
          <w:tcPr>
            <w:tcW w:w="2800" w:type="dxa"/>
            <w:vAlign w:val="bottom"/>
          </w:tcPr>
          <w:p>
            <w:pPr>
              <w:spacing w:after="0"/>
              <w:rPr>
                <w:sz w:val="17"/>
                <w:szCs w:val="17"/>
                <w:color w:val="auto"/>
              </w:rPr>
            </w:pPr>
          </w:p>
        </w:tc>
        <w:tc>
          <w:tcPr>
            <w:tcW w:w="8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brothers-in-law and sisters-in-law, a trust for the benefit of any of the foregoing, and a corporation, partnership or</w:t>
            </w:r>
          </w:p>
        </w:tc>
      </w:tr>
      <w:tr>
        <w:trPr>
          <w:trHeight w:val="202"/>
        </w:trPr>
        <w:tc>
          <w:tcPr>
            <w:tcW w:w="2800" w:type="dxa"/>
            <w:vAlign w:val="bottom"/>
          </w:tcPr>
          <w:p>
            <w:pPr>
              <w:spacing w:after="0"/>
              <w:rPr>
                <w:sz w:val="17"/>
                <w:szCs w:val="17"/>
                <w:color w:val="auto"/>
              </w:rPr>
            </w:pPr>
          </w:p>
        </w:tc>
        <w:tc>
          <w:tcPr>
            <w:tcW w:w="8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any other entity wholly or jointly owned by any of the foregoing, and (ii) in the case of an entity, shall include a</w:t>
            </w:r>
          </w:p>
        </w:tc>
      </w:tr>
      <w:tr>
        <w:trPr>
          <w:trHeight w:val="202"/>
        </w:trPr>
        <w:tc>
          <w:tcPr>
            <w:tcW w:w="2800" w:type="dxa"/>
            <w:vAlign w:val="bottom"/>
          </w:tcPr>
          <w:p>
            <w:pPr>
              <w:spacing w:after="0"/>
              <w:rPr>
                <w:sz w:val="17"/>
                <w:szCs w:val="17"/>
                <w:color w:val="auto"/>
              </w:rPr>
            </w:pPr>
          </w:p>
        </w:tc>
        <w:tc>
          <w:tcPr>
            <w:tcW w:w="8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partnership, a corporation or any other entity or any natural person which directly, or indirectly through one or</w:t>
            </w:r>
          </w:p>
        </w:tc>
      </w:tr>
      <w:tr>
        <w:trPr>
          <w:trHeight w:val="202"/>
        </w:trPr>
        <w:tc>
          <w:tcPr>
            <w:tcW w:w="2800" w:type="dxa"/>
            <w:vAlign w:val="bottom"/>
          </w:tcPr>
          <w:p>
            <w:pPr>
              <w:spacing w:after="0"/>
              <w:rPr>
                <w:sz w:val="17"/>
                <w:szCs w:val="17"/>
                <w:color w:val="auto"/>
              </w:rPr>
            </w:pPr>
          </w:p>
        </w:tc>
        <w:tc>
          <w:tcPr>
            <w:tcW w:w="8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more intermediaries, controls, is controlled by, or is under common control with, such entity. The term “control”</w:t>
            </w:r>
          </w:p>
        </w:tc>
      </w:tr>
      <w:tr>
        <w:trPr>
          <w:trHeight w:val="202"/>
        </w:trPr>
        <w:tc>
          <w:tcPr>
            <w:tcW w:w="2800" w:type="dxa"/>
            <w:vAlign w:val="bottom"/>
          </w:tcPr>
          <w:p>
            <w:pPr>
              <w:spacing w:after="0"/>
              <w:rPr>
                <w:sz w:val="17"/>
                <w:szCs w:val="17"/>
                <w:color w:val="auto"/>
              </w:rPr>
            </w:pPr>
          </w:p>
        </w:tc>
        <w:tc>
          <w:tcPr>
            <w:tcW w:w="8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shall mean the ownership, directly or indirectly, of shares possessing more than fifty per cent (50%) of the voting</w:t>
            </w:r>
          </w:p>
        </w:tc>
      </w:tr>
      <w:tr>
        <w:trPr>
          <w:trHeight w:val="202"/>
        </w:trPr>
        <w:tc>
          <w:tcPr>
            <w:tcW w:w="2800" w:type="dxa"/>
            <w:vAlign w:val="bottom"/>
          </w:tcPr>
          <w:p>
            <w:pPr>
              <w:spacing w:after="0"/>
              <w:rPr>
                <w:sz w:val="17"/>
                <w:szCs w:val="17"/>
                <w:color w:val="auto"/>
              </w:rPr>
            </w:pPr>
          </w:p>
        </w:tc>
        <w:tc>
          <w:tcPr>
            <w:tcW w:w="8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power of the corporation, partnership or other entity (other than, in the case of a corporation, securities having</w:t>
            </w:r>
          </w:p>
        </w:tc>
      </w:tr>
      <w:tr>
        <w:trPr>
          <w:trHeight w:val="202"/>
        </w:trPr>
        <w:tc>
          <w:tcPr>
            <w:tcW w:w="2800" w:type="dxa"/>
            <w:vAlign w:val="bottom"/>
          </w:tcPr>
          <w:p>
            <w:pPr>
              <w:spacing w:after="0"/>
              <w:rPr>
                <w:sz w:val="17"/>
                <w:szCs w:val="17"/>
                <w:color w:val="auto"/>
              </w:rPr>
            </w:pPr>
          </w:p>
        </w:tc>
        <w:tc>
          <w:tcPr>
            <w:tcW w:w="8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such power only by reason of the happening of a contingency), or having the power to control the management or</w:t>
            </w:r>
          </w:p>
        </w:tc>
      </w:tr>
      <w:tr>
        <w:trPr>
          <w:trHeight w:val="202"/>
        </w:trPr>
        <w:tc>
          <w:tcPr>
            <w:tcW w:w="2800" w:type="dxa"/>
            <w:vAlign w:val="bottom"/>
          </w:tcPr>
          <w:p>
            <w:pPr>
              <w:spacing w:after="0"/>
              <w:rPr>
                <w:sz w:val="17"/>
                <w:szCs w:val="17"/>
                <w:color w:val="auto"/>
              </w:rPr>
            </w:pPr>
          </w:p>
        </w:tc>
        <w:tc>
          <w:tcPr>
            <w:tcW w:w="8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elect a majority of members to the board of directors or equivalent decision-making body of such corporation,</w:t>
            </w:r>
          </w:p>
        </w:tc>
      </w:tr>
      <w:tr>
        <w:trPr>
          <w:trHeight w:val="218"/>
        </w:trPr>
        <w:tc>
          <w:tcPr>
            <w:tcW w:w="2800" w:type="dxa"/>
            <w:vAlign w:val="bottom"/>
          </w:tcPr>
          <w:p>
            <w:pPr>
              <w:spacing w:after="0"/>
              <w:rPr>
                <w:sz w:val="18"/>
                <w:szCs w:val="18"/>
                <w:color w:val="auto"/>
              </w:rPr>
            </w:pPr>
          </w:p>
        </w:tc>
        <w:tc>
          <w:tcPr>
            <w:tcW w:w="8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partnership or other entity;</w:t>
            </w:r>
          </w:p>
        </w:tc>
      </w:tr>
      <w:tr>
        <w:trPr>
          <w:trHeight w:val="404"/>
        </w:trPr>
        <w:tc>
          <w:tcPr>
            <w:tcW w:w="2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“Articles”</w:t>
            </w:r>
          </w:p>
        </w:tc>
        <w:tc>
          <w:tcPr>
            <w:tcW w:w="8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means these articles of association of the Company, as amended or substituted from time to time;</w:t>
            </w:r>
          </w:p>
        </w:tc>
      </w:tr>
      <w:tr>
        <w:trPr>
          <w:trHeight w:val="388"/>
        </w:trPr>
        <w:tc>
          <w:tcPr>
            <w:tcW w:w="2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“black rainstorm warning”</w:t>
            </w:r>
          </w:p>
        </w:tc>
        <w:tc>
          <w:tcPr>
            <w:tcW w:w="8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has the meaning given to it in the Interpretation and General Clauses Ordinance (Cap. 1 of the Laws of Hong</w:t>
            </w:r>
          </w:p>
        </w:tc>
      </w:tr>
      <w:tr>
        <w:trPr>
          <w:trHeight w:val="218"/>
        </w:trPr>
        <w:tc>
          <w:tcPr>
            <w:tcW w:w="2800" w:type="dxa"/>
            <w:vAlign w:val="bottom"/>
          </w:tcPr>
          <w:p>
            <w:pPr>
              <w:spacing w:after="0"/>
              <w:rPr>
                <w:sz w:val="18"/>
                <w:szCs w:val="18"/>
                <w:color w:val="auto"/>
              </w:rPr>
            </w:pPr>
          </w:p>
        </w:tc>
        <w:tc>
          <w:tcPr>
            <w:tcW w:w="8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Kong);</w:t>
            </w:r>
          </w:p>
        </w:tc>
      </w:tr>
      <w:tr>
        <w:trPr>
          <w:trHeight w:val="384"/>
        </w:trPr>
        <w:tc>
          <w:tcPr>
            <w:tcW w:w="2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“Board”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“Board of Directors” </w:t>
            </w:r>
            <w:r>
              <w:rPr>
                <w:rFonts w:ascii="Times New Roman" w:cs="Times New Roman" w:eastAsia="Times New Roman" w:hAnsi="Times New Roman"/>
                <w:sz w:val="17"/>
                <w:szCs w:val="17"/>
                <w:color w:val="auto"/>
              </w:rPr>
              <w:t>and</w:t>
            </w:r>
          </w:p>
        </w:tc>
        <w:tc>
          <w:tcPr>
            <w:tcW w:w="8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means the directors of the Company for the time being, or as the case may be, the directors assembled as a board</w:t>
            </w:r>
          </w:p>
        </w:tc>
      </w:tr>
      <w:tr>
        <w:trPr>
          <w:trHeight w:val="222"/>
        </w:trPr>
        <w:tc>
          <w:tcPr>
            <w:tcW w:w="2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“Directors”</w:t>
            </w:r>
          </w:p>
        </w:tc>
        <w:tc>
          <w:tcPr>
            <w:tcW w:w="8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or as a committee thereof;</w:t>
            </w:r>
          </w:p>
        </w:tc>
      </w:tr>
      <w:tr>
        <w:trPr>
          <w:trHeight w:val="404"/>
        </w:trPr>
        <w:tc>
          <w:tcPr>
            <w:tcW w:w="2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“Chairman”</w:t>
            </w:r>
          </w:p>
        </w:tc>
        <w:tc>
          <w:tcPr>
            <w:tcW w:w="8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means the chairman of the Board of Directors;</w:t>
            </w:r>
          </w:p>
        </w:tc>
      </w:tr>
      <w:tr>
        <w:trPr>
          <w:trHeight w:val="607"/>
        </w:trPr>
        <w:tc>
          <w:tcPr>
            <w:tcW w:w="280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7"/>
                <w:szCs w:val="17"/>
                <w:color w:val="auto"/>
              </w:rPr>
              <w:t>2</w:t>
            </w:r>
          </w:p>
        </w:tc>
      </w:tr>
    </w:tbl>
    <w:p>
      <w:pPr>
        <w:sectPr>
          <w:pgSz w:w="11900" w:h="16838" w:orient="portrait"/>
          <w:cols w:equalWidth="0" w:num="1">
            <w:col w:w="11240"/>
          </w:cols>
          <w:pgMar w:left="320" w:top="852"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“Class” or “Classes”</w:t>
            </w: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means any class or classes of Shares as may from time to time be issued by the Company;</w:t>
            </w:r>
          </w:p>
        </w:tc>
      </w:tr>
      <w:tr>
        <w:trPr>
          <w:trHeight w:val="388"/>
        </w:trPr>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“Class A Ordinary Share”</w:t>
            </w: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means a Class A Ordinary Share of a par value of US$0.00025 in the capital of the Company, and having the</w:t>
            </w:r>
          </w:p>
        </w:tc>
      </w:tr>
      <w:tr>
        <w:trPr>
          <w:trHeight w:val="218"/>
        </w:trPr>
        <w:tc>
          <w:tcPr>
            <w:tcW w:w="2760" w:type="dxa"/>
            <w:vAlign w:val="bottom"/>
          </w:tcPr>
          <w:p>
            <w:pPr>
              <w:spacing w:after="0"/>
              <w:rPr>
                <w:sz w:val="18"/>
                <w:szCs w:val="18"/>
                <w:color w:val="auto"/>
              </w:rPr>
            </w:pP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rights, preferences, privileges and restrictions provided for in the Memorandum and these Articles;</w:t>
            </w:r>
          </w:p>
        </w:tc>
      </w:tr>
      <w:tr>
        <w:trPr>
          <w:trHeight w:val="388"/>
        </w:trPr>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“Class C Ordinary Share”</w:t>
            </w: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means a Class C Ordinary Share of a par value of US$0.00025 in the capital of the Company, and having the</w:t>
            </w:r>
          </w:p>
        </w:tc>
      </w:tr>
      <w:tr>
        <w:trPr>
          <w:trHeight w:val="218"/>
        </w:trPr>
        <w:tc>
          <w:tcPr>
            <w:tcW w:w="2760" w:type="dxa"/>
            <w:vAlign w:val="bottom"/>
          </w:tcPr>
          <w:p>
            <w:pPr>
              <w:spacing w:after="0"/>
              <w:rPr>
                <w:sz w:val="18"/>
                <w:szCs w:val="18"/>
                <w:color w:val="auto"/>
              </w:rPr>
            </w:pP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rights, preferences, privileges and restrictions provided for in the Memorandum and these Articles;</w:t>
            </w:r>
          </w:p>
        </w:tc>
      </w:tr>
      <w:tr>
        <w:trPr>
          <w:trHeight w:val="404"/>
        </w:trPr>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“Close Associate(s)”</w:t>
            </w: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has the same meaning as defined in the Listing Rules;</w:t>
            </w:r>
          </w:p>
        </w:tc>
      </w:tr>
      <w:tr>
        <w:trPr>
          <w:trHeight w:val="388"/>
        </w:trPr>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“Commission”</w:t>
            </w: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means the Securities and Exchange Commission of the United States of America or any other federal agency for</w:t>
            </w:r>
          </w:p>
        </w:tc>
      </w:tr>
      <w:tr>
        <w:trPr>
          <w:trHeight w:val="218"/>
        </w:trPr>
        <w:tc>
          <w:tcPr>
            <w:tcW w:w="2760" w:type="dxa"/>
            <w:vAlign w:val="bottom"/>
          </w:tcPr>
          <w:p>
            <w:pPr>
              <w:spacing w:after="0"/>
              <w:rPr>
                <w:sz w:val="18"/>
                <w:szCs w:val="18"/>
                <w:color w:val="auto"/>
              </w:rPr>
            </w:pP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the time being administering the Securities Act;</w:t>
            </w:r>
          </w:p>
        </w:tc>
      </w:tr>
      <w:tr>
        <w:trPr>
          <w:trHeight w:val="388"/>
        </w:trPr>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"Communication Facilities"</w:t>
            </w: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means video, video-conferencing, internet or online conferencing applications, telephone or tele-conferencing,</w:t>
            </w:r>
          </w:p>
        </w:tc>
      </w:tr>
      <w:tr>
        <w:trPr>
          <w:trHeight w:val="202"/>
        </w:trPr>
        <w:tc>
          <w:tcPr>
            <w:tcW w:w="2760" w:type="dxa"/>
            <w:vAlign w:val="bottom"/>
          </w:tcPr>
          <w:p>
            <w:pPr>
              <w:spacing w:after="0"/>
              <w:rPr>
                <w:sz w:val="17"/>
                <w:szCs w:val="17"/>
                <w:color w:val="auto"/>
              </w:rPr>
            </w:pP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and/or any other video-communications, internet or online conferencing application or telecommunications</w:t>
            </w:r>
          </w:p>
        </w:tc>
      </w:tr>
      <w:tr>
        <w:trPr>
          <w:trHeight w:val="202"/>
        </w:trPr>
        <w:tc>
          <w:tcPr>
            <w:tcW w:w="2760" w:type="dxa"/>
            <w:vAlign w:val="bottom"/>
          </w:tcPr>
          <w:p>
            <w:pPr>
              <w:spacing w:after="0"/>
              <w:rPr>
                <w:sz w:val="17"/>
                <w:szCs w:val="17"/>
                <w:color w:val="auto"/>
              </w:rPr>
            </w:pP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facilities by means of which all Persons participating in a meeting are capable of hearing and being heard by each</w:t>
            </w:r>
          </w:p>
        </w:tc>
      </w:tr>
      <w:tr>
        <w:trPr>
          <w:trHeight w:val="218"/>
        </w:trPr>
        <w:tc>
          <w:tcPr>
            <w:tcW w:w="2760" w:type="dxa"/>
            <w:vAlign w:val="bottom"/>
          </w:tcPr>
          <w:p>
            <w:pPr>
              <w:spacing w:after="0"/>
              <w:rPr>
                <w:sz w:val="18"/>
                <w:szCs w:val="18"/>
                <w:color w:val="auto"/>
              </w:rPr>
            </w:pP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other;</w:t>
            </w:r>
          </w:p>
        </w:tc>
      </w:tr>
      <w:tr>
        <w:trPr>
          <w:trHeight w:val="417"/>
        </w:trPr>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“Company”</w:t>
            </w:r>
          </w:p>
        </w:tc>
        <w:tc>
          <w:tcPr>
            <w:tcW w:w="8480" w:type="dxa"/>
            <w:vAlign w:val="bottom"/>
          </w:tcPr>
          <w:p>
            <w:pPr>
              <w:ind w:left="80"/>
              <w:spacing w:after="0" w:line="207" w:lineRule="exact"/>
              <w:rPr>
                <w:sz w:val="20"/>
                <w:szCs w:val="20"/>
                <w:color w:val="auto"/>
              </w:rPr>
            </w:pPr>
            <w:r>
              <w:rPr>
                <w:rFonts w:ascii="Times New Roman" w:cs="Times New Roman" w:eastAsia="Times New Roman" w:hAnsi="Times New Roman"/>
                <w:sz w:val="17"/>
                <w:szCs w:val="17"/>
                <w:color w:val="auto"/>
              </w:rPr>
              <w:t xml:space="preserve">means NIO Inc. </w:t>
            </w:r>
            <w:r>
              <w:rPr>
                <w:rFonts w:ascii="PMingLiU" w:cs="PMingLiU" w:eastAsia="PMingLiU" w:hAnsi="PMingLiU"/>
                <w:sz w:val="17"/>
                <w:szCs w:val="17"/>
                <w:color w:val="auto"/>
              </w:rPr>
              <w:t>蔚來集團</w:t>
            </w:r>
            <w:r>
              <w:rPr>
                <w:rFonts w:ascii="Times New Roman" w:cs="Times New Roman" w:eastAsia="Times New Roman" w:hAnsi="Times New Roman"/>
                <w:sz w:val="17"/>
                <w:szCs w:val="17"/>
                <w:color w:val="auto"/>
              </w:rPr>
              <w:t>, a Cayman Islands exempted company;</w:t>
            </w:r>
          </w:p>
        </w:tc>
      </w:tr>
      <w:tr>
        <w:trPr>
          <w:trHeight w:val="401"/>
        </w:trPr>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“Companies Act”</w:t>
            </w: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means the Companies Act (As Revised) of the Cayman Islands and any statutory amendment or re-enactment</w:t>
            </w:r>
          </w:p>
        </w:tc>
      </w:tr>
      <w:tr>
        <w:trPr>
          <w:trHeight w:val="218"/>
        </w:trPr>
        <w:tc>
          <w:tcPr>
            <w:tcW w:w="2760" w:type="dxa"/>
            <w:vAlign w:val="bottom"/>
          </w:tcPr>
          <w:p>
            <w:pPr>
              <w:spacing w:after="0"/>
              <w:rPr>
                <w:sz w:val="18"/>
                <w:szCs w:val="18"/>
                <w:color w:val="auto"/>
              </w:rPr>
            </w:pP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thereof;</w:t>
            </w:r>
          </w:p>
        </w:tc>
      </w:tr>
      <w:tr>
        <w:trPr>
          <w:trHeight w:val="404"/>
        </w:trPr>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“Companies Ordinance”</w:t>
            </w: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means the Companies Ordinance, Cap. 622 of the Laws of Hong Kong as amended from time to time;</w:t>
            </w:r>
          </w:p>
        </w:tc>
      </w:tr>
      <w:tr>
        <w:trPr>
          <w:trHeight w:val="388"/>
        </w:trPr>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“Company’s Website”</w:t>
            </w: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means the main corporate/investor relations website of the Company, the address or domain name of which has</w:t>
            </w:r>
          </w:p>
        </w:tc>
      </w:tr>
      <w:tr>
        <w:trPr>
          <w:trHeight w:val="202"/>
        </w:trPr>
        <w:tc>
          <w:tcPr>
            <w:tcW w:w="2760" w:type="dxa"/>
            <w:vAlign w:val="bottom"/>
          </w:tcPr>
          <w:p>
            <w:pPr>
              <w:spacing w:after="0"/>
              <w:rPr>
                <w:sz w:val="17"/>
                <w:szCs w:val="17"/>
                <w:color w:val="auto"/>
              </w:rPr>
            </w:pP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been disclosed in any registration statement filed by the Company with the Commission in connection with its</w:t>
            </w:r>
          </w:p>
        </w:tc>
      </w:tr>
      <w:tr>
        <w:trPr>
          <w:trHeight w:val="218"/>
        </w:trPr>
        <w:tc>
          <w:tcPr>
            <w:tcW w:w="2760" w:type="dxa"/>
            <w:vAlign w:val="bottom"/>
          </w:tcPr>
          <w:p>
            <w:pPr>
              <w:spacing w:after="0"/>
              <w:rPr>
                <w:sz w:val="18"/>
                <w:szCs w:val="18"/>
                <w:color w:val="auto"/>
              </w:rPr>
            </w:pP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initial public offering of ADSs, or which has otherwise been notified to Shareholders;</w:t>
            </w:r>
          </w:p>
        </w:tc>
      </w:tr>
      <w:tr>
        <w:trPr>
          <w:trHeight w:val="404"/>
        </w:trPr>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“Compliance Adviser”</w:t>
            </w: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shall have the meaning given to it in the Listing Rules.</w:t>
            </w:r>
          </w:p>
        </w:tc>
      </w:tr>
      <w:tr>
        <w:trPr>
          <w:trHeight w:val="404"/>
        </w:trPr>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“Corporate Governance Committee”</w:t>
            </w: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means the corporate governance committee of the Board established in accordance with these Articles;</w:t>
            </w:r>
          </w:p>
        </w:tc>
      </w:tr>
      <w:tr>
        <w:trPr>
          <w:trHeight w:val="388"/>
        </w:trPr>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“Corporate Governance Report”</w:t>
            </w: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means the corporate governance report to be included in the Company's annual reports or summary financial</w:t>
            </w:r>
          </w:p>
        </w:tc>
      </w:tr>
      <w:tr>
        <w:trPr>
          <w:trHeight w:val="218"/>
        </w:trPr>
        <w:tc>
          <w:tcPr>
            <w:tcW w:w="2760" w:type="dxa"/>
            <w:vAlign w:val="bottom"/>
          </w:tcPr>
          <w:p>
            <w:pPr>
              <w:spacing w:after="0"/>
              <w:rPr>
                <w:sz w:val="18"/>
                <w:szCs w:val="18"/>
                <w:color w:val="auto"/>
              </w:rPr>
            </w:pP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reports, if any, in accordance with the Listing Rules;</w:t>
            </w:r>
          </w:p>
        </w:tc>
      </w:tr>
      <w:tr>
        <w:trPr>
          <w:trHeight w:val="388"/>
        </w:trPr>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“Designated Stock Exchange”</w:t>
            </w: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means (i) the stock exchange in the United States on which any Shares or ADSs are listed for trading or (ii) The</w:t>
            </w:r>
          </w:p>
        </w:tc>
      </w:tr>
      <w:tr>
        <w:trPr>
          <w:trHeight w:val="218"/>
        </w:trPr>
        <w:tc>
          <w:tcPr>
            <w:tcW w:w="2760" w:type="dxa"/>
            <w:vAlign w:val="bottom"/>
          </w:tcPr>
          <w:p>
            <w:pPr>
              <w:spacing w:after="0"/>
              <w:rPr>
                <w:sz w:val="18"/>
                <w:szCs w:val="18"/>
                <w:color w:val="auto"/>
              </w:rPr>
            </w:pP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Stock Exchange of Hong Kong Limited on which any Shares are listed for trading;</w:t>
            </w:r>
          </w:p>
        </w:tc>
      </w:tr>
      <w:tr>
        <w:trPr>
          <w:trHeight w:val="388"/>
        </w:trPr>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“Designated Stock Exchange Rules”</w:t>
            </w: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means the relevant code, rules and regulations, as amended, from time to time, applicable as a result of the</w:t>
            </w:r>
          </w:p>
        </w:tc>
      </w:tr>
      <w:tr>
        <w:trPr>
          <w:trHeight w:val="218"/>
        </w:trPr>
        <w:tc>
          <w:tcPr>
            <w:tcW w:w="2760" w:type="dxa"/>
            <w:vAlign w:val="bottom"/>
          </w:tcPr>
          <w:p>
            <w:pPr>
              <w:spacing w:after="0"/>
              <w:rPr>
                <w:sz w:val="18"/>
                <w:szCs w:val="18"/>
                <w:color w:val="auto"/>
              </w:rPr>
            </w:pP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original and continued listing of any Shares or ADSs on the Designated Stock Exchange;</w:t>
            </w:r>
          </w:p>
        </w:tc>
      </w:tr>
      <w:tr>
        <w:trPr>
          <w:trHeight w:val="388"/>
        </w:trPr>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“Director Holding Vehicle”</w:t>
            </w: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means a limited partnership, trust, private company or other vehicle wholly owned or wholly controlled by a</w:t>
            </w:r>
          </w:p>
        </w:tc>
      </w:tr>
      <w:tr>
        <w:trPr>
          <w:trHeight w:val="218"/>
        </w:trPr>
        <w:tc>
          <w:tcPr>
            <w:tcW w:w="2760" w:type="dxa"/>
            <w:vAlign w:val="bottom"/>
          </w:tcPr>
          <w:p>
            <w:pPr>
              <w:spacing w:after="0"/>
              <w:rPr>
                <w:sz w:val="18"/>
                <w:szCs w:val="18"/>
                <w:color w:val="auto"/>
              </w:rPr>
            </w:pPr>
          </w:p>
        </w:tc>
        <w:tc>
          <w:tcPr>
            <w:tcW w:w="8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Director;</w:t>
            </w:r>
          </w:p>
        </w:tc>
      </w:tr>
      <w:tr>
        <w:trPr>
          <w:trHeight w:val="607"/>
        </w:trPr>
        <w:tc>
          <w:tcPr>
            <w:tcW w:w="276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2800"/>
              <w:spacing w:after="0"/>
              <w:rPr>
                <w:sz w:val="20"/>
                <w:szCs w:val="20"/>
                <w:color w:val="auto"/>
              </w:rPr>
            </w:pPr>
            <w:r>
              <w:rPr>
                <w:rFonts w:ascii="Times New Roman" w:cs="Times New Roman" w:eastAsia="Times New Roman" w:hAnsi="Times New Roman"/>
                <w:sz w:val="17"/>
                <w:szCs w:val="17"/>
                <w:color w:val="auto"/>
              </w:rPr>
              <w:t>3</w:t>
            </w:r>
          </w:p>
        </w:tc>
      </w:tr>
    </w:tbl>
    <w:p>
      <w:pPr>
        <w:sectPr>
          <w:pgSz w:w="11900" w:h="16838" w:orient="portrait"/>
          <w:cols w:equalWidth="0" w:num="1">
            <w:col w:w="11240"/>
          </w:cols>
          <w:pgMar w:left="320" w:top="852"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“electronic”</w:t>
            </w: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has the meaning given to it in the Electronic Transactions Act and any amendment thereto or re-enactments</w:t>
            </w:r>
          </w:p>
        </w:tc>
      </w:tr>
      <w:tr>
        <w:trPr>
          <w:trHeight w:val="218"/>
        </w:trPr>
        <w:tc>
          <w:tcPr>
            <w:tcW w:w="2700" w:type="dxa"/>
            <w:vAlign w:val="bottom"/>
          </w:tcPr>
          <w:p>
            <w:pPr>
              <w:spacing w:after="0"/>
              <w:rPr>
                <w:sz w:val="18"/>
                <w:szCs w:val="18"/>
                <w:color w:val="auto"/>
              </w:rPr>
            </w:pP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thereof for the time being in force and includes every other law incorporated therewith or substituted therefor;</w:t>
            </w:r>
          </w:p>
        </w:tc>
      </w:tr>
      <w:tr>
        <w:trPr>
          <w:trHeight w:val="388"/>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“electronic communication”</w:t>
            </w: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means electronic posting to the Company’s Website, transmission to any number, address or internet website or</w:t>
            </w:r>
          </w:p>
        </w:tc>
      </w:tr>
      <w:tr>
        <w:trPr>
          <w:trHeight w:val="202"/>
        </w:trPr>
        <w:tc>
          <w:tcPr>
            <w:tcW w:w="2700" w:type="dxa"/>
            <w:vAlign w:val="bottom"/>
          </w:tcPr>
          <w:p>
            <w:pPr>
              <w:spacing w:after="0"/>
              <w:rPr>
                <w:sz w:val="17"/>
                <w:szCs w:val="17"/>
                <w:color w:val="auto"/>
              </w:rPr>
            </w:pP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electronic delivery methods as otherwise decided and approved by not less than two-thirds of the vote of the</w:t>
            </w:r>
          </w:p>
        </w:tc>
      </w:tr>
      <w:tr>
        <w:trPr>
          <w:trHeight w:val="218"/>
        </w:trPr>
        <w:tc>
          <w:tcPr>
            <w:tcW w:w="2700" w:type="dxa"/>
            <w:vAlign w:val="bottom"/>
          </w:tcPr>
          <w:p>
            <w:pPr>
              <w:spacing w:after="0"/>
              <w:rPr>
                <w:sz w:val="18"/>
                <w:szCs w:val="18"/>
                <w:color w:val="auto"/>
              </w:rPr>
            </w:pP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Board;</w:t>
            </w:r>
          </w:p>
        </w:tc>
      </w:tr>
      <w:tr>
        <w:trPr>
          <w:trHeight w:val="404"/>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“Electronic Transactions Act”</w:t>
            </w: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means the Electronic Transactions Act (As Revised) of the Cayman Islands;</w:t>
            </w:r>
          </w:p>
        </w:tc>
      </w:tr>
      <w:tr>
        <w:trPr>
          <w:trHeight w:val="404"/>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“electronic record”</w:t>
            </w: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has the meaning given to it in the Electronic Transactions Act;</w:t>
            </w:r>
          </w:p>
        </w:tc>
      </w:tr>
      <w:tr>
        <w:trPr>
          <w:trHeight w:val="404"/>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"Founder"</w:t>
            </w: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Mr. Bin Li;</w:t>
            </w:r>
          </w:p>
        </w:tc>
      </w:tr>
      <w:tr>
        <w:trPr>
          <w:trHeight w:val="388"/>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"gale warning"</w:t>
            </w: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has the meaning given to it in the Interpretation and General Clauses Ordinance (Cap. 1 of the Laws of Hong</w:t>
            </w:r>
          </w:p>
        </w:tc>
      </w:tr>
      <w:tr>
        <w:trPr>
          <w:trHeight w:val="218"/>
        </w:trPr>
        <w:tc>
          <w:tcPr>
            <w:tcW w:w="2700" w:type="dxa"/>
            <w:vAlign w:val="bottom"/>
          </w:tcPr>
          <w:p>
            <w:pPr>
              <w:spacing w:after="0"/>
              <w:rPr>
                <w:sz w:val="18"/>
                <w:szCs w:val="18"/>
                <w:color w:val="auto"/>
              </w:rPr>
            </w:pP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Kong);</w:t>
            </w:r>
          </w:p>
        </w:tc>
      </w:tr>
      <w:tr>
        <w:trPr>
          <w:trHeight w:val="388"/>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“Head Office”</w:t>
            </w: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means such office of the Company as the Board may from time to time determine to be the principal office of the</w:t>
            </w:r>
          </w:p>
        </w:tc>
      </w:tr>
      <w:tr>
        <w:trPr>
          <w:trHeight w:val="218"/>
        </w:trPr>
        <w:tc>
          <w:tcPr>
            <w:tcW w:w="2700" w:type="dxa"/>
            <w:vAlign w:val="bottom"/>
          </w:tcPr>
          <w:p>
            <w:pPr>
              <w:spacing w:after="0"/>
              <w:rPr>
                <w:sz w:val="18"/>
                <w:szCs w:val="18"/>
                <w:color w:val="auto"/>
              </w:rPr>
            </w:pP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Company;</w:t>
            </w:r>
          </w:p>
        </w:tc>
      </w:tr>
      <w:tr>
        <w:trPr>
          <w:trHeight w:val="404"/>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“HK Stock Exchange”</w:t>
            </w: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means The Stock Exchange of Hong Kong Limited;</w:t>
            </w:r>
          </w:p>
        </w:tc>
      </w:tr>
      <w:tr>
        <w:trPr>
          <w:trHeight w:val="404"/>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“Holding Company”</w:t>
            </w: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has the meaning ascribed to it by the Companies Ordinance;</w:t>
            </w:r>
          </w:p>
        </w:tc>
      </w:tr>
      <w:tr>
        <w:trPr>
          <w:trHeight w:val="404"/>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“Hong Kong”</w:t>
            </w: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means the Hong Kong Special Administrative Region of the People's Republic of China;</w:t>
            </w:r>
          </w:p>
        </w:tc>
      </w:tr>
      <w:tr>
        <w:trPr>
          <w:trHeight w:val="384"/>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“Independent Non-executive</w:t>
            </w: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means a Director recognised as such by the relevant code, rules and regulations applicable to the listing of the</w:t>
            </w:r>
          </w:p>
        </w:tc>
      </w:tr>
      <w:tr>
        <w:trPr>
          <w:trHeight w:val="222"/>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Director”</w:t>
            </w: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relevant Shares on the HK Stock Exchange;</w:t>
            </w:r>
          </w:p>
        </w:tc>
      </w:tr>
      <w:tr>
        <w:trPr>
          <w:trHeight w:val="388"/>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“Listing Rules”</w:t>
            </w: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means the Rules Governing the Listing of Securities on The Stock Exchange of Hong Kong Limited (as amended</w:t>
            </w:r>
          </w:p>
        </w:tc>
      </w:tr>
      <w:tr>
        <w:trPr>
          <w:trHeight w:val="218"/>
        </w:trPr>
        <w:tc>
          <w:tcPr>
            <w:tcW w:w="2700" w:type="dxa"/>
            <w:vAlign w:val="bottom"/>
          </w:tcPr>
          <w:p>
            <w:pPr>
              <w:spacing w:after="0"/>
              <w:rPr>
                <w:sz w:val="18"/>
                <w:szCs w:val="18"/>
                <w:color w:val="auto"/>
              </w:rPr>
            </w:pP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from time to time);</w:t>
            </w:r>
          </w:p>
        </w:tc>
      </w:tr>
      <w:tr>
        <w:trPr>
          <w:trHeight w:val="404"/>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“Memorandum of Association”</w:t>
            </w: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means the memorandum of association of the Company, as amended or substituted from time to time;</w:t>
            </w:r>
          </w:p>
        </w:tc>
      </w:tr>
      <w:tr>
        <w:trPr>
          <w:trHeight w:val="388"/>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“Newspapers”</w:t>
            </w: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means at least one English language daily newspaper and at least one Chinese language daily newspaper, in each</w:t>
            </w:r>
          </w:p>
        </w:tc>
      </w:tr>
      <w:tr>
        <w:trPr>
          <w:trHeight w:val="202"/>
        </w:trPr>
        <w:tc>
          <w:tcPr>
            <w:tcW w:w="2700" w:type="dxa"/>
            <w:vAlign w:val="bottom"/>
          </w:tcPr>
          <w:p>
            <w:pPr>
              <w:spacing w:after="0"/>
              <w:rPr>
                <w:sz w:val="17"/>
                <w:szCs w:val="17"/>
                <w:color w:val="auto"/>
              </w:rPr>
            </w:pP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case published and circulating generally in the Relevant Territory and specified or not excluded for this purpose</w:t>
            </w:r>
          </w:p>
        </w:tc>
      </w:tr>
      <w:tr>
        <w:trPr>
          <w:trHeight w:val="218"/>
        </w:trPr>
        <w:tc>
          <w:tcPr>
            <w:tcW w:w="2700" w:type="dxa"/>
            <w:vAlign w:val="bottom"/>
          </w:tcPr>
          <w:p>
            <w:pPr>
              <w:spacing w:after="0"/>
              <w:rPr>
                <w:sz w:val="18"/>
                <w:szCs w:val="18"/>
                <w:color w:val="auto"/>
              </w:rPr>
            </w:pP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by the stock exchange in the Relevant Territory;</w:t>
            </w:r>
          </w:p>
        </w:tc>
      </w:tr>
      <w:tr>
        <w:trPr>
          <w:trHeight w:val="388"/>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"NIO Users Trust"</w:t>
            </w: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means the irrevocable trust bearing the same name incorporated under the laws of Cayman Islands on December</w:t>
            </w:r>
          </w:p>
        </w:tc>
      </w:tr>
      <w:tr>
        <w:trPr>
          <w:trHeight w:val="218"/>
        </w:trPr>
        <w:tc>
          <w:tcPr>
            <w:tcW w:w="2700" w:type="dxa"/>
            <w:vAlign w:val="bottom"/>
          </w:tcPr>
          <w:p>
            <w:pPr>
              <w:spacing w:after="0"/>
              <w:rPr>
                <w:sz w:val="18"/>
                <w:szCs w:val="18"/>
                <w:color w:val="auto"/>
              </w:rPr>
            </w:pP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21, 2018 where the Founder acts as the settlor and the initial protector;</w:t>
            </w:r>
          </w:p>
        </w:tc>
      </w:tr>
      <w:tr>
        <w:trPr>
          <w:trHeight w:val="404"/>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“Nominating and ESG Committee”</w:t>
            </w: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has the meaning ascribed to it in Article 123A;</w:t>
            </w:r>
          </w:p>
        </w:tc>
      </w:tr>
      <w:tr>
        <w:trPr>
          <w:trHeight w:val="404"/>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“Nomination Committee”</w:t>
            </w:r>
          </w:p>
        </w:tc>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means the nomination committee of the Board established in accordance with these Articles;</w:t>
            </w:r>
          </w:p>
        </w:tc>
      </w:tr>
      <w:tr>
        <w:trPr>
          <w:trHeight w:val="607"/>
        </w:trPr>
        <w:tc>
          <w:tcPr>
            <w:tcW w:w="27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ind w:left="2860"/>
              <w:spacing w:after="0"/>
              <w:rPr>
                <w:sz w:val="20"/>
                <w:szCs w:val="20"/>
                <w:color w:val="auto"/>
              </w:rPr>
            </w:pPr>
            <w:r>
              <w:rPr>
                <w:rFonts w:ascii="Times New Roman" w:cs="Times New Roman" w:eastAsia="Times New Roman" w:hAnsi="Times New Roman"/>
                <w:sz w:val="17"/>
                <w:szCs w:val="17"/>
                <w:color w:val="auto"/>
              </w:rPr>
              <w:t>4</w:t>
            </w:r>
          </w:p>
        </w:tc>
      </w:tr>
    </w:tbl>
    <w:p>
      <w:pPr>
        <w:sectPr>
          <w:pgSz w:w="11900" w:h="16838" w:orient="portrait"/>
          <w:cols w:equalWidth="0" w:num="1">
            <w:col w:w="11240"/>
          </w:cols>
          <w:pgMar w:left="320" w:top="852"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“Ordinary Resolution”</w:t>
            </w: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means a resolution:</w:t>
            </w:r>
          </w:p>
        </w:tc>
      </w:tr>
      <w:tr>
        <w:trPr>
          <w:trHeight w:val="388"/>
        </w:trPr>
        <w:tc>
          <w:tcPr>
            <w:tcW w:w="2640" w:type="dxa"/>
            <w:vAlign w:val="bottom"/>
          </w:tcPr>
          <w:p>
            <w:pPr>
              <w:spacing w:after="0"/>
              <w:rPr>
                <w:sz w:val="24"/>
                <w:szCs w:val="24"/>
                <w:color w:val="auto"/>
              </w:rPr>
            </w:pPr>
          </w:p>
        </w:tc>
        <w:tc>
          <w:tcPr>
            <w:tcW w:w="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passed by a simple majority of the votes cast by such Shareholders as, being entitled to do so, vote in</w:t>
            </w:r>
          </w:p>
        </w:tc>
      </w:tr>
      <w:tr>
        <w:trPr>
          <w:trHeight w:val="202"/>
        </w:trPr>
        <w:tc>
          <w:tcPr>
            <w:tcW w:w="2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person or, where proxies are allowed, by proxy or by means of telephone or similar communication</w:t>
            </w:r>
          </w:p>
        </w:tc>
      </w:tr>
      <w:tr>
        <w:trPr>
          <w:trHeight w:val="202"/>
        </w:trPr>
        <w:tc>
          <w:tcPr>
            <w:tcW w:w="2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equipment (by way of which all Persons participating in such meeting can communicate with each other</w:t>
            </w:r>
          </w:p>
        </w:tc>
      </w:tr>
      <w:tr>
        <w:trPr>
          <w:trHeight w:val="202"/>
        </w:trPr>
        <w:tc>
          <w:tcPr>
            <w:tcW w:w="2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and such participation shall be deemed to constitute presence in person at the meeting) at a general meeting</w:t>
            </w:r>
          </w:p>
        </w:tc>
      </w:tr>
      <w:tr>
        <w:trPr>
          <w:trHeight w:val="218"/>
        </w:trPr>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of the Company held in accordance with these Articles; or</w:t>
            </w:r>
          </w:p>
        </w:tc>
      </w:tr>
      <w:tr>
        <w:trPr>
          <w:trHeight w:val="388"/>
        </w:trPr>
        <w:tc>
          <w:tcPr>
            <w:tcW w:w="2640" w:type="dxa"/>
            <w:vAlign w:val="bottom"/>
          </w:tcPr>
          <w:p>
            <w:pPr>
              <w:spacing w:after="0"/>
              <w:rPr>
                <w:sz w:val="24"/>
                <w:szCs w:val="24"/>
                <w:color w:val="auto"/>
              </w:rPr>
            </w:pPr>
          </w:p>
        </w:tc>
        <w:tc>
          <w:tcPr>
            <w:tcW w:w="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w:t>
            </w:r>
          </w:p>
        </w:tc>
        <w:tc>
          <w:tcPr>
            <w:tcW w:w="8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approved in writing by all of the Shareholders entitled to vote at a general meeting of the Company in one</w:t>
            </w:r>
          </w:p>
        </w:tc>
      </w:tr>
      <w:tr>
        <w:trPr>
          <w:trHeight w:val="202"/>
        </w:trPr>
        <w:tc>
          <w:tcPr>
            <w:tcW w:w="2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or more instruments each signed by one or more of the Shareholders and the effective date of the resolution</w:t>
            </w:r>
          </w:p>
        </w:tc>
      </w:tr>
      <w:tr>
        <w:trPr>
          <w:trHeight w:val="202"/>
        </w:trPr>
        <w:tc>
          <w:tcPr>
            <w:tcW w:w="2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so adopted shall be the date on which the instrument, or the last of such instruments, if more than one, is</w:t>
            </w:r>
          </w:p>
        </w:tc>
      </w:tr>
      <w:tr>
        <w:trPr>
          <w:trHeight w:val="218"/>
        </w:trPr>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executed;</w:t>
            </w:r>
          </w:p>
        </w:tc>
      </w:tr>
      <w:tr>
        <w:trPr>
          <w:trHeight w:val="404"/>
        </w:trPr>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“Ordinary Share”</w:t>
            </w: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means a Class A Ordinary Share or a Class C Ordinary Share;</w:t>
            </w:r>
          </w:p>
        </w:tc>
      </w:tr>
      <w:tr>
        <w:trPr>
          <w:trHeight w:val="404"/>
        </w:trPr>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“paid up”</w:t>
            </w: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means paid up as to the par value in respect of the issue of any Shares and includes credited as paid up;</w:t>
            </w:r>
          </w:p>
        </w:tc>
      </w:tr>
      <w:tr>
        <w:trPr>
          <w:trHeight w:val="388"/>
        </w:trPr>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"Permitted Class C Shareholder"</w:t>
            </w: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means (a) any existing Shareholder of Class C Ordinary Shares and any Affiliate of such Shareholder; and (b)</w:t>
            </w:r>
          </w:p>
        </w:tc>
      </w:tr>
      <w:tr>
        <w:trPr>
          <w:trHeight w:val="218"/>
        </w:trPr>
        <w:tc>
          <w:tcPr>
            <w:tcW w:w="2640" w:type="dxa"/>
            <w:vAlign w:val="bottom"/>
          </w:tcPr>
          <w:p>
            <w:pPr>
              <w:spacing w:after="0"/>
              <w:rPr>
                <w:sz w:val="18"/>
                <w:szCs w:val="18"/>
                <w:color w:val="auto"/>
              </w:rPr>
            </w:pP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NIO Users Trust;</w:t>
            </w:r>
          </w:p>
        </w:tc>
      </w:tr>
      <w:tr>
        <w:trPr>
          <w:trHeight w:val="388"/>
        </w:trPr>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“Person”</w:t>
            </w: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means any natural person, firm, company, joint venture, partnership, corporation, association or other entity</w:t>
            </w:r>
          </w:p>
        </w:tc>
      </w:tr>
      <w:tr>
        <w:trPr>
          <w:trHeight w:val="218"/>
        </w:trPr>
        <w:tc>
          <w:tcPr>
            <w:tcW w:w="2640" w:type="dxa"/>
            <w:vAlign w:val="bottom"/>
          </w:tcPr>
          <w:p>
            <w:pPr>
              <w:spacing w:after="0"/>
              <w:rPr>
                <w:sz w:val="18"/>
                <w:szCs w:val="18"/>
                <w:color w:val="auto"/>
              </w:rPr>
            </w:pP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(whether or not having a separate legal personality) or any of them as the context so requires;</w:t>
            </w:r>
          </w:p>
        </w:tc>
      </w:tr>
      <w:tr>
        <w:trPr>
          <w:trHeight w:val="388"/>
        </w:trPr>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"Present"</w:t>
            </w: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means, in respect of any Person, such Person’s presence at a general meeting of Shareholders, which may be</w:t>
            </w:r>
          </w:p>
        </w:tc>
      </w:tr>
      <w:tr>
        <w:trPr>
          <w:trHeight w:val="202"/>
        </w:trPr>
        <w:tc>
          <w:tcPr>
            <w:tcW w:w="2640" w:type="dxa"/>
            <w:vAlign w:val="bottom"/>
          </w:tcPr>
          <w:p>
            <w:pPr>
              <w:spacing w:after="0"/>
              <w:rPr>
                <w:sz w:val="17"/>
                <w:szCs w:val="17"/>
                <w:color w:val="auto"/>
              </w:rPr>
            </w:pP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satisfied by means of such Person (or, in the case of any Shareholder, a proxy which has been validly appointed</w:t>
            </w:r>
          </w:p>
        </w:tc>
      </w:tr>
      <w:tr>
        <w:trPr>
          <w:trHeight w:val="202"/>
        </w:trPr>
        <w:tc>
          <w:tcPr>
            <w:tcW w:w="2640" w:type="dxa"/>
            <w:vAlign w:val="bottom"/>
          </w:tcPr>
          <w:p>
            <w:pPr>
              <w:spacing w:after="0"/>
              <w:rPr>
                <w:sz w:val="17"/>
                <w:szCs w:val="17"/>
                <w:color w:val="auto"/>
              </w:rPr>
            </w:pP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by such Shareholder in accordance with these Articles) being: (a) physically present at the meeting; or (b) in the</w:t>
            </w:r>
          </w:p>
        </w:tc>
      </w:tr>
      <w:tr>
        <w:trPr>
          <w:trHeight w:val="202"/>
        </w:trPr>
        <w:tc>
          <w:tcPr>
            <w:tcW w:w="2640" w:type="dxa"/>
            <w:vAlign w:val="bottom"/>
          </w:tcPr>
          <w:p>
            <w:pPr>
              <w:spacing w:after="0"/>
              <w:rPr>
                <w:sz w:val="17"/>
                <w:szCs w:val="17"/>
                <w:color w:val="auto"/>
              </w:rPr>
            </w:pP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case of any meeting at which Communications Facilities are permitted in accordance with these Articles,</w:t>
            </w:r>
          </w:p>
        </w:tc>
      </w:tr>
      <w:tr>
        <w:trPr>
          <w:trHeight w:val="218"/>
        </w:trPr>
        <w:tc>
          <w:tcPr>
            <w:tcW w:w="2640" w:type="dxa"/>
            <w:vAlign w:val="bottom"/>
          </w:tcPr>
          <w:p>
            <w:pPr>
              <w:spacing w:after="0"/>
              <w:rPr>
                <w:sz w:val="18"/>
                <w:szCs w:val="18"/>
                <w:color w:val="auto"/>
              </w:rPr>
            </w:pP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connected by means of the use of such Communication Facilities;</w:t>
            </w:r>
          </w:p>
        </w:tc>
      </w:tr>
      <w:tr>
        <w:trPr>
          <w:trHeight w:val="404"/>
        </w:trPr>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“Register”</w:t>
            </w: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means the register of Members of the Company maintained in accordance with the Companies Act;</w:t>
            </w:r>
          </w:p>
        </w:tc>
      </w:tr>
      <w:tr>
        <w:trPr>
          <w:trHeight w:val="404"/>
        </w:trPr>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“Registered Office”</w:t>
            </w: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means the registered office of the Company as required by the Companies Act;</w:t>
            </w:r>
          </w:p>
        </w:tc>
      </w:tr>
      <w:tr>
        <w:trPr>
          <w:trHeight w:val="388"/>
        </w:trPr>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“Registration Office”</w:t>
            </w: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means such place or places in the Relevant Territory or elsewhere where the Board from time to time determine to</w:t>
            </w:r>
          </w:p>
        </w:tc>
      </w:tr>
      <w:tr>
        <w:trPr>
          <w:trHeight w:val="202"/>
        </w:trPr>
        <w:tc>
          <w:tcPr>
            <w:tcW w:w="2640" w:type="dxa"/>
            <w:vAlign w:val="bottom"/>
          </w:tcPr>
          <w:p>
            <w:pPr>
              <w:spacing w:after="0"/>
              <w:rPr>
                <w:sz w:val="17"/>
                <w:szCs w:val="17"/>
                <w:color w:val="auto"/>
              </w:rPr>
            </w:pP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keep a branch Register in respect of that class of share capital and where (except in cases where the Board</w:t>
            </w:r>
          </w:p>
        </w:tc>
      </w:tr>
      <w:tr>
        <w:trPr>
          <w:trHeight w:val="202"/>
        </w:trPr>
        <w:tc>
          <w:tcPr>
            <w:tcW w:w="2640" w:type="dxa"/>
            <w:vAlign w:val="bottom"/>
          </w:tcPr>
          <w:p>
            <w:pPr>
              <w:spacing w:after="0"/>
              <w:rPr>
                <w:sz w:val="17"/>
                <w:szCs w:val="17"/>
                <w:color w:val="auto"/>
              </w:rPr>
            </w:pP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otherwise agrees) transfers of other documents of title for Shares are to be lodged for registration and are to be</w:t>
            </w:r>
          </w:p>
        </w:tc>
      </w:tr>
      <w:tr>
        <w:trPr>
          <w:trHeight w:val="218"/>
        </w:trPr>
        <w:tc>
          <w:tcPr>
            <w:tcW w:w="2640" w:type="dxa"/>
            <w:vAlign w:val="bottom"/>
          </w:tcPr>
          <w:p>
            <w:pPr>
              <w:spacing w:after="0"/>
              <w:rPr>
                <w:sz w:val="18"/>
                <w:szCs w:val="18"/>
                <w:color w:val="auto"/>
              </w:rPr>
            </w:pP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registered;</w:t>
            </w:r>
          </w:p>
        </w:tc>
      </w:tr>
      <w:tr>
        <w:trPr>
          <w:trHeight w:val="388"/>
        </w:trPr>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“Relevant Period”</w:t>
            </w: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means the period commencing from the date on which any of the Shares first become secondary listed on the HK</w:t>
            </w:r>
          </w:p>
        </w:tc>
      </w:tr>
      <w:tr>
        <w:trPr>
          <w:trHeight w:val="202"/>
        </w:trPr>
        <w:tc>
          <w:tcPr>
            <w:tcW w:w="2640" w:type="dxa"/>
            <w:vAlign w:val="bottom"/>
          </w:tcPr>
          <w:p>
            <w:pPr>
              <w:spacing w:after="0"/>
              <w:rPr>
                <w:sz w:val="17"/>
                <w:szCs w:val="17"/>
                <w:color w:val="auto"/>
              </w:rPr>
            </w:pP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Stock Exchange to and including the date immediately before the day on which the secondary listing is withdrawn</w:t>
            </w:r>
          </w:p>
        </w:tc>
      </w:tr>
      <w:tr>
        <w:trPr>
          <w:trHeight w:val="202"/>
        </w:trPr>
        <w:tc>
          <w:tcPr>
            <w:tcW w:w="2640" w:type="dxa"/>
            <w:vAlign w:val="bottom"/>
          </w:tcPr>
          <w:p>
            <w:pPr>
              <w:spacing w:after="0"/>
              <w:rPr>
                <w:sz w:val="17"/>
                <w:szCs w:val="17"/>
                <w:color w:val="auto"/>
              </w:rPr>
            </w:pP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from the HK Stock Exchange (and so that if at any time listing of any such Shares is suspended from trading for</w:t>
            </w:r>
          </w:p>
        </w:tc>
      </w:tr>
      <w:tr>
        <w:trPr>
          <w:trHeight w:val="202"/>
        </w:trPr>
        <w:tc>
          <w:tcPr>
            <w:tcW w:w="2640" w:type="dxa"/>
            <w:vAlign w:val="bottom"/>
          </w:tcPr>
          <w:p>
            <w:pPr>
              <w:spacing w:after="0"/>
              <w:rPr>
                <w:sz w:val="17"/>
                <w:szCs w:val="17"/>
                <w:color w:val="auto"/>
              </w:rPr>
            </w:pP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any reason whatsoever and for any length of time, they shall nevertheless be treated, for the purpose of this</w:t>
            </w:r>
          </w:p>
        </w:tc>
      </w:tr>
      <w:tr>
        <w:trPr>
          <w:trHeight w:val="202"/>
        </w:trPr>
        <w:tc>
          <w:tcPr>
            <w:tcW w:w="2640" w:type="dxa"/>
            <w:vAlign w:val="bottom"/>
          </w:tcPr>
          <w:p>
            <w:pPr>
              <w:spacing w:after="0"/>
              <w:rPr>
                <w:sz w:val="17"/>
                <w:szCs w:val="17"/>
                <w:color w:val="auto"/>
              </w:rPr>
            </w:pP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definition, as listed); provided that the Articles 9 and 88(d) shall cease to have effect upon the Shares becoming</w:t>
            </w:r>
          </w:p>
        </w:tc>
      </w:tr>
      <w:tr>
        <w:trPr>
          <w:trHeight w:val="218"/>
        </w:trPr>
        <w:tc>
          <w:tcPr>
            <w:tcW w:w="2640" w:type="dxa"/>
            <w:vAlign w:val="bottom"/>
          </w:tcPr>
          <w:p>
            <w:pPr>
              <w:spacing w:after="0"/>
              <w:rPr>
                <w:sz w:val="18"/>
                <w:szCs w:val="18"/>
                <w:color w:val="auto"/>
              </w:rPr>
            </w:pP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primary listed on the HK Stock Exchange;</w:t>
            </w:r>
          </w:p>
        </w:tc>
      </w:tr>
      <w:tr>
        <w:trPr>
          <w:trHeight w:val="388"/>
        </w:trPr>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“Relevant Territory”</w:t>
            </w: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means Hong Kong or such other territory where any of the securities of the Company is listed on a stock exchange</w:t>
            </w:r>
          </w:p>
        </w:tc>
      </w:tr>
      <w:tr>
        <w:trPr>
          <w:trHeight w:val="218"/>
        </w:trPr>
        <w:tc>
          <w:tcPr>
            <w:tcW w:w="2640" w:type="dxa"/>
            <w:vAlign w:val="bottom"/>
          </w:tcPr>
          <w:p>
            <w:pPr>
              <w:spacing w:after="0"/>
              <w:rPr>
                <w:sz w:val="18"/>
                <w:szCs w:val="18"/>
                <w:color w:val="auto"/>
              </w:rPr>
            </w:pP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 that territory;</w:t>
            </w:r>
          </w:p>
        </w:tc>
      </w:tr>
      <w:tr>
        <w:trPr>
          <w:trHeight w:val="404"/>
        </w:trPr>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“Seal”</w:t>
            </w: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means the common seal of the Company (if adopted) including any facsimile thereof;</w:t>
            </w:r>
          </w:p>
        </w:tc>
      </w:tr>
      <w:tr>
        <w:trPr>
          <w:trHeight w:val="607"/>
        </w:trPr>
        <w:tc>
          <w:tcPr>
            <w:tcW w:w="26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7"/>
                <w:szCs w:val="17"/>
                <w:color w:val="auto"/>
              </w:rPr>
              <w:t>5</w:t>
            </w:r>
          </w:p>
        </w:tc>
      </w:tr>
    </w:tbl>
    <w:p>
      <w:pPr>
        <w:sectPr>
          <w:pgSz w:w="11900" w:h="16838" w:orient="portrait"/>
          <w:cols w:equalWidth="0" w:num="1">
            <w:col w:w="11240"/>
          </w:cols>
          <w:pgMar w:left="320" w:top="852"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“Secretary”</w:t>
            </w:r>
          </w:p>
        </w:tc>
        <w:tc>
          <w:tcPr>
            <w:tcW w:w="81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means any Person appointed by the Directors to perform any of the duties of the secretary of the Company;</w:t>
            </w:r>
          </w:p>
        </w:tc>
      </w:tr>
      <w:tr>
        <w:trPr>
          <w:trHeight w:val="388"/>
        </w:trPr>
        <w:tc>
          <w:tcPr>
            <w:tcW w:w="2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“Securities Act”</w:t>
            </w:r>
          </w:p>
        </w:tc>
        <w:tc>
          <w:tcPr>
            <w:tcW w:w="81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means the Securities Act of 1933 of the United States of America, as amended, or any similar federal statute and</w:t>
            </w:r>
          </w:p>
        </w:tc>
      </w:tr>
      <w:tr>
        <w:trPr>
          <w:trHeight w:val="218"/>
        </w:trPr>
        <w:tc>
          <w:tcPr>
            <w:tcW w:w="2460" w:type="dxa"/>
            <w:vAlign w:val="bottom"/>
          </w:tcPr>
          <w:p>
            <w:pPr>
              <w:spacing w:after="0"/>
              <w:rPr>
                <w:sz w:val="18"/>
                <w:szCs w:val="18"/>
                <w:color w:val="auto"/>
              </w:rPr>
            </w:pPr>
          </w:p>
        </w:tc>
        <w:tc>
          <w:tcPr>
            <w:tcW w:w="81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the rules and regulations of the Commission thereunder, all as the same shall be in effect at the time;</w:t>
            </w:r>
          </w:p>
        </w:tc>
      </w:tr>
      <w:tr>
        <w:trPr>
          <w:trHeight w:val="388"/>
        </w:trPr>
        <w:tc>
          <w:tcPr>
            <w:tcW w:w="2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“Share”</w:t>
            </w:r>
          </w:p>
        </w:tc>
        <w:tc>
          <w:tcPr>
            <w:tcW w:w="81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means a share in the capital of the Company. All references to “Shares” herein shall be deemed to be Shares of</w:t>
            </w:r>
          </w:p>
        </w:tc>
      </w:tr>
      <w:tr>
        <w:trPr>
          <w:trHeight w:val="202"/>
        </w:trPr>
        <w:tc>
          <w:tcPr>
            <w:tcW w:w="2460" w:type="dxa"/>
            <w:vAlign w:val="bottom"/>
          </w:tcPr>
          <w:p>
            <w:pPr>
              <w:spacing w:after="0"/>
              <w:rPr>
                <w:sz w:val="17"/>
                <w:szCs w:val="17"/>
                <w:color w:val="auto"/>
              </w:rPr>
            </w:pPr>
          </w:p>
        </w:tc>
        <w:tc>
          <w:tcPr>
            <w:tcW w:w="81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any or all Classes as the context may require. For the avoidance of doubt in these Articles the expression “Share”</w:t>
            </w:r>
          </w:p>
        </w:tc>
      </w:tr>
      <w:tr>
        <w:trPr>
          <w:trHeight w:val="218"/>
        </w:trPr>
        <w:tc>
          <w:tcPr>
            <w:tcW w:w="2460" w:type="dxa"/>
            <w:vAlign w:val="bottom"/>
          </w:tcPr>
          <w:p>
            <w:pPr>
              <w:spacing w:after="0"/>
              <w:rPr>
                <w:sz w:val="18"/>
                <w:szCs w:val="18"/>
                <w:color w:val="auto"/>
              </w:rPr>
            </w:pPr>
          </w:p>
        </w:tc>
        <w:tc>
          <w:tcPr>
            <w:tcW w:w="81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shall include a fraction of a Share;</w:t>
            </w:r>
          </w:p>
        </w:tc>
      </w:tr>
      <w:tr>
        <w:trPr>
          <w:trHeight w:val="404"/>
        </w:trPr>
        <w:tc>
          <w:tcPr>
            <w:tcW w:w="2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“Shareholder” or “Member”</w:t>
            </w:r>
          </w:p>
        </w:tc>
        <w:tc>
          <w:tcPr>
            <w:tcW w:w="81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means a Person who is registered as the holder of one or more Shares in the Register;</w:t>
            </w:r>
          </w:p>
        </w:tc>
      </w:tr>
      <w:tr>
        <w:trPr>
          <w:trHeight w:val="404"/>
        </w:trPr>
        <w:tc>
          <w:tcPr>
            <w:tcW w:w="2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“Share Premium Account”</w:t>
            </w:r>
          </w:p>
        </w:tc>
        <w:tc>
          <w:tcPr>
            <w:tcW w:w="81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means the share premium account established in accordance with these Articles and the Companies Act;</w:t>
            </w:r>
          </w:p>
        </w:tc>
      </w:tr>
      <w:tr>
        <w:trPr>
          <w:trHeight w:val="388"/>
        </w:trPr>
        <w:tc>
          <w:tcPr>
            <w:tcW w:w="2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“signed”</w:t>
            </w:r>
          </w:p>
        </w:tc>
        <w:tc>
          <w:tcPr>
            <w:tcW w:w="81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w w:val="98"/>
              </w:rPr>
              <w:t>means bearing a signature or representation of a signature affixed by mechanical means or an electronic symbol or</w:t>
            </w:r>
          </w:p>
        </w:tc>
      </w:tr>
      <w:tr>
        <w:trPr>
          <w:trHeight w:val="202"/>
        </w:trPr>
        <w:tc>
          <w:tcPr>
            <w:tcW w:w="2460" w:type="dxa"/>
            <w:vAlign w:val="bottom"/>
          </w:tcPr>
          <w:p>
            <w:pPr>
              <w:spacing w:after="0"/>
              <w:rPr>
                <w:sz w:val="17"/>
                <w:szCs w:val="17"/>
                <w:color w:val="auto"/>
              </w:rPr>
            </w:pPr>
          </w:p>
        </w:tc>
        <w:tc>
          <w:tcPr>
            <w:tcW w:w="81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w w:val="99"/>
              </w:rPr>
              <w:t>process attached to or logically associated with an electronic communication and executed or adopted by a person</w:t>
            </w:r>
          </w:p>
        </w:tc>
      </w:tr>
      <w:tr>
        <w:trPr>
          <w:trHeight w:val="218"/>
        </w:trPr>
        <w:tc>
          <w:tcPr>
            <w:tcW w:w="2460" w:type="dxa"/>
            <w:vAlign w:val="bottom"/>
          </w:tcPr>
          <w:p>
            <w:pPr>
              <w:spacing w:after="0"/>
              <w:rPr>
                <w:sz w:val="18"/>
                <w:szCs w:val="18"/>
                <w:color w:val="auto"/>
              </w:rPr>
            </w:pPr>
          </w:p>
        </w:tc>
        <w:tc>
          <w:tcPr>
            <w:tcW w:w="81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with the intent to sign the electronic communication;</w:t>
            </w:r>
          </w:p>
        </w:tc>
      </w:tr>
      <w:tr>
        <w:trPr>
          <w:trHeight w:val="404"/>
        </w:trPr>
        <w:tc>
          <w:tcPr>
            <w:tcW w:w="2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“Special Resolution”</w:t>
            </w:r>
          </w:p>
        </w:tc>
        <w:tc>
          <w:tcPr>
            <w:tcW w:w="81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means a special resolution of the Company passed in accordance with the Companies Act, being a resolution:</w:t>
            </w:r>
          </w:p>
        </w:tc>
      </w:tr>
      <w:tr>
        <w:trPr>
          <w:trHeight w:val="388"/>
        </w:trPr>
        <w:tc>
          <w:tcPr>
            <w:tcW w:w="2460" w:type="dxa"/>
            <w:vAlign w:val="bottom"/>
          </w:tcPr>
          <w:p>
            <w:pPr>
              <w:spacing w:after="0"/>
              <w:rPr>
                <w:sz w:val="24"/>
                <w:szCs w:val="24"/>
                <w:color w:val="auto"/>
              </w:rPr>
            </w:pPr>
          </w:p>
        </w:tc>
        <w:tc>
          <w:tcPr>
            <w:tcW w:w="7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w:t>
            </w:r>
          </w:p>
        </w:tc>
        <w:tc>
          <w:tcPr>
            <w:tcW w:w="7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passed by not less than three-fourths of the votes cast by such Shareholders as, being entitled to do so,</w:t>
            </w:r>
          </w:p>
        </w:tc>
      </w:tr>
      <w:tr>
        <w:trPr>
          <w:trHeight w:val="202"/>
        </w:trPr>
        <w:tc>
          <w:tcPr>
            <w:tcW w:w="2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9"/>
              </w:rPr>
              <w:t>vote in person or, where proxies are allowed, by proxy or by means of telephone or similar communication</w:t>
            </w:r>
          </w:p>
        </w:tc>
      </w:tr>
      <w:tr>
        <w:trPr>
          <w:trHeight w:val="202"/>
        </w:trPr>
        <w:tc>
          <w:tcPr>
            <w:tcW w:w="2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equipment (by way of which all Persons participating in such meeting can communicate with each other</w:t>
            </w:r>
          </w:p>
        </w:tc>
      </w:tr>
      <w:tr>
        <w:trPr>
          <w:trHeight w:val="202"/>
        </w:trPr>
        <w:tc>
          <w:tcPr>
            <w:tcW w:w="2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9"/>
              </w:rPr>
              <w:t>and such participation shall be deemed to constitute presence in person at the meeting) at a general meeting</w:t>
            </w:r>
          </w:p>
        </w:tc>
      </w:tr>
      <w:tr>
        <w:trPr>
          <w:trHeight w:val="202"/>
        </w:trPr>
        <w:tc>
          <w:tcPr>
            <w:tcW w:w="2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of the Company of which notice specifying the intention to propose the resolution as a special resolution</w:t>
            </w:r>
          </w:p>
        </w:tc>
      </w:tr>
      <w:tr>
        <w:trPr>
          <w:trHeight w:val="218"/>
        </w:trPr>
        <w:tc>
          <w:tcPr>
            <w:tcW w:w="2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has been duly given; or</w:t>
            </w:r>
          </w:p>
        </w:tc>
      </w:tr>
      <w:tr>
        <w:trPr>
          <w:trHeight w:val="388"/>
        </w:trPr>
        <w:tc>
          <w:tcPr>
            <w:tcW w:w="2460" w:type="dxa"/>
            <w:vAlign w:val="bottom"/>
          </w:tcPr>
          <w:p>
            <w:pPr>
              <w:spacing w:after="0"/>
              <w:rPr>
                <w:sz w:val="24"/>
                <w:szCs w:val="24"/>
                <w:color w:val="auto"/>
              </w:rPr>
            </w:pPr>
          </w:p>
        </w:tc>
        <w:tc>
          <w:tcPr>
            <w:tcW w:w="7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(b)</w:t>
            </w:r>
          </w:p>
        </w:tc>
        <w:tc>
          <w:tcPr>
            <w:tcW w:w="740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9"/>
              </w:rPr>
              <w:t>approved in writing by all of the Shareholders entitled to vote at a general meeting of the Company in one</w:t>
            </w:r>
          </w:p>
        </w:tc>
      </w:tr>
      <w:tr>
        <w:trPr>
          <w:trHeight w:val="202"/>
        </w:trPr>
        <w:tc>
          <w:tcPr>
            <w:tcW w:w="2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or more instruments each signed by one or more of the Shareholders and the effective date of the special</w:t>
            </w:r>
          </w:p>
        </w:tc>
      </w:tr>
      <w:tr>
        <w:trPr>
          <w:trHeight w:val="202"/>
        </w:trPr>
        <w:tc>
          <w:tcPr>
            <w:tcW w:w="2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9"/>
              </w:rPr>
              <w:t>resolution so adopted shall be the date on which the instrument or the last of such instruments, if more than</w:t>
            </w:r>
          </w:p>
        </w:tc>
      </w:tr>
      <w:tr>
        <w:trPr>
          <w:trHeight w:val="218"/>
        </w:trPr>
        <w:tc>
          <w:tcPr>
            <w:tcW w:w="2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one, is executed;</w:t>
            </w:r>
          </w:p>
        </w:tc>
      </w:tr>
      <w:tr>
        <w:trPr>
          <w:trHeight w:val="404"/>
        </w:trPr>
        <w:tc>
          <w:tcPr>
            <w:tcW w:w="2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“Treasury Share”</w:t>
            </w:r>
          </w:p>
        </w:tc>
        <w:tc>
          <w:tcPr>
            <w:tcW w:w="81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means a Share held in the name of the Company as a treasury share in accordance with the Companies Act;</w:t>
            </w:r>
          </w:p>
        </w:tc>
      </w:tr>
      <w:tr>
        <w:trPr>
          <w:trHeight w:val="404"/>
        </w:trPr>
        <w:tc>
          <w:tcPr>
            <w:tcW w:w="2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“United States”</w:t>
            </w:r>
          </w:p>
        </w:tc>
        <w:tc>
          <w:tcPr>
            <w:tcW w:w="81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means the United States of America, its territories, its possessions and all areas subject to its jurisdiction; and</w:t>
            </w:r>
          </w:p>
        </w:tc>
      </w:tr>
      <w:tr>
        <w:trPr>
          <w:trHeight w:val="388"/>
        </w:trPr>
        <w:tc>
          <w:tcPr>
            <w:tcW w:w="2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"Virtual Meeting"</w:t>
            </w:r>
          </w:p>
        </w:tc>
        <w:tc>
          <w:tcPr>
            <w:tcW w:w="81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means any general meeting of the members at which the members (and any other permitted participants of such</w:t>
            </w:r>
          </w:p>
        </w:tc>
      </w:tr>
      <w:tr>
        <w:trPr>
          <w:trHeight w:val="202"/>
        </w:trPr>
        <w:tc>
          <w:tcPr>
            <w:tcW w:w="2460" w:type="dxa"/>
            <w:vAlign w:val="bottom"/>
          </w:tcPr>
          <w:p>
            <w:pPr>
              <w:spacing w:after="0"/>
              <w:rPr>
                <w:sz w:val="17"/>
                <w:szCs w:val="17"/>
                <w:color w:val="auto"/>
              </w:rPr>
            </w:pPr>
          </w:p>
        </w:tc>
        <w:tc>
          <w:tcPr>
            <w:tcW w:w="81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w w:val="99"/>
              </w:rPr>
              <w:t>meeting, including, without limitation, the chairperson of such meeting and any Directors) are permitted to attend</w:t>
            </w:r>
          </w:p>
        </w:tc>
      </w:tr>
      <w:tr>
        <w:trPr>
          <w:trHeight w:val="218"/>
        </w:trPr>
        <w:tc>
          <w:tcPr>
            <w:tcW w:w="2460" w:type="dxa"/>
            <w:vAlign w:val="bottom"/>
          </w:tcPr>
          <w:p>
            <w:pPr>
              <w:spacing w:after="0"/>
              <w:rPr>
                <w:sz w:val="18"/>
                <w:szCs w:val="18"/>
                <w:color w:val="auto"/>
              </w:rPr>
            </w:pPr>
          </w:p>
        </w:tc>
        <w:tc>
          <w:tcPr>
            <w:tcW w:w="81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and participate solely by means of Communication Facilities.</w:t>
            </w:r>
          </w:p>
        </w:tc>
      </w:tr>
    </w:tbl>
    <w:p>
      <w:pPr>
        <w:spacing w:after="0" w:line="186" w:lineRule="exact"/>
        <w:rPr>
          <w:sz w:val="20"/>
          <w:szCs w:val="20"/>
          <w:color w:val="auto"/>
        </w:rPr>
      </w:pPr>
    </w:p>
    <w:p>
      <w:pPr>
        <w:ind w:left="600" w:hanging="599"/>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these Articles, save where the context requires otherwise:</w:t>
      </w:r>
    </w:p>
    <w:p>
      <w:pPr>
        <w:spacing w:after="0" w:line="208" w:lineRule="exact"/>
        <w:rPr>
          <w:rFonts w:ascii="Times New Roman" w:cs="Times New Roman" w:eastAsia="Times New Roman" w:hAnsi="Times New Roman"/>
          <w:sz w:val="17"/>
          <w:szCs w:val="17"/>
          <w:color w:val="auto"/>
        </w:rPr>
      </w:pPr>
    </w:p>
    <w:p>
      <w:pPr>
        <w:ind w:left="1220" w:hanging="612"/>
        <w:spacing w:after="0"/>
        <w:tabs>
          <w:tab w:leader="none" w:pos="122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importing the singular number shall include the plural number and vice versa;</w:t>
      </w:r>
    </w:p>
    <w:p>
      <w:pPr>
        <w:spacing w:after="0" w:line="208" w:lineRule="exact"/>
        <w:rPr>
          <w:rFonts w:ascii="Times New Roman" w:cs="Times New Roman" w:eastAsia="Times New Roman" w:hAnsi="Times New Roman"/>
          <w:sz w:val="17"/>
          <w:szCs w:val="17"/>
          <w:color w:val="auto"/>
        </w:rPr>
      </w:pPr>
    </w:p>
    <w:p>
      <w:pPr>
        <w:ind w:left="1220" w:hanging="612"/>
        <w:spacing w:after="0"/>
        <w:tabs>
          <w:tab w:leader="none" w:pos="122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importing the masculine gender only shall include the feminine gender and any Person as the context may require;</w:t>
      </w:r>
    </w:p>
    <w:p>
      <w:pPr>
        <w:spacing w:after="0" w:line="200" w:lineRule="exact"/>
        <w:rPr>
          <w:sz w:val="20"/>
          <w:szCs w:val="20"/>
          <w:color w:val="auto"/>
        </w:rPr>
      </w:pPr>
    </w:p>
    <w:p>
      <w:pPr>
        <w:spacing w:after="0" w:line="21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560"/>
          </w:cols>
          <w:pgMar w:left="320" w:top="852" w:right="1019" w:bottom="1440" w:gutter="0" w:footer="0" w:header="0"/>
        </w:sectPr>
      </w:pPr>
    </w:p>
    <w:bookmarkStart w:id="16" w:name="page17"/>
    <w:bookmarkEnd w:id="16"/>
    <w:p>
      <w:pPr>
        <w:ind w:left="1220" w:hanging="612"/>
        <w:spacing w:after="0"/>
        <w:tabs>
          <w:tab w:leader="none" w:pos="1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 "may" shall be construed as permissive and the word "shall" shall be construed as imperative;</w:t>
      </w:r>
    </w:p>
    <w:p>
      <w:pPr>
        <w:spacing w:after="0" w:line="208" w:lineRule="exact"/>
        <w:rPr>
          <w:rFonts w:ascii="Times New Roman" w:cs="Times New Roman" w:eastAsia="Times New Roman" w:hAnsi="Times New Roman"/>
          <w:sz w:val="17"/>
          <w:szCs w:val="17"/>
          <w:color w:val="auto"/>
        </w:rPr>
      </w:pPr>
    </w:p>
    <w:p>
      <w:pPr>
        <w:ind w:left="1220" w:hanging="612"/>
        <w:spacing w:after="0"/>
        <w:tabs>
          <w:tab w:leader="none" w:pos="1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 to a dollar or dollars (or US$) and to a cent or cents is reference to dollars and cents of the United States of America;</w:t>
      </w:r>
    </w:p>
    <w:p>
      <w:pPr>
        <w:spacing w:after="0" w:line="208" w:lineRule="exact"/>
        <w:rPr>
          <w:rFonts w:ascii="Times New Roman" w:cs="Times New Roman" w:eastAsia="Times New Roman" w:hAnsi="Times New Roman"/>
          <w:sz w:val="17"/>
          <w:szCs w:val="17"/>
          <w:color w:val="auto"/>
        </w:rPr>
      </w:pPr>
    </w:p>
    <w:p>
      <w:pPr>
        <w:ind w:left="1220" w:hanging="612"/>
        <w:spacing w:after="0"/>
        <w:tabs>
          <w:tab w:leader="none" w:pos="1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 to a statutory enactment shall include reference to any amendment or re-enactment thereof for the time being in force;</w:t>
      </w:r>
    </w:p>
    <w:p>
      <w:pPr>
        <w:spacing w:after="0" w:line="208" w:lineRule="exact"/>
        <w:rPr>
          <w:rFonts w:ascii="Times New Roman" w:cs="Times New Roman" w:eastAsia="Times New Roman" w:hAnsi="Times New Roman"/>
          <w:sz w:val="17"/>
          <w:szCs w:val="17"/>
          <w:color w:val="auto"/>
        </w:rPr>
      </w:pPr>
    </w:p>
    <w:p>
      <w:pPr>
        <w:ind w:left="1220" w:right="740" w:hanging="612"/>
        <w:spacing w:after="0" w:line="275" w:lineRule="auto"/>
        <w:tabs>
          <w:tab w:leader="none" w:pos="1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 to any determination by the Directors shall be construed as a determination by the Directors in their sole and absolute discretion and shall be applicable either generally or in any particular case;</w:t>
      </w:r>
    </w:p>
    <w:p>
      <w:pPr>
        <w:spacing w:after="0" w:line="158" w:lineRule="exact"/>
        <w:rPr>
          <w:rFonts w:ascii="Times New Roman" w:cs="Times New Roman" w:eastAsia="Times New Roman" w:hAnsi="Times New Roman"/>
          <w:sz w:val="17"/>
          <w:szCs w:val="17"/>
          <w:color w:val="auto"/>
        </w:rPr>
      </w:pPr>
    </w:p>
    <w:p>
      <w:pPr>
        <w:jc w:val="both"/>
        <w:ind w:left="1220" w:right="900" w:hanging="612"/>
        <w:spacing w:after="0" w:line="262" w:lineRule="auto"/>
        <w:tabs>
          <w:tab w:leader="none" w:pos="1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 to "in writing" shall be construed as written or represented by any means reproducible in writing, including any form of print, lithograph, email, facsimile, photograph or telex or represented by any other substitute or format for storage or transmission for writing including in the form of an electronic record or partly one and partly another;</w:t>
      </w:r>
    </w:p>
    <w:p>
      <w:pPr>
        <w:spacing w:after="0" w:line="168" w:lineRule="exact"/>
        <w:rPr>
          <w:rFonts w:ascii="Times New Roman" w:cs="Times New Roman" w:eastAsia="Times New Roman" w:hAnsi="Times New Roman"/>
          <w:sz w:val="17"/>
          <w:szCs w:val="17"/>
          <w:color w:val="auto"/>
        </w:rPr>
      </w:pPr>
    </w:p>
    <w:p>
      <w:pPr>
        <w:ind w:left="1220" w:hanging="612"/>
        <w:spacing w:after="0"/>
        <w:tabs>
          <w:tab w:leader="none" w:pos="1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requirements as to delivery under the Articles include delivery in the form of an electronic record or an electronic communication;</w:t>
      </w:r>
    </w:p>
    <w:p>
      <w:pPr>
        <w:spacing w:after="0" w:line="208" w:lineRule="exact"/>
        <w:rPr>
          <w:rFonts w:ascii="Times New Roman" w:cs="Times New Roman" w:eastAsia="Times New Roman" w:hAnsi="Times New Roman"/>
          <w:sz w:val="17"/>
          <w:szCs w:val="17"/>
          <w:color w:val="auto"/>
        </w:rPr>
      </w:pPr>
    </w:p>
    <w:p>
      <w:pPr>
        <w:ind w:left="1220" w:right="720" w:hanging="612"/>
        <w:spacing w:after="0" w:line="275" w:lineRule="auto"/>
        <w:tabs>
          <w:tab w:leader="none" w:pos="1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requirements as to execution or signature under the Articles, including the execution of the Articles themselves, can be satisfied in the form of an electronic signature as defined in the Electronic Transaction Act; and</w:t>
      </w:r>
    </w:p>
    <w:p>
      <w:pPr>
        <w:spacing w:after="0" w:line="158" w:lineRule="exact"/>
        <w:rPr>
          <w:rFonts w:ascii="Times New Roman" w:cs="Times New Roman" w:eastAsia="Times New Roman" w:hAnsi="Times New Roman"/>
          <w:sz w:val="17"/>
          <w:szCs w:val="17"/>
          <w:color w:val="auto"/>
        </w:rPr>
      </w:pPr>
    </w:p>
    <w:p>
      <w:pPr>
        <w:ind w:left="1220" w:hanging="612"/>
        <w:spacing w:after="0"/>
        <w:tabs>
          <w:tab w:leader="none" w:pos="1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Sections 8 and 19(3) of the Electronic Transactions Act shall not apply.</w:t>
      </w:r>
    </w:p>
    <w:p>
      <w:pPr>
        <w:spacing w:after="0" w:line="209" w:lineRule="exact"/>
        <w:rPr>
          <w:sz w:val="20"/>
          <w:szCs w:val="20"/>
          <w:color w:val="auto"/>
        </w:rPr>
      </w:pPr>
    </w:p>
    <w:p>
      <w:pPr>
        <w:ind w:left="600" w:right="920" w:hanging="599"/>
        <w:spacing w:after="0" w:line="275"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last two preceding Articles, any words defined in the Companies Act shall, if not inconsistent with the subject or context, bear the same meaning in these Articles.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PRELIMINARY</w:t>
      </w:r>
    </w:p>
    <w:p>
      <w:pPr>
        <w:spacing w:after="0" w:line="213" w:lineRule="exact"/>
        <w:rPr>
          <w:sz w:val="20"/>
          <w:szCs w:val="20"/>
          <w:color w:val="auto"/>
        </w:rPr>
      </w:pPr>
    </w:p>
    <w:p>
      <w:pPr>
        <w:ind w:left="600" w:hanging="599"/>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of the Company may be conducted as the Directors see fit.</w:t>
      </w:r>
    </w:p>
    <w:p>
      <w:pPr>
        <w:spacing w:after="0" w:line="208" w:lineRule="exact"/>
        <w:rPr>
          <w:rFonts w:ascii="Times New Roman" w:cs="Times New Roman" w:eastAsia="Times New Roman" w:hAnsi="Times New Roman"/>
          <w:sz w:val="17"/>
          <w:szCs w:val="17"/>
          <w:color w:val="auto"/>
        </w:rPr>
      </w:pPr>
    </w:p>
    <w:p>
      <w:pPr>
        <w:ind w:left="600" w:right="1060" w:hanging="599"/>
        <w:spacing w:after="0" w:line="262"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Registered Office shall be at such address in the Cayman Islands as the Directors may from time to time determine. The Company may in addition establish and maintain such other offices and places of business and agencies in such places as the Directors may from time to time determine.</w:t>
      </w:r>
    </w:p>
    <w:p>
      <w:pPr>
        <w:spacing w:after="0" w:line="168" w:lineRule="exact"/>
        <w:rPr>
          <w:rFonts w:ascii="Times New Roman" w:cs="Times New Roman" w:eastAsia="Times New Roman" w:hAnsi="Times New Roman"/>
          <w:sz w:val="17"/>
          <w:szCs w:val="17"/>
          <w:color w:val="auto"/>
        </w:rPr>
      </w:pPr>
    </w:p>
    <w:p>
      <w:pPr>
        <w:ind w:left="600" w:right="880" w:hanging="599"/>
        <w:spacing w:after="0" w:line="262"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expenses incurred in the formation of the Company and in connection with the offer for subscription and issue of Shares shall be paid by the Company. Such expenses may be amortised over such period as the Directors may determine and the amount so paid shall be charged against income and/or capital in the accounts of the Company as the Directors shall determine.</w:t>
      </w:r>
    </w:p>
    <w:p>
      <w:pPr>
        <w:spacing w:after="0" w:line="16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7.</w:t>
      </w:r>
    </w:p>
    <w:p>
      <w:pPr>
        <w:spacing w:after="0" w:line="209" w:lineRule="exact"/>
        <w:rPr>
          <w:sz w:val="20"/>
          <w:szCs w:val="20"/>
          <w:color w:val="auto"/>
        </w:rPr>
      </w:pPr>
    </w:p>
    <w:p>
      <w:pPr>
        <w:ind w:left="1220" w:right="1100" w:hanging="612"/>
        <w:spacing w:after="0" w:line="275" w:lineRule="auto"/>
        <w:tabs>
          <w:tab w:leader="none" w:pos="12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shall keep, or cause to be kept, the Register at such place as the Directors may from time to time determine and, in the absence of any such determination, the Register shall be kept at the Registered Office.</w:t>
      </w:r>
    </w:p>
    <w:p>
      <w:pPr>
        <w:spacing w:after="0" w:line="158" w:lineRule="exact"/>
        <w:rPr>
          <w:rFonts w:ascii="Times New Roman" w:cs="Times New Roman" w:eastAsia="Times New Roman" w:hAnsi="Times New Roman"/>
          <w:sz w:val="17"/>
          <w:szCs w:val="17"/>
          <w:color w:val="auto"/>
        </w:rPr>
      </w:pPr>
    </w:p>
    <w:p>
      <w:pPr>
        <w:jc w:val="both"/>
        <w:ind w:left="1220" w:right="1180" w:hanging="612"/>
        <w:spacing w:after="0" w:line="262" w:lineRule="auto"/>
        <w:tabs>
          <w:tab w:leader="none" w:pos="12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the Companies Act, if the Board considers it necessary or appropriate, the Company may establish and maintain a principal or branch Register at such location as the Board thinks fit and the Company shall keep its principal or a branch Register in Hong Kong.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(c)</w:t>
            </w:r>
          </w:p>
        </w:tc>
        <w:tc>
          <w:tcPr>
            <w:tcW w:w="9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Except when the Register is closed, any Shareholder may inspect during business hours any Register maintained in Hong Kong without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App.3</w:t>
            </w:r>
          </w:p>
        </w:tc>
      </w:tr>
      <w:tr>
        <w:trPr>
          <w:trHeight w:val="202"/>
        </w:trPr>
        <w:tc>
          <w:tcPr>
            <w:tcW w:w="1000" w:type="dxa"/>
            <w:vAlign w:val="bottom"/>
          </w:tcPr>
          <w:p>
            <w:pPr>
              <w:spacing w:after="0"/>
              <w:rPr>
                <w:sz w:val="17"/>
                <w:szCs w:val="17"/>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charge and require the provision to him of copies or extracts thereof in all respects as if the Company were incorporated under and were</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r.20</w:t>
            </w:r>
          </w:p>
        </w:tc>
      </w:tr>
      <w:tr>
        <w:trPr>
          <w:trHeight w:val="218"/>
        </w:trPr>
        <w:tc>
          <w:tcPr>
            <w:tcW w:w="100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subject to the Companies Ordinance.</w:t>
            </w:r>
          </w:p>
        </w:tc>
        <w:tc>
          <w:tcPr>
            <w:tcW w:w="640" w:type="dxa"/>
            <w:vAlign w:val="bottom"/>
          </w:tcPr>
          <w:p>
            <w:pPr>
              <w:spacing w:after="0"/>
              <w:rPr>
                <w:sz w:val="18"/>
                <w:szCs w:val="18"/>
                <w:color w:val="auto"/>
              </w:rPr>
            </w:pPr>
          </w:p>
        </w:tc>
      </w:tr>
      <w:tr>
        <w:trPr>
          <w:trHeight w:val="607"/>
        </w:trPr>
        <w:tc>
          <w:tcPr>
            <w:tcW w:w="100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tcPr>
          <w:p>
            <w:pPr>
              <w:jc w:val="right"/>
              <w:ind w:right="4876"/>
              <w:spacing w:after="0"/>
              <w:rPr>
                <w:sz w:val="20"/>
                <w:szCs w:val="20"/>
                <w:color w:val="auto"/>
              </w:rPr>
            </w:pPr>
            <w:r>
              <w:rPr>
                <w:rFonts w:ascii="Times New Roman" w:cs="Times New Roman" w:eastAsia="Times New Roman" w:hAnsi="Times New Roman"/>
                <w:sz w:val="17"/>
                <w:szCs w:val="17"/>
                <w:color w:val="auto"/>
              </w:rPr>
              <w:t>7</w:t>
            </w: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6" w:right="339" w:bottom="1440" w:gutter="0" w:footer="0" w:header="0"/>
        </w:sectPr>
      </w:pPr>
    </w:p>
    <w:bookmarkStart w:id="17" w:name="page18"/>
    <w:bookmarkEnd w:id="17"/>
    <w:p>
      <w:pPr>
        <w:ind w:left="5279"/>
        <w:spacing w:after="0"/>
        <w:rPr>
          <w:sz w:val="20"/>
          <w:szCs w:val="20"/>
          <w:color w:val="auto"/>
        </w:rPr>
      </w:pPr>
      <w:r>
        <w:rPr>
          <w:rFonts w:ascii="Times New Roman" w:cs="Times New Roman" w:eastAsia="Times New Roman" w:hAnsi="Times New Roman"/>
          <w:sz w:val="17"/>
          <w:szCs w:val="17"/>
          <w:b w:val="1"/>
          <w:bCs w:val="1"/>
          <w:color w:val="auto"/>
        </w:rPr>
        <w:t>SHARES</w:t>
      </w:r>
    </w:p>
    <w:p>
      <w:pPr>
        <w:spacing w:after="0" w:line="213" w:lineRule="exact"/>
        <w:rPr>
          <w:sz w:val="20"/>
          <w:szCs w:val="20"/>
          <w:color w:val="auto"/>
        </w:rPr>
      </w:pPr>
    </w:p>
    <w:p>
      <w:pPr>
        <w:ind w:left="599" w:right="20" w:hanging="599"/>
        <w:spacing w:after="0" w:line="275" w:lineRule="auto"/>
        <w:tabs>
          <w:tab w:leader="none" w:pos="59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these Articles, all Shares for the time being unissued shall be under the control of the Directors who may, in their absolute discretion and without the approval of the Members, cause the Company to:</w:t>
      </w:r>
    </w:p>
    <w:p>
      <w:pPr>
        <w:spacing w:after="0" w:line="158" w:lineRule="exact"/>
        <w:rPr>
          <w:rFonts w:ascii="Times New Roman" w:cs="Times New Roman" w:eastAsia="Times New Roman" w:hAnsi="Times New Roman"/>
          <w:sz w:val="17"/>
          <w:szCs w:val="17"/>
          <w:color w:val="auto"/>
        </w:rPr>
      </w:pPr>
    </w:p>
    <w:p>
      <w:pPr>
        <w:ind w:left="1219" w:hanging="612"/>
        <w:spacing w:after="0" w:line="262" w:lineRule="auto"/>
        <w:tabs>
          <w:tab w:leader="none" w:pos="1219"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allot and dispose of Shares (including, without limitation, preferred shares) (whether in certificated form or non-certificated form) to such Persons, in such manner, on such terms and having such rights and being subject to such restrictions as they may from time to time determine;</w:t>
      </w:r>
    </w:p>
    <w:p>
      <w:pPr>
        <w:spacing w:after="0" w:line="168" w:lineRule="exact"/>
        <w:rPr>
          <w:rFonts w:ascii="Times New Roman" w:cs="Times New Roman" w:eastAsia="Times New Roman" w:hAnsi="Times New Roman"/>
          <w:sz w:val="17"/>
          <w:szCs w:val="17"/>
          <w:color w:val="auto"/>
        </w:rPr>
      </w:pPr>
    </w:p>
    <w:p>
      <w:pPr>
        <w:ind w:left="1219" w:right="20" w:hanging="612"/>
        <w:spacing w:after="0" w:line="255" w:lineRule="auto"/>
        <w:tabs>
          <w:tab w:leader="none" w:pos="1219"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p>
      <w:pPr>
        <w:spacing w:after="0" w:line="174" w:lineRule="exact"/>
        <w:rPr>
          <w:rFonts w:ascii="Times New Roman" w:cs="Times New Roman" w:eastAsia="Times New Roman" w:hAnsi="Times New Roman"/>
          <w:sz w:val="17"/>
          <w:szCs w:val="17"/>
          <w:color w:val="auto"/>
        </w:rPr>
      </w:pPr>
    </w:p>
    <w:p>
      <w:pPr>
        <w:ind w:left="1219" w:hanging="612"/>
        <w:spacing w:after="0"/>
        <w:tabs>
          <w:tab w:leader="none" w:pos="1219"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options with respect to Shares and issue warrants or similar instruments with respect thereto.</w:t>
      </w:r>
    </w:p>
    <w:p>
      <w:pPr>
        <w:spacing w:after="0" w:line="208" w:lineRule="exact"/>
        <w:rPr>
          <w:rFonts w:ascii="Times New Roman" w:cs="Times New Roman" w:eastAsia="Times New Roman" w:hAnsi="Times New Roman"/>
          <w:sz w:val="17"/>
          <w:szCs w:val="17"/>
          <w:color w:val="auto"/>
        </w:rPr>
      </w:pPr>
    </w:p>
    <w:p>
      <w:pPr>
        <w:ind w:left="599" w:right="40" w:hanging="599"/>
        <w:spacing w:after="0" w:line="251" w:lineRule="auto"/>
        <w:tabs>
          <w:tab w:leader="none" w:pos="59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Relevant Period, the Directors may authorise the division of Shares into any number of Classes and the different Classes shall be authorised,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by a Special Resolution. The Directors may issue Shares with such preferred or other rights, all or any of which may be greater than the rights of Ordinary Shares, at such time and on such terms as they may think appropriate. At any time after the Relevant Period and notwithstanding Article 17, the Directors may issue from time to time, out of the authorised share capital of the Company (other than the authorised but unissued Ordinary Shares), series of preferred shares in their absolute discretion and without approval of the Members; provided, however, before any preferred shares of any such series are issued, the Directors shall by resolution of Directors determine, with respect to any series of preferred shares, the terms and rights of that series, including:</w:t>
      </w:r>
    </w:p>
    <w:p>
      <w:pPr>
        <w:spacing w:after="0" w:line="181" w:lineRule="exact"/>
        <w:rPr>
          <w:rFonts w:ascii="Times New Roman" w:cs="Times New Roman" w:eastAsia="Times New Roman" w:hAnsi="Times New Roman"/>
          <w:sz w:val="17"/>
          <w:szCs w:val="17"/>
          <w:color w:val="auto"/>
        </w:rPr>
      </w:pPr>
    </w:p>
    <w:p>
      <w:pPr>
        <w:ind w:left="1219" w:right="140" w:hanging="612"/>
        <w:spacing w:after="0" w:line="275" w:lineRule="auto"/>
        <w:tabs>
          <w:tab w:leader="none" w:pos="1219"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of such series, the number of preferred shares to constitute such series and the subscription price thereof if different from the par value thereof;</w:t>
      </w:r>
    </w:p>
    <w:p>
      <w:pPr>
        <w:spacing w:after="0" w:line="158" w:lineRule="exact"/>
        <w:rPr>
          <w:rFonts w:ascii="Times New Roman" w:cs="Times New Roman" w:eastAsia="Times New Roman" w:hAnsi="Times New Roman"/>
          <w:sz w:val="17"/>
          <w:szCs w:val="17"/>
          <w:color w:val="auto"/>
        </w:rPr>
      </w:pPr>
    </w:p>
    <w:p>
      <w:pPr>
        <w:ind w:left="1219" w:right="160" w:hanging="612"/>
        <w:spacing w:after="0" w:line="275" w:lineRule="auto"/>
        <w:tabs>
          <w:tab w:leader="none" w:pos="1219"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preferred shares of such series shall have voting rights, in addition to any voting rights provided by law, and, if so, the terms of such voting rights, which may be general or limited;</w:t>
      </w:r>
    </w:p>
    <w:p>
      <w:pPr>
        <w:spacing w:after="0" w:line="158" w:lineRule="exact"/>
        <w:rPr>
          <w:rFonts w:ascii="Times New Roman" w:cs="Times New Roman" w:eastAsia="Times New Roman" w:hAnsi="Times New Roman"/>
          <w:sz w:val="17"/>
          <w:szCs w:val="17"/>
          <w:color w:val="auto"/>
        </w:rPr>
      </w:pPr>
    </w:p>
    <w:p>
      <w:pPr>
        <w:ind w:left="1219" w:right="160" w:hanging="612"/>
        <w:spacing w:after="0" w:line="262" w:lineRule="auto"/>
        <w:tabs>
          <w:tab w:leader="none" w:pos="1219"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p>
      <w:pPr>
        <w:spacing w:after="0" w:line="168" w:lineRule="exact"/>
        <w:rPr>
          <w:rFonts w:ascii="Times New Roman" w:cs="Times New Roman" w:eastAsia="Times New Roman" w:hAnsi="Times New Roman"/>
          <w:sz w:val="17"/>
          <w:szCs w:val="17"/>
          <w:color w:val="auto"/>
        </w:rPr>
      </w:pPr>
    </w:p>
    <w:p>
      <w:pPr>
        <w:ind w:left="1219" w:right="700" w:hanging="612"/>
        <w:spacing w:after="0" w:line="275" w:lineRule="auto"/>
        <w:tabs>
          <w:tab w:leader="none" w:pos="1219"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preferred shares of such series shall be subject to redemption by the Company, and, if so, the times, prices and other conditions of such redemption;</w:t>
      </w:r>
    </w:p>
    <w:p>
      <w:pPr>
        <w:spacing w:after="0" w:line="158" w:lineRule="exact"/>
        <w:rPr>
          <w:rFonts w:ascii="Times New Roman" w:cs="Times New Roman" w:eastAsia="Times New Roman" w:hAnsi="Times New Roman"/>
          <w:sz w:val="17"/>
          <w:szCs w:val="17"/>
          <w:color w:val="auto"/>
        </w:rPr>
      </w:pPr>
    </w:p>
    <w:p>
      <w:pPr>
        <w:ind w:left="1219" w:right="20" w:hanging="612"/>
        <w:spacing w:after="0" w:line="262" w:lineRule="auto"/>
        <w:tabs>
          <w:tab w:leader="none" w:pos="1219"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preferred shares of such series shall have any rights to receive any part of the assets available for distribution amongst the Members upon the liquidation of the Company, and, if so, the terms of such liquidation preference, and the relation which such liquidation preference shall bear to the entitlements of the holders of shares of any other class or any other series of shares;</w:t>
      </w:r>
    </w:p>
    <w:p>
      <w:pPr>
        <w:spacing w:after="0" w:line="168" w:lineRule="exact"/>
        <w:rPr>
          <w:rFonts w:ascii="Times New Roman" w:cs="Times New Roman" w:eastAsia="Times New Roman" w:hAnsi="Times New Roman"/>
          <w:sz w:val="17"/>
          <w:szCs w:val="17"/>
          <w:color w:val="auto"/>
        </w:rPr>
      </w:pPr>
    </w:p>
    <w:p>
      <w:pPr>
        <w:ind w:left="1219" w:right="100" w:hanging="612"/>
        <w:spacing w:after="0" w:line="262" w:lineRule="auto"/>
        <w:tabs>
          <w:tab w:leader="none" w:pos="1219"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spacing w:after="0" w:line="371" w:lineRule="exact"/>
        <w:rPr>
          <w:sz w:val="20"/>
          <w:szCs w:val="20"/>
          <w:color w:val="auto"/>
        </w:rPr>
      </w:pPr>
    </w:p>
    <w:p>
      <w:pPr>
        <w:ind w:left="555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559"/>
          </w:cols>
          <w:pgMar w:left="321" w:top="852" w:right="1019" w:bottom="1440" w:gutter="0" w:footer="0" w:header="0"/>
        </w:sectPr>
      </w:pPr>
    </w:p>
    <w:bookmarkStart w:id="18" w:name="page19"/>
    <w:bookmarkEnd w:id="18"/>
    <w:p>
      <w:pPr>
        <w:ind w:left="1220" w:right="780" w:hanging="612"/>
        <w:spacing w:after="0" w:line="262" w:lineRule="auto"/>
        <w:tabs>
          <w:tab w:leader="none" w:pos="12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168" w:lineRule="exact"/>
        <w:rPr>
          <w:rFonts w:ascii="Times New Roman" w:cs="Times New Roman" w:eastAsia="Times New Roman" w:hAnsi="Times New Roman"/>
          <w:sz w:val="17"/>
          <w:szCs w:val="17"/>
          <w:color w:val="auto"/>
        </w:rPr>
      </w:pPr>
    </w:p>
    <w:p>
      <w:pPr>
        <w:ind w:left="1220" w:right="720" w:hanging="612"/>
        <w:spacing w:after="0" w:line="262" w:lineRule="auto"/>
        <w:tabs>
          <w:tab w:leader="none" w:pos="12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168" w:lineRule="exact"/>
        <w:rPr>
          <w:rFonts w:ascii="Times New Roman" w:cs="Times New Roman" w:eastAsia="Times New Roman" w:hAnsi="Times New Roman"/>
          <w:sz w:val="17"/>
          <w:szCs w:val="17"/>
          <w:color w:val="auto"/>
        </w:rPr>
      </w:pPr>
    </w:p>
    <w:p>
      <w:pPr>
        <w:ind w:left="1220" w:right="1300" w:hanging="612"/>
        <w:spacing w:after="0" w:line="275" w:lineRule="auto"/>
        <w:tabs>
          <w:tab w:leader="none" w:pos="12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158" w:lineRule="exact"/>
        <w:rPr>
          <w:rFonts w:ascii="Times New Roman" w:cs="Times New Roman" w:eastAsia="Times New Roman" w:hAnsi="Times New Roman"/>
          <w:sz w:val="17"/>
          <w:szCs w:val="17"/>
          <w:color w:val="auto"/>
        </w:rPr>
      </w:pPr>
    </w:p>
    <w:p>
      <w:pPr>
        <w:ind w:left="1220" w:right="1340" w:hanging="612"/>
        <w:spacing w:after="0" w:line="275" w:lineRule="auto"/>
        <w:tabs>
          <w:tab w:leader="none" w:pos="12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powers, preferences and relative, participating, optional and other special rights, and any qualifications, limitations and restrictions thereof.</w:t>
      </w:r>
    </w:p>
    <w:p>
      <w:pPr>
        <w:spacing w:after="0" w:line="159" w:lineRule="exact"/>
        <w:rPr>
          <w:sz w:val="20"/>
          <w:szCs w:val="20"/>
          <w:color w:val="auto"/>
        </w:rPr>
      </w:pPr>
    </w:p>
    <w:p>
      <w:pPr>
        <w:ind w:left="600" w:right="480"/>
        <w:spacing w:after="0" w:line="275" w:lineRule="auto"/>
        <w:rPr>
          <w:sz w:val="20"/>
          <w:szCs w:val="20"/>
          <w:color w:val="auto"/>
        </w:rPr>
      </w:pPr>
      <w:r>
        <w:rPr>
          <w:rFonts w:ascii="Times New Roman" w:cs="Times New Roman" w:eastAsia="Times New Roman" w:hAnsi="Times New Roman"/>
          <w:sz w:val="17"/>
          <w:szCs w:val="17"/>
          <w:color w:val="auto"/>
        </w:rPr>
        <w:t>and, for such purposes, the Directors may reserve an appropriate number of Shares for the time being unissued. The Company shall not issue Shares to bearer.</w:t>
      </w:r>
    </w:p>
    <w:p>
      <w:pPr>
        <w:spacing w:after="0" w:line="159" w:lineRule="exact"/>
        <w:rPr>
          <w:sz w:val="20"/>
          <w:szCs w:val="20"/>
          <w:color w:val="auto"/>
        </w:rPr>
      </w:pPr>
    </w:p>
    <w:p>
      <w:pPr>
        <w:ind w:left="600" w:right="740" w:hanging="599"/>
        <w:spacing w:after="0" w:line="257" w:lineRule="auto"/>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insofar as may be permitted by law, pay a commission to any Person in consideration of his subscribing or agreeing to subscribe whether absolutely or conditionally for any Shares. Such commissions may be satisfied by the payment of cash or the lodgement of fully or partly paid-up Shares or partly in one way and partly in the other. The Company may also pay such brokerage as may be lawful on any issue of Shares.</w:t>
      </w:r>
    </w:p>
    <w:p>
      <w:pPr>
        <w:spacing w:after="0" w:line="173"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refuse to accept any application for Shares, and may accept any application in whole or in part, for any reason or for no reason.</w:t>
      </w:r>
    </w:p>
    <w:p>
      <w:pPr>
        <w:spacing w:after="0" w:line="204" w:lineRule="exact"/>
        <w:rPr>
          <w:rFonts w:ascii="Times New Roman" w:cs="Times New Roman" w:eastAsia="Times New Roman" w:hAnsi="Times New Roman"/>
          <w:sz w:val="17"/>
          <w:szCs w:val="17"/>
          <w:color w:val="auto"/>
        </w:rPr>
      </w:pPr>
    </w:p>
    <w:p>
      <w:pPr>
        <w:ind w:left="3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CLASS A ORDINARY SHARES AND CLASS C ORDINARY SHARES</w:t>
      </w:r>
    </w:p>
    <w:p>
      <w:pPr>
        <w:spacing w:after="0" w:line="213" w:lineRule="exact"/>
        <w:rPr>
          <w:sz w:val="20"/>
          <w:szCs w:val="20"/>
          <w:color w:val="auto"/>
        </w:rPr>
      </w:pPr>
    </w:p>
    <w:p>
      <w:pPr>
        <w:ind w:left="600" w:hanging="599"/>
        <w:spacing w:after="0" w:line="257" w:lineRule="auto"/>
        <w:tabs>
          <w:tab w:leader="none" w:pos="580" w:val="left"/>
        </w:tabs>
        <w:rPr>
          <w:sz w:val="20"/>
          <w:szCs w:val="20"/>
          <w:color w:val="auto"/>
        </w:rPr>
      </w:pPr>
      <w:r>
        <w:rPr>
          <w:rFonts w:ascii="Times New Roman" w:cs="Times New Roman" w:eastAsia="Times New Roman" w:hAnsi="Times New Roman"/>
          <w:sz w:val="17"/>
          <w:szCs w:val="17"/>
          <w:color w:val="auto"/>
        </w:rPr>
        <w:t>12.</w:t>
      </w:r>
      <w:r>
        <w:rPr>
          <w:sz w:val="20"/>
          <w:szCs w:val="20"/>
          <w:color w:val="auto"/>
        </w:rPr>
        <w:tab/>
      </w:r>
      <w:r>
        <w:rPr>
          <w:rFonts w:ascii="Times New Roman" w:cs="Times New Roman" w:eastAsia="Times New Roman" w:hAnsi="Times New Roman"/>
          <w:sz w:val="17"/>
          <w:szCs w:val="17"/>
          <w:color w:val="auto"/>
        </w:rPr>
        <w:t>Holders of Class A Ordinary Shares and Class C Ordinary Shares shall at all times vote together as one class on all resolutions submitted to a vote 8A. 07 by the Members. Subject to Article 12A, each Class A Ordinary Share shall entitle the holder thereof to one (1) vote on all matters subject to vote at general meetings of the Company, and each Class C Ordinary Share shall entitle the holder thereof to eight (8) votes on all matters subject to vote at general meetings of the Company.</w:t>
      </w:r>
    </w:p>
    <w:p>
      <w:pPr>
        <w:spacing w:after="0" w:line="174" w:lineRule="exact"/>
        <w:rPr>
          <w:sz w:val="20"/>
          <w:szCs w:val="20"/>
          <w:color w:val="auto"/>
        </w:rPr>
      </w:pPr>
    </w:p>
    <w:p>
      <w:pPr>
        <w:ind w:left="600" w:right="780" w:hanging="599"/>
        <w:spacing w:after="0" w:line="262" w:lineRule="auto"/>
        <w:tabs>
          <w:tab w:leader="none" w:pos="580" w:val="left"/>
        </w:tabs>
        <w:rPr>
          <w:sz w:val="20"/>
          <w:szCs w:val="20"/>
          <w:color w:val="auto"/>
        </w:rPr>
      </w:pPr>
      <w:r>
        <w:rPr>
          <w:rFonts w:ascii="Times New Roman" w:cs="Times New Roman" w:eastAsia="Times New Roman" w:hAnsi="Times New Roman"/>
          <w:sz w:val="17"/>
          <w:szCs w:val="17"/>
          <w:color w:val="auto"/>
        </w:rPr>
        <w:t>12A.</w:t>
        <w:tab/>
        <w:t>During the Relevant Period and notwithstanding Article 12, the Company shall have only one class of shares that each of such share entitles the holder thereof to more than one (1) vote on all matters subject to vote at general meetings of the Company. For the avoidance of doubt and subject to Article 16(h), only Class C ordinary shares shall carry such enhanced voting rights during the Relevant Period.</w:t>
      </w:r>
    </w:p>
    <w:p>
      <w:pPr>
        <w:spacing w:after="0" w:line="168" w:lineRule="exact"/>
        <w:rPr>
          <w:sz w:val="20"/>
          <w:szCs w:val="20"/>
          <w:color w:val="auto"/>
        </w:rPr>
      </w:pPr>
    </w:p>
    <w:p>
      <w:pPr>
        <w:ind w:left="600" w:right="700" w:hanging="599"/>
        <w:spacing w:after="0" w:line="257" w:lineRule="auto"/>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Class C Ordinary Share is convertible into one (1) Class A Ordinary Share at any time at the option of the holder thereof. The right to convert shall be exercisable by the holder of the Class C Ordinary Share delivering a written notice to the Company that such holder elects to convert a specified number of Class C Ordinary Shares into Class A Ordinary Shares. In no event shall Class A Ordinary Shares be convertible into Class C Ordinary Shares.</w:t>
      </w:r>
    </w:p>
    <w:p>
      <w:pPr>
        <w:spacing w:after="0" w:line="173" w:lineRule="exact"/>
        <w:rPr>
          <w:rFonts w:ascii="Times New Roman" w:cs="Times New Roman" w:eastAsia="Times New Roman" w:hAnsi="Times New Roman"/>
          <w:sz w:val="17"/>
          <w:szCs w:val="17"/>
          <w:color w:val="auto"/>
        </w:rPr>
      </w:pPr>
    </w:p>
    <w:p>
      <w:pPr>
        <w:ind w:left="600" w:right="860" w:hanging="599"/>
        <w:spacing w:after="0" w:line="262" w:lineRule="auto"/>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conversion of Class C Ordinary Shares into Class A Ordinary Shares pursuant to these Articles shall be effected by means of the re-designation of each relevant Class C Ordinary Share as a Class A Ordinary Share. Such conversion shall become effective forthwith upon entries being made in the Register to record the re-designation of the relevant Class C Ordinary Shares as Class A Ordinary Shares.</w:t>
      </w:r>
    </w:p>
    <w:p>
      <w:pPr>
        <w:spacing w:after="0" w:line="200" w:lineRule="exact"/>
        <w:rPr>
          <w:sz w:val="20"/>
          <w:szCs w:val="20"/>
          <w:color w:val="auto"/>
        </w:rPr>
      </w:pPr>
    </w:p>
    <w:p>
      <w:pPr>
        <w:spacing w:after="0" w:line="3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9" w:name="page20"/>
    <w:bookmarkEnd w:id="19"/>
    <w:p>
      <w:pPr>
        <w:ind w:left="600" w:right="740" w:hanging="599"/>
        <w:spacing w:after="0" w:line="251" w:lineRule="auto"/>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Article 16(e), upon any sale, transfer, assignment or disposition of any Class C Ordinary Share by a Shareholder to any person who is not a Permitted Class C Shareholder, or upon a change of ultimate beneficial ownership of any Class C Ordinary Share to any Person who is not a Permitted Class C Shareholder, each such Class C Ordinary Share shall be automatically and immediately converted into one (1) Class A Ordinary Share. For the avoidance of doubt, (i) a sale, transfer, assignment or disposition shall be effective upon the Company’s registration of such sale, transfer, assignment or disposition in its Register; and (ii) the creation of any pledge, charge, encumbrance or other third party right of whatever description on any Class C Ordinary Shares to secure a holder’s contractual or legal obligations shall not be deemed as a sale, transfer, assignment or disposition unless and until any such pledge, charge, encumbrance or other third party right is enforced and results in the third party holding legal title to the relevant Class C Ordinary Shares, in which case all the related Class C Ordinary Shares shall be automatically converted into an equal number of Class A Ordinary Shares. For purpose of this Article 15, beneficial ownership shall have the meaning set forth in Rule 13d-3 under the United States Securities Exchange Act of 1934, as amended.</w:t>
      </w:r>
    </w:p>
    <w:p>
      <w:pPr>
        <w:spacing w:after="0" w:line="179"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Relevant Period:</w:t>
      </w:r>
    </w:p>
    <w:p>
      <w:pPr>
        <w:sectPr>
          <w:pgSz w:w="11900" w:h="16838" w:orient="portrait"/>
          <w:cols w:equalWidth="0" w:num="1">
            <w:col w:w="11240"/>
          </w:cols>
          <w:pgMar w:left="320" w:top="856" w:right="339" w:bottom="1440" w:gutter="0" w:footer="0" w:header="0"/>
        </w:sectPr>
      </w:pPr>
    </w:p>
    <w:p>
      <w:pPr>
        <w:spacing w:after="0" w:line="209" w:lineRule="exact"/>
        <w:rPr>
          <w:sz w:val="20"/>
          <w:szCs w:val="20"/>
          <w:color w:val="auto"/>
        </w:rPr>
      </w:pPr>
    </w:p>
    <w:p>
      <w:pPr>
        <w:ind w:left="1220" w:hanging="619"/>
        <w:spacing w:after="0" w:line="257" w:lineRule="auto"/>
        <w:tabs>
          <w:tab w:leader="none" w:pos="1200" w:val="left"/>
        </w:tabs>
        <w:rPr>
          <w:sz w:val="20"/>
          <w:szCs w:val="20"/>
          <w:color w:val="auto"/>
        </w:rPr>
      </w:pPr>
      <w:r>
        <w:rPr>
          <w:rFonts w:ascii="Times New Roman" w:cs="Times New Roman" w:eastAsia="Times New Roman" w:hAnsi="Times New Roman"/>
          <w:sz w:val="17"/>
          <w:szCs w:val="17"/>
          <w:color w:val="auto"/>
        </w:rPr>
        <w:t>(a)</w:t>
      </w:r>
      <w:r>
        <w:rPr>
          <w:sz w:val="20"/>
          <w:szCs w:val="20"/>
          <w:color w:val="auto"/>
        </w:rPr>
        <w:tab/>
      </w:r>
      <w:r>
        <w:rPr>
          <w:rFonts w:ascii="Times New Roman" w:cs="Times New Roman" w:eastAsia="Times New Roman" w:hAnsi="Times New Roman"/>
          <w:sz w:val="17"/>
          <w:szCs w:val="17"/>
          <w:color w:val="auto"/>
        </w:rPr>
        <w:t>the Company shall not take any action (including the issue or repurchase of Shares of any class) that would result in (a) the aggregate number of votes entitled to be cast by all holders of Class A Ordinary Shares (for the avoidance of doubt, excluding those who are also holders of Class C Ordinary Shares) Present at a general meeting to be less than 10% of the votes entitled to be cast by all Members at a general meeting; or (b) an increase in the proportion of Class C Ordinary Shares to the total number of Shares in issue;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8A.09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8A.13</w:t>
      </w:r>
    </w:p>
    <w:p>
      <w:pPr>
        <w:spacing w:after="0" w:line="204" w:lineRule="exact"/>
        <w:rPr>
          <w:sz w:val="20"/>
          <w:szCs w:val="20"/>
          <w:color w:val="auto"/>
        </w:rPr>
      </w:pPr>
    </w:p>
    <w:p>
      <w:pPr>
        <w:sectPr>
          <w:pgSz w:w="11900" w:h="16838" w:orient="portrait"/>
          <w:cols w:equalWidth="0" w:num="2">
            <w:col w:w="10380" w:space="260"/>
            <w:col w:w="600"/>
          </w:cols>
          <w:pgMar w:left="320" w:top="856" w:right="339" w:bottom="1440" w:gutter="0" w:footer="0" w:header="0"/>
          <w:type w:val="continuous"/>
        </w:sectPr>
      </w:pPr>
    </w:p>
    <w:p>
      <w:pPr>
        <w:ind w:left="1220" w:hanging="612"/>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further Class C Ordinary Shares shall be issued by the Company, except with the prior approval of the HK Stock Exchange and pursuantRule</w:t>
      </w:r>
    </w:p>
    <w:p>
      <w:pPr>
        <w:spacing w:after="0" w:line="23" w:lineRule="exact"/>
        <w:rPr>
          <w:sz w:val="20"/>
          <w:szCs w:val="20"/>
          <w:color w:val="auto"/>
        </w:rPr>
      </w:pPr>
    </w:p>
    <w:p>
      <w:pPr>
        <w:ind w:left="1220" w:right="180"/>
        <w:spacing w:after="0" w:line="248" w:lineRule="auto"/>
        <w:rPr>
          <w:sz w:val="20"/>
          <w:szCs w:val="20"/>
          <w:color w:val="auto"/>
        </w:rPr>
      </w:pPr>
      <w:r>
        <w:rPr>
          <w:rFonts w:ascii="Times New Roman" w:cs="Times New Roman" w:eastAsia="Times New Roman" w:hAnsi="Times New Roman"/>
          <w:sz w:val="17"/>
          <w:szCs w:val="17"/>
          <w:color w:val="auto"/>
        </w:rPr>
        <w:t>to (x) an offer to subscribe for shares made to all the Members pro rata (apart from fractional entitlements) to their existing holdings; (y) a 8A.14 pro rata issue of Shares to all the Members by way of scrip dividends; or (z) pursuant to a share subdivision or other similar capital reorganisation; provided that, each Member shall be entitled to subscribe for (in a pro rata offer) or be issued (in an issue of Shares by way</w:t>
      </w:r>
    </w:p>
    <w:p>
      <w:pPr>
        <w:spacing w:after="0" w:line="1" w:lineRule="exact"/>
        <w:rPr>
          <w:sz w:val="20"/>
          <w:szCs w:val="20"/>
          <w:color w:val="auto"/>
        </w:rPr>
      </w:pPr>
    </w:p>
    <w:p>
      <w:pPr>
        <w:ind w:left="1220" w:right="620"/>
        <w:spacing w:after="0" w:line="287" w:lineRule="auto"/>
        <w:rPr>
          <w:sz w:val="20"/>
          <w:szCs w:val="20"/>
          <w:color w:val="auto"/>
        </w:rPr>
      </w:pPr>
      <w:r>
        <w:rPr>
          <w:rFonts w:ascii="Times New Roman" w:cs="Times New Roman" w:eastAsia="Times New Roman" w:hAnsi="Times New Roman"/>
          <w:sz w:val="16"/>
          <w:szCs w:val="16"/>
          <w:color w:val="auto"/>
        </w:rPr>
        <w:t>of scrip dividends) Shares in the same class as the Shares then held by him, notwithstanding the provisions of Article 16(i); and further provided that the proposed allotment or issuance will not result in an increase in the proportion of Class C Ordinary Shares in issue, so that:</w:t>
      </w:r>
    </w:p>
    <w:p>
      <w:pPr>
        <w:spacing w:after="0" w:line="151" w:lineRule="exact"/>
        <w:rPr>
          <w:sz w:val="20"/>
          <w:szCs w:val="20"/>
          <w:color w:val="auto"/>
        </w:rPr>
      </w:pPr>
    </w:p>
    <w:p>
      <w:pPr>
        <w:ind w:left="1820" w:right="840" w:hanging="599"/>
        <w:spacing w:after="0" w:line="262" w:lineRule="auto"/>
        <w:tabs>
          <w:tab w:leader="none" w:pos="1800" w:val="left"/>
        </w:tabs>
        <w:rPr>
          <w:sz w:val="20"/>
          <w:szCs w:val="20"/>
          <w:color w:val="auto"/>
        </w:rPr>
      </w:pPr>
      <w:r>
        <w:rPr>
          <w:rFonts w:ascii="Times New Roman" w:cs="Times New Roman" w:eastAsia="Times New Roman" w:hAnsi="Times New Roman"/>
          <w:sz w:val="17"/>
          <w:szCs w:val="17"/>
          <w:color w:val="auto"/>
        </w:rPr>
        <w:t>(i)</w:t>
      </w:r>
      <w:r>
        <w:rPr>
          <w:sz w:val="20"/>
          <w:szCs w:val="20"/>
          <w:color w:val="auto"/>
        </w:rPr>
        <w:tab/>
      </w:r>
      <w:r>
        <w:rPr>
          <w:rFonts w:ascii="Times New Roman" w:cs="Times New Roman" w:eastAsia="Times New Roman" w:hAnsi="Times New Roman"/>
          <w:sz w:val="17"/>
          <w:szCs w:val="17"/>
          <w:color w:val="auto"/>
        </w:rPr>
        <w:t>if, under a pro rata offer, any holder of Class C Ordinary Shares does not take up any part of the Class C Ordinary Shares or the rights thereto offered to him, such untaken shares (or rights) shall only be transferred to another person on the basis that such transferred rights will only entitle the transferee to an equivalent number of Class A Ordinary Shares; and</w:t>
      </w:r>
    </w:p>
    <w:p>
      <w:pPr>
        <w:spacing w:after="0" w:line="168" w:lineRule="exact"/>
        <w:rPr>
          <w:sz w:val="20"/>
          <w:szCs w:val="20"/>
          <w:color w:val="auto"/>
        </w:rPr>
      </w:pPr>
    </w:p>
    <w:p>
      <w:pPr>
        <w:ind w:left="1820" w:right="980" w:hanging="599"/>
        <w:spacing w:after="0" w:line="275" w:lineRule="auto"/>
        <w:tabs>
          <w:tab w:leader="none" w:pos="1800" w:val="left"/>
        </w:tabs>
        <w:rPr>
          <w:sz w:val="20"/>
          <w:szCs w:val="20"/>
          <w:color w:val="auto"/>
        </w:rPr>
      </w:pPr>
      <w:r>
        <w:rPr>
          <w:rFonts w:ascii="Times New Roman" w:cs="Times New Roman" w:eastAsia="Times New Roman" w:hAnsi="Times New Roman"/>
          <w:sz w:val="17"/>
          <w:szCs w:val="17"/>
          <w:color w:val="auto"/>
        </w:rPr>
        <w:t>(ii)</w:t>
      </w:r>
      <w:r>
        <w:rPr>
          <w:sz w:val="20"/>
          <w:szCs w:val="20"/>
          <w:color w:val="auto"/>
        </w:rPr>
        <w:tab/>
      </w:r>
      <w:r>
        <w:rPr>
          <w:rFonts w:ascii="Times New Roman" w:cs="Times New Roman" w:eastAsia="Times New Roman" w:hAnsi="Times New Roman"/>
          <w:sz w:val="17"/>
          <w:szCs w:val="17"/>
          <w:color w:val="auto"/>
        </w:rPr>
        <w:t>to the extent that rights to Class A Ordinary Shares in a pro rata offer are not taken up in their entirety, the number of Class C Ordinary Shares that shall be allotted, issued or granted in such pro rata offer shall be reduced proportionately;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(c)</w:t>
            </w:r>
          </w:p>
        </w:tc>
        <w:tc>
          <w:tcPr>
            <w:tcW w:w="9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 the event the Company reduces the number of Shares in issue (e.g. through a purchase of its own Shares), the holders of Class C</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Rule</w:t>
            </w:r>
          </w:p>
        </w:tc>
      </w:tr>
      <w:tr>
        <w:trPr>
          <w:trHeight w:val="202"/>
        </w:trPr>
        <w:tc>
          <w:tcPr>
            <w:tcW w:w="1000" w:type="dxa"/>
            <w:vAlign w:val="bottom"/>
          </w:tcPr>
          <w:p>
            <w:pPr>
              <w:spacing w:after="0"/>
              <w:rPr>
                <w:sz w:val="17"/>
                <w:szCs w:val="17"/>
                <w:color w:val="auto"/>
              </w:rPr>
            </w:pPr>
          </w:p>
        </w:tc>
        <w:tc>
          <w:tcPr>
            <w:tcW w:w="102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Ordinary Shares shall reduce their voting rights in the Company proportionately, whether through a conversion of a portion of their Class C 8A.15</w:t>
            </w:r>
          </w:p>
        </w:tc>
      </w:tr>
      <w:tr>
        <w:trPr>
          <w:trHeight w:val="202"/>
        </w:trPr>
        <w:tc>
          <w:tcPr>
            <w:tcW w:w="1000" w:type="dxa"/>
            <w:vAlign w:val="bottom"/>
          </w:tcPr>
          <w:p>
            <w:pPr>
              <w:spacing w:after="0"/>
              <w:rPr>
                <w:sz w:val="17"/>
                <w:szCs w:val="17"/>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Ordinary Shares or otherwise, if the reduction in the number of Shares in issue (which, for the purpose of this Article, excludes all of the</w:t>
            </w:r>
          </w:p>
        </w:tc>
        <w:tc>
          <w:tcPr>
            <w:tcW w:w="640" w:type="dxa"/>
            <w:vAlign w:val="bottom"/>
          </w:tcPr>
          <w:p>
            <w:pPr>
              <w:spacing w:after="0"/>
              <w:rPr>
                <w:sz w:val="17"/>
                <w:szCs w:val="17"/>
                <w:color w:val="auto"/>
              </w:rPr>
            </w:pPr>
          </w:p>
        </w:tc>
      </w:tr>
      <w:tr>
        <w:trPr>
          <w:trHeight w:val="218"/>
        </w:trPr>
        <w:tc>
          <w:tcPr>
            <w:tcW w:w="100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9"/>
              </w:rPr>
              <w:t>Treasury Shares) would otherwise result in an increase in the proportion of Class C Ordinary Shares to the total number of Shares in issue;</w:t>
            </w:r>
          </w:p>
        </w:tc>
        <w:tc>
          <w:tcPr>
            <w:tcW w:w="640" w:type="dxa"/>
            <w:vAlign w:val="bottom"/>
          </w:tcPr>
          <w:p>
            <w:pPr>
              <w:spacing w:after="0"/>
              <w:rPr>
                <w:sz w:val="18"/>
                <w:szCs w:val="18"/>
                <w:color w:val="auto"/>
              </w:rPr>
            </w:pPr>
          </w:p>
        </w:tc>
      </w:tr>
      <w:tr>
        <w:trPr>
          <w:trHeight w:val="388"/>
        </w:trPr>
        <w:tc>
          <w:tcPr>
            <w:tcW w:w="10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(d)</w:t>
            </w:r>
          </w:p>
        </w:tc>
        <w:tc>
          <w:tcPr>
            <w:tcW w:w="9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the Company shall not change the terms of the Class C Ordinary Shares to increase the number of votes to which each Class C Ordinary</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Rule</w:t>
            </w:r>
          </w:p>
        </w:tc>
      </w:tr>
      <w:tr>
        <w:trPr>
          <w:trHeight w:val="218"/>
        </w:trPr>
        <w:tc>
          <w:tcPr>
            <w:tcW w:w="100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 is entitled;</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8A.16</w:t>
            </w:r>
          </w:p>
        </w:tc>
      </w:tr>
      <w:tr>
        <w:trPr>
          <w:trHeight w:val="607"/>
        </w:trPr>
        <w:tc>
          <w:tcPr>
            <w:tcW w:w="100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tcPr>
          <w:p>
            <w:pPr>
              <w:ind w:left="4520"/>
              <w:spacing w:after="0"/>
              <w:rPr>
                <w:sz w:val="20"/>
                <w:szCs w:val="20"/>
                <w:color w:val="auto"/>
              </w:rPr>
            </w:pPr>
            <w:r>
              <w:rPr>
                <w:rFonts w:ascii="Times New Roman" w:cs="Times New Roman" w:eastAsia="Times New Roman" w:hAnsi="Times New Roman"/>
                <w:sz w:val="17"/>
                <w:szCs w:val="17"/>
                <w:color w:val="auto"/>
              </w:rPr>
              <w:t>10</w:t>
            </w: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6" w:right="339" w:bottom="1440" w:gutter="0" w:footer="0" w:header="0"/>
          <w:type w:val="continuous"/>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(e)</w:t>
            </w:r>
          </w:p>
        </w:tc>
        <w:tc>
          <w:tcPr>
            <w:tcW w:w="9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each of Class C Ordinary Shares shall only be held by a Director or a Director Holding Vehicle. Subject to the Listing Rules or other</w:t>
            </w: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Rule</w:t>
            </w:r>
          </w:p>
        </w:tc>
      </w:tr>
      <w:tr>
        <w:trPr>
          <w:trHeight w:val="202"/>
        </w:trPr>
        <w:tc>
          <w:tcPr>
            <w:tcW w:w="400" w:type="dxa"/>
            <w:vAlign w:val="bottom"/>
          </w:tcPr>
          <w:p>
            <w:pPr>
              <w:spacing w:after="0"/>
              <w:rPr>
                <w:sz w:val="17"/>
                <w:szCs w:val="17"/>
                <w:color w:val="auto"/>
              </w:rPr>
            </w:pPr>
          </w:p>
        </w:tc>
        <w:tc>
          <w:tcPr>
            <w:tcW w:w="9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applicable laws or regulations, each Class C Ordinary Share shall be automatically converted into one Class A Ordinary Share upon the</w:t>
            </w: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8A.17</w:t>
            </w:r>
          </w:p>
        </w:tc>
      </w:tr>
      <w:tr>
        <w:trPr>
          <w:trHeight w:val="202"/>
        </w:trPr>
        <w:tc>
          <w:tcPr>
            <w:tcW w:w="400" w:type="dxa"/>
            <w:vAlign w:val="bottom"/>
          </w:tcPr>
          <w:p>
            <w:pPr>
              <w:spacing w:after="0"/>
              <w:rPr>
                <w:sz w:val="17"/>
                <w:szCs w:val="17"/>
                <w:color w:val="auto"/>
              </w:rPr>
            </w:pPr>
          </w:p>
        </w:tc>
        <w:tc>
          <w:tcPr>
            <w:tcW w:w="9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occurrence of any of the following events:</w:t>
            </w: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Rule</w:t>
            </w:r>
          </w:p>
        </w:tc>
      </w:tr>
      <w:tr>
        <w:trPr>
          <w:trHeight w:val="218"/>
        </w:trPr>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8A.19</w:t>
            </w:r>
          </w:p>
        </w:tc>
      </w:tr>
      <w:tr>
        <w:trPr>
          <w:trHeight w:val="388"/>
        </w:trPr>
        <w:tc>
          <w:tcPr>
            <w:tcW w:w="40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w:t>
            </w:r>
          </w:p>
        </w:tc>
        <w:tc>
          <w:tcPr>
            <w:tcW w:w="8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death of the holder of such Class C Ordinary Share (or, where the holder is a Director Holding Vehicle, the death of the</w:t>
            </w:r>
          </w:p>
        </w:tc>
        <w:tc>
          <w:tcPr>
            <w:tcW w:w="620" w:type="dxa"/>
            <w:vAlign w:val="bottom"/>
          </w:tcPr>
          <w:p>
            <w:pPr>
              <w:spacing w:after="0"/>
              <w:rPr>
                <w:sz w:val="24"/>
                <w:szCs w:val="24"/>
                <w:color w:val="auto"/>
              </w:rPr>
            </w:pPr>
          </w:p>
        </w:tc>
      </w:tr>
      <w:tr>
        <w:trPr>
          <w:trHeight w:val="218"/>
        </w:trPr>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Director holding or controlling such Director Holding Vehicle);</w:t>
            </w:r>
          </w:p>
        </w:tc>
        <w:tc>
          <w:tcPr>
            <w:tcW w:w="620" w:type="dxa"/>
            <w:vAlign w:val="bottom"/>
          </w:tcPr>
          <w:p>
            <w:pPr>
              <w:spacing w:after="0"/>
              <w:rPr>
                <w:sz w:val="18"/>
                <w:szCs w:val="18"/>
                <w:color w:val="auto"/>
              </w:rPr>
            </w:pPr>
          </w:p>
        </w:tc>
      </w:tr>
      <w:tr>
        <w:trPr>
          <w:trHeight w:val="404"/>
        </w:trPr>
        <w:tc>
          <w:tcPr>
            <w:tcW w:w="40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(ii)</w:t>
            </w:r>
          </w:p>
        </w:tc>
        <w:tc>
          <w:tcPr>
            <w:tcW w:w="8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holder of such Class C Ordinary Share ceasing to be a Director or a Director Holding Vehicle for any reason;</w:t>
            </w:r>
          </w:p>
        </w:tc>
        <w:tc>
          <w:tcPr>
            <w:tcW w:w="620" w:type="dxa"/>
            <w:vAlign w:val="bottom"/>
          </w:tcPr>
          <w:p>
            <w:pPr>
              <w:spacing w:after="0"/>
              <w:rPr>
                <w:sz w:val="24"/>
                <w:szCs w:val="24"/>
                <w:color w:val="auto"/>
              </w:rPr>
            </w:pPr>
          </w:p>
        </w:tc>
      </w:tr>
      <w:tr>
        <w:trPr>
          <w:trHeight w:val="388"/>
        </w:trPr>
        <w:tc>
          <w:tcPr>
            <w:tcW w:w="40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(iii)</w:t>
            </w:r>
          </w:p>
        </w:tc>
        <w:tc>
          <w:tcPr>
            <w:tcW w:w="898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99"/>
              </w:rPr>
              <w:t>the holder of such Class C Ordinary Share (or, where the holder is a Director Holding Vehicle, the Director holding or controlling</w:t>
            </w:r>
          </w:p>
        </w:tc>
        <w:tc>
          <w:tcPr>
            <w:tcW w:w="620" w:type="dxa"/>
            <w:vAlign w:val="bottom"/>
          </w:tcPr>
          <w:p>
            <w:pPr>
              <w:spacing w:after="0"/>
              <w:rPr>
                <w:sz w:val="24"/>
                <w:szCs w:val="24"/>
                <w:color w:val="auto"/>
              </w:rPr>
            </w:pPr>
          </w:p>
        </w:tc>
      </w:tr>
      <w:tr>
        <w:trPr>
          <w:trHeight w:val="202"/>
        </w:trPr>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such Director Holding Vehicle) being deemed by the HK Stock Exchange to be incapacitated for the purpose of performing his</w:t>
            </w:r>
          </w:p>
        </w:tc>
        <w:tc>
          <w:tcPr>
            <w:tcW w:w="620" w:type="dxa"/>
            <w:vAlign w:val="bottom"/>
          </w:tcPr>
          <w:p>
            <w:pPr>
              <w:spacing w:after="0"/>
              <w:rPr>
                <w:sz w:val="17"/>
                <w:szCs w:val="17"/>
                <w:color w:val="auto"/>
              </w:rPr>
            </w:pPr>
          </w:p>
        </w:tc>
      </w:tr>
      <w:tr>
        <w:trPr>
          <w:trHeight w:val="218"/>
        </w:trPr>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duties as a Director;</w:t>
            </w:r>
          </w:p>
        </w:tc>
        <w:tc>
          <w:tcPr>
            <w:tcW w:w="620" w:type="dxa"/>
            <w:vAlign w:val="bottom"/>
          </w:tcPr>
          <w:p>
            <w:pPr>
              <w:spacing w:after="0"/>
              <w:rPr>
                <w:sz w:val="18"/>
                <w:szCs w:val="18"/>
                <w:color w:val="auto"/>
              </w:rPr>
            </w:pPr>
          </w:p>
        </w:tc>
      </w:tr>
      <w:tr>
        <w:trPr>
          <w:trHeight w:val="388"/>
        </w:trPr>
        <w:tc>
          <w:tcPr>
            <w:tcW w:w="40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(iv)</w:t>
            </w:r>
          </w:p>
        </w:tc>
        <w:tc>
          <w:tcPr>
            <w:tcW w:w="8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holder of such Class C Ordinary Share (or, whether the holder is a Director Holding Vehicle, the Director holding or</w:t>
            </w:r>
          </w:p>
        </w:tc>
        <w:tc>
          <w:tcPr>
            <w:tcW w:w="620" w:type="dxa"/>
            <w:vAlign w:val="bottom"/>
          </w:tcPr>
          <w:p>
            <w:pPr>
              <w:spacing w:after="0"/>
              <w:rPr>
                <w:sz w:val="24"/>
                <w:szCs w:val="24"/>
                <w:color w:val="auto"/>
              </w:rPr>
            </w:pPr>
          </w:p>
        </w:tc>
      </w:tr>
      <w:tr>
        <w:trPr>
          <w:trHeight w:val="202"/>
        </w:trPr>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controlling such Director Holding Vehicle) being deemed by the HK Stock Exchange to no longer meet the requirements of a</w:t>
            </w:r>
          </w:p>
        </w:tc>
        <w:tc>
          <w:tcPr>
            <w:tcW w:w="620" w:type="dxa"/>
            <w:vAlign w:val="bottom"/>
          </w:tcPr>
          <w:p>
            <w:pPr>
              <w:spacing w:after="0"/>
              <w:rPr>
                <w:sz w:val="17"/>
                <w:szCs w:val="17"/>
                <w:color w:val="auto"/>
              </w:rPr>
            </w:pPr>
          </w:p>
        </w:tc>
      </w:tr>
      <w:tr>
        <w:trPr>
          <w:trHeight w:val="218"/>
        </w:trPr>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director set out in the Listing Rules; or</w:t>
            </w:r>
          </w:p>
        </w:tc>
        <w:tc>
          <w:tcPr>
            <w:tcW w:w="620" w:type="dxa"/>
            <w:vAlign w:val="bottom"/>
          </w:tcPr>
          <w:p>
            <w:pPr>
              <w:spacing w:after="0"/>
              <w:rPr>
                <w:sz w:val="18"/>
                <w:szCs w:val="18"/>
                <w:color w:val="auto"/>
              </w:rPr>
            </w:pPr>
          </w:p>
        </w:tc>
      </w:tr>
      <w:tr>
        <w:trPr>
          <w:trHeight w:val="388"/>
        </w:trPr>
        <w:tc>
          <w:tcPr>
            <w:tcW w:w="40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(v)</w:t>
            </w:r>
          </w:p>
        </w:tc>
        <w:tc>
          <w:tcPr>
            <w:tcW w:w="8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transfer to another person of the beneficial ownership of, or economic interest in, such Class C Ordinary Share or the control</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Rule</w:t>
            </w:r>
          </w:p>
        </w:tc>
      </w:tr>
      <w:tr>
        <w:trPr>
          <w:trHeight w:val="202"/>
        </w:trPr>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 the voting rights attached to such Class C Ordinary Share (through voting proxies or otherwise), other than (a) the grant of</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w w:val="96"/>
              </w:rPr>
              <w:t>8A.18(1)</w:t>
            </w:r>
          </w:p>
        </w:tc>
      </w:tr>
      <w:tr>
        <w:trPr>
          <w:trHeight w:val="202"/>
        </w:trPr>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any encumbrance, lien or mortgage over such Share which does not result in the transfer of the legal title or beneficial ownership</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Rule</w:t>
            </w:r>
          </w:p>
        </w:tc>
      </w:tr>
      <w:tr>
        <w:trPr>
          <w:trHeight w:val="202"/>
        </w:trPr>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of, or the voting rights attached to, such Share, until the same is transferred upon the enforcement of such encumbrance, lien or</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w w:val="96"/>
              </w:rPr>
              <w:t>8A.18(2)</w:t>
            </w:r>
          </w:p>
        </w:tc>
      </w:tr>
      <w:tr>
        <w:trPr>
          <w:trHeight w:val="202"/>
        </w:trPr>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98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98"/>
              </w:rPr>
              <w:t>mortgage; (b) a transfer of the legal title to such Share by a Director to a Director Holding Vehicle held or controlled by him, or by</w:t>
            </w:r>
          </w:p>
        </w:tc>
        <w:tc>
          <w:tcPr>
            <w:tcW w:w="620" w:type="dxa"/>
            <w:vAlign w:val="bottom"/>
          </w:tcPr>
          <w:p>
            <w:pPr>
              <w:spacing w:after="0"/>
              <w:rPr>
                <w:sz w:val="17"/>
                <w:szCs w:val="17"/>
                <w:color w:val="auto"/>
              </w:rPr>
            </w:pPr>
          </w:p>
        </w:tc>
      </w:tr>
      <w:tr>
        <w:trPr>
          <w:trHeight w:val="202"/>
        </w:trPr>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98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98"/>
              </w:rPr>
              <w:t>a Director Holding Vehicle to the Director holding or controlling it or another Director Holding Vehicle held or controlled by such</w:t>
            </w:r>
          </w:p>
        </w:tc>
        <w:tc>
          <w:tcPr>
            <w:tcW w:w="620" w:type="dxa"/>
            <w:vAlign w:val="bottom"/>
          </w:tcPr>
          <w:p>
            <w:pPr>
              <w:spacing w:after="0"/>
              <w:rPr>
                <w:sz w:val="17"/>
                <w:szCs w:val="17"/>
                <w:color w:val="auto"/>
              </w:rPr>
            </w:pPr>
          </w:p>
        </w:tc>
      </w:tr>
      <w:tr>
        <w:trPr>
          <w:trHeight w:val="202"/>
        </w:trPr>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Director; and (c) any transfer of legal title to such Share by a holder of Class C Ordinary Shares to a limited partnership, trust,</w:t>
            </w:r>
          </w:p>
        </w:tc>
        <w:tc>
          <w:tcPr>
            <w:tcW w:w="620" w:type="dxa"/>
            <w:vAlign w:val="bottom"/>
          </w:tcPr>
          <w:p>
            <w:pPr>
              <w:spacing w:after="0"/>
              <w:rPr>
                <w:sz w:val="17"/>
                <w:szCs w:val="17"/>
                <w:color w:val="auto"/>
              </w:rPr>
            </w:pPr>
          </w:p>
        </w:tc>
      </w:tr>
      <w:tr>
        <w:trPr>
          <w:trHeight w:val="218"/>
        </w:trPr>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private company or other vehicle which holds Class C Ordinary Shares on behalf of such holder;</w:t>
            </w:r>
          </w:p>
        </w:tc>
        <w:tc>
          <w:tcPr>
            <w:tcW w:w="620" w:type="dxa"/>
            <w:vAlign w:val="bottom"/>
          </w:tcPr>
          <w:p>
            <w:pPr>
              <w:spacing w:after="0"/>
              <w:rPr>
                <w:sz w:val="18"/>
                <w:szCs w:val="18"/>
                <w:color w:val="auto"/>
              </w:rPr>
            </w:pPr>
          </w:p>
        </w:tc>
      </w:tr>
      <w:tr>
        <w:trPr>
          <w:trHeight w:val="388"/>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(f)</w:t>
            </w:r>
          </w:p>
        </w:tc>
        <w:tc>
          <w:tcPr>
            <w:tcW w:w="9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w w:val="99"/>
              </w:rPr>
              <w:t>any conversion of Class C Ordinary Shares into Class A Ordinary Shares pursuant to these Articles shall be effected by the re-designation</w:t>
            </w: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Rule</w:t>
            </w:r>
          </w:p>
        </w:tc>
      </w:tr>
      <w:tr>
        <w:trPr>
          <w:trHeight w:val="202"/>
        </w:trPr>
        <w:tc>
          <w:tcPr>
            <w:tcW w:w="400" w:type="dxa"/>
            <w:vAlign w:val="bottom"/>
          </w:tcPr>
          <w:p>
            <w:pPr>
              <w:spacing w:after="0"/>
              <w:rPr>
                <w:sz w:val="17"/>
                <w:szCs w:val="17"/>
                <w:color w:val="auto"/>
              </w:rPr>
            </w:pPr>
          </w:p>
        </w:tc>
        <w:tc>
          <w:tcPr>
            <w:tcW w:w="9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of each Class C Ordinary Share into one Class A Ordinary Share. Such conversion shall become effective forthwith upon entries being</w:t>
            </w: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8A.21</w:t>
            </w:r>
          </w:p>
        </w:tc>
      </w:tr>
      <w:tr>
        <w:trPr>
          <w:trHeight w:val="218"/>
        </w:trPr>
        <w:tc>
          <w:tcPr>
            <w:tcW w:w="400" w:type="dxa"/>
            <w:vAlign w:val="bottom"/>
          </w:tcPr>
          <w:p>
            <w:pPr>
              <w:spacing w:after="0"/>
              <w:rPr>
                <w:sz w:val="18"/>
                <w:szCs w:val="18"/>
                <w:color w:val="auto"/>
              </w:rPr>
            </w:pPr>
          </w:p>
        </w:tc>
        <w:tc>
          <w:tcPr>
            <w:tcW w:w="9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made in the Register to record the re-designation to the relevant Class C Ordinary Shares as Class A Ordinary Shares;</w:t>
            </w:r>
          </w:p>
        </w:tc>
        <w:tc>
          <w:tcPr>
            <w:tcW w:w="620" w:type="dxa"/>
            <w:vAlign w:val="bottom"/>
          </w:tcPr>
          <w:p>
            <w:pPr>
              <w:spacing w:after="0"/>
              <w:rPr>
                <w:sz w:val="18"/>
                <w:szCs w:val="18"/>
                <w:color w:val="auto"/>
              </w:rPr>
            </w:pPr>
          </w:p>
        </w:tc>
      </w:tr>
      <w:tr>
        <w:trPr>
          <w:trHeight w:val="388"/>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(g)</w:t>
            </w:r>
          </w:p>
        </w:tc>
        <w:tc>
          <w:tcPr>
            <w:tcW w:w="9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all of the Class C Ordinary Shares in the authorised share capital shall be automatically re-designated into Class A Ordinary Shares in the</w:t>
            </w: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Rule</w:t>
            </w:r>
          </w:p>
        </w:tc>
      </w:tr>
      <w:tr>
        <w:trPr>
          <w:trHeight w:val="202"/>
        </w:trPr>
        <w:tc>
          <w:tcPr>
            <w:tcW w:w="400" w:type="dxa"/>
            <w:vAlign w:val="bottom"/>
          </w:tcPr>
          <w:p>
            <w:pPr>
              <w:spacing w:after="0"/>
              <w:rPr>
                <w:sz w:val="17"/>
                <w:szCs w:val="17"/>
                <w:color w:val="auto"/>
              </w:rPr>
            </w:pPr>
          </w:p>
        </w:tc>
        <w:tc>
          <w:tcPr>
            <w:tcW w:w="9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event all of the Class C Ordinary Shares in issue are converted into Class A Ordinary Shares in accordance with Article 16(e), and no</w:t>
            </w: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8A.22</w:t>
            </w:r>
          </w:p>
        </w:tc>
      </w:tr>
      <w:tr>
        <w:trPr>
          <w:trHeight w:val="218"/>
        </w:trPr>
        <w:tc>
          <w:tcPr>
            <w:tcW w:w="400" w:type="dxa"/>
            <w:vAlign w:val="bottom"/>
          </w:tcPr>
          <w:p>
            <w:pPr>
              <w:spacing w:after="0"/>
              <w:rPr>
                <w:sz w:val="18"/>
                <w:szCs w:val="18"/>
                <w:color w:val="auto"/>
              </w:rPr>
            </w:pPr>
          </w:p>
        </w:tc>
        <w:tc>
          <w:tcPr>
            <w:tcW w:w="9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further Class C Ordinary Shares shall be issued by the Company;</w:t>
            </w:r>
          </w:p>
        </w:tc>
        <w:tc>
          <w:tcPr>
            <w:tcW w:w="620" w:type="dxa"/>
            <w:vAlign w:val="bottom"/>
          </w:tcPr>
          <w:p>
            <w:pPr>
              <w:spacing w:after="0"/>
              <w:rPr>
                <w:sz w:val="18"/>
                <w:szCs w:val="18"/>
                <w:color w:val="auto"/>
              </w:rPr>
            </w:pPr>
          </w:p>
        </w:tc>
      </w:tr>
    </w:tbl>
    <w:p>
      <w:pPr>
        <w:spacing w:after="0" w:line="186" w:lineRule="exact"/>
        <w:rPr>
          <w:sz w:val="20"/>
          <w:szCs w:val="20"/>
          <w:color w:val="auto"/>
        </w:rPr>
      </w:pPr>
    </w:p>
    <w:p>
      <w:pPr>
        <w:ind w:left="620" w:hanging="61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provisions in these Articles to the contrary, each Class A Ordinary Share and each Class C Ordinary Share shall entitle Rule</w:t>
      </w:r>
    </w:p>
    <w:p>
      <w:pPr>
        <w:spacing w:after="0" w:line="23" w:lineRule="exact"/>
        <w:rPr>
          <w:sz w:val="20"/>
          <w:szCs w:val="20"/>
          <w:color w:val="auto"/>
        </w:rPr>
      </w:pPr>
    </w:p>
    <w:tbl>
      <w:tblPr>
        <w:tblLayout w:type="fixed"/>
        <w:tblInd w:w="620" w:type="dxa"/>
        <w:tblCellMar>
          <w:top w:w="0" w:type="dxa"/>
          <w:left w:w="0" w:type="dxa"/>
          <w:bottom w:w="0" w:type="dxa"/>
          <w:right w:w="0" w:type="dxa"/>
        </w:tblCellMar>
      </w:tblPr>
      <w:tr>
        <w:trPr>
          <w:trHeight w:val="218"/>
        </w:trPr>
        <w:tc>
          <w:tcPr>
            <w:tcW w:w="8400" w:type="dxa"/>
            <w:vAlign w:val="bottom"/>
          </w:tcPr>
          <w:p>
            <w:pPr>
              <w:spacing w:after="0"/>
              <w:rPr>
                <w:sz w:val="20"/>
                <w:szCs w:val="20"/>
                <w:color w:val="auto"/>
              </w:rPr>
            </w:pPr>
            <w:r>
              <w:rPr>
                <w:rFonts w:ascii="Times New Roman" w:cs="Times New Roman" w:eastAsia="Times New Roman" w:hAnsi="Times New Roman"/>
                <w:sz w:val="17"/>
                <w:szCs w:val="17"/>
                <w:color w:val="auto"/>
              </w:rPr>
              <w:t>its holder to one vote on a poll at a general meeting in respect of a resolution on any of the following matters:</w:t>
            </w:r>
          </w:p>
        </w:tc>
        <w:tc>
          <w:tcPr>
            <w:tcW w:w="1440" w:type="dxa"/>
            <w:vAlign w:val="bottom"/>
          </w:tcPr>
          <w:p>
            <w:pPr>
              <w:ind w:left="1020"/>
              <w:spacing w:after="0"/>
              <w:rPr>
                <w:sz w:val="20"/>
                <w:szCs w:val="20"/>
                <w:color w:val="auto"/>
              </w:rPr>
            </w:pPr>
            <w:r>
              <w:rPr>
                <w:rFonts w:ascii="Times New Roman" w:cs="Times New Roman" w:eastAsia="Times New Roman" w:hAnsi="Times New Roman"/>
                <w:sz w:val="17"/>
                <w:szCs w:val="17"/>
                <w:color w:val="auto"/>
                <w:w w:val="95"/>
              </w:rPr>
              <w:t>8A.24</w:t>
            </w:r>
          </w:p>
        </w:tc>
      </w:tr>
    </w:tbl>
    <w:p>
      <w:pPr>
        <w:spacing w:after="0" w:line="170" w:lineRule="exact"/>
        <w:rPr>
          <w:sz w:val="20"/>
          <w:szCs w:val="20"/>
          <w:color w:val="auto"/>
        </w:rPr>
      </w:pPr>
    </w:p>
    <w:p>
      <w:pPr>
        <w:ind w:left="1220" w:right="680" w:hanging="606"/>
        <w:spacing w:after="0" w:line="275" w:lineRule="auto"/>
        <w:tabs>
          <w:tab w:leader="none" w:pos="122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of the Memorandum of Association or these Articles, including the variation of the rights attached to any class of Shares;</w:t>
      </w:r>
    </w:p>
    <w:p>
      <w:pPr>
        <w:spacing w:after="0" w:line="158" w:lineRule="exact"/>
        <w:rPr>
          <w:rFonts w:ascii="Times New Roman" w:cs="Times New Roman" w:eastAsia="Times New Roman" w:hAnsi="Times New Roman"/>
          <w:sz w:val="17"/>
          <w:szCs w:val="17"/>
          <w:color w:val="auto"/>
        </w:rPr>
      </w:pPr>
    </w:p>
    <w:p>
      <w:pPr>
        <w:ind w:left="1220" w:hanging="606"/>
        <w:spacing w:after="0"/>
        <w:tabs>
          <w:tab w:leader="none" w:pos="122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appointment, election or removal of any Independent Non-executive Director;</w:t>
      </w:r>
    </w:p>
    <w:p>
      <w:pPr>
        <w:spacing w:after="0" w:line="208" w:lineRule="exact"/>
        <w:rPr>
          <w:rFonts w:ascii="Times New Roman" w:cs="Times New Roman" w:eastAsia="Times New Roman" w:hAnsi="Times New Roman"/>
          <w:sz w:val="17"/>
          <w:szCs w:val="17"/>
          <w:color w:val="auto"/>
        </w:rPr>
      </w:pPr>
    </w:p>
    <w:p>
      <w:pPr>
        <w:ind w:left="1220" w:hanging="606"/>
        <w:spacing w:after="0"/>
        <w:tabs>
          <w:tab w:leader="none" w:pos="122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appointment or removal of the auditors; or</w:t>
      </w:r>
    </w:p>
    <w:p>
      <w:pPr>
        <w:spacing w:after="0" w:line="208" w:lineRule="exact"/>
        <w:rPr>
          <w:rFonts w:ascii="Times New Roman" w:cs="Times New Roman" w:eastAsia="Times New Roman" w:hAnsi="Times New Roman"/>
          <w:sz w:val="17"/>
          <w:szCs w:val="17"/>
          <w:color w:val="auto"/>
        </w:rPr>
      </w:pPr>
    </w:p>
    <w:p>
      <w:pPr>
        <w:ind w:left="1220" w:hanging="606"/>
        <w:spacing w:after="0"/>
        <w:tabs>
          <w:tab w:leader="none" w:pos="122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voluntary liquidation or winding-up of the Company; and</w:t>
      </w:r>
    </w:p>
    <w:p>
      <w:pPr>
        <w:spacing w:after="0" w:line="208" w:lineRule="exact"/>
        <w:rPr>
          <w:rFonts w:ascii="Times New Roman" w:cs="Times New Roman" w:eastAsia="Times New Roman" w:hAnsi="Times New Roman"/>
          <w:sz w:val="17"/>
          <w:szCs w:val="17"/>
          <w:color w:val="auto"/>
        </w:rPr>
      </w:pPr>
    </w:p>
    <w:p>
      <w:pPr>
        <w:ind w:left="620" w:right="700" w:hanging="612"/>
        <w:spacing w:after="0" w:line="275"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save and except for voting rights and conversion rights as set out in Articles 12 to 16 (inclusive), the Class A Ordinary Shares and Class C Ordinary Shares shall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one another and shall have the same rights, preferences, privileges and restrictions.</w:t>
      </w:r>
    </w:p>
    <w:p>
      <w:pPr>
        <w:spacing w:after="0" w:line="36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14605</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40"/>
          </w:cols>
          <w:pgMar w:left="920" w:top="856" w:right="339" w:bottom="1440" w:gutter="0" w:footer="0" w:header="0"/>
        </w:sectPr>
      </w:pPr>
    </w:p>
    <w:bookmarkStart w:id="21" w:name="page22"/>
    <w:bookmarkEnd w:id="21"/>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MODIFICATION OF RIGHTS</w:t>
      </w:r>
    </w:p>
    <w:p>
      <w:pPr>
        <w:spacing w:after="0" w:line="238" w:lineRule="exact"/>
        <w:rPr>
          <w:sz w:val="20"/>
          <w:szCs w:val="20"/>
          <w:color w:val="auto"/>
        </w:rPr>
      </w:pPr>
    </w:p>
    <w:p>
      <w:pPr>
        <w:ind w:left="600" w:hanging="599"/>
        <w:spacing w:after="0"/>
        <w:tabs>
          <w:tab w:leader="none" w:pos="6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the capital of the Company is divided into different Classes the rights attached to any such Class may, subject to any rights or restrictions App 3 r.</w:t>
      </w:r>
    </w:p>
    <w:p>
      <w:pPr>
        <w:spacing w:after="0" w:line="34" w:lineRule="exact"/>
        <w:rPr>
          <w:sz w:val="20"/>
          <w:szCs w:val="20"/>
          <w:color w:val="auto"/>
        </w:rPr>
      </w:pPr>
    </w:p>
    <w:p>
      <w:pPr>
        <w:ind w:left="600" w:right="380"/>
        <w:spacing w:after="0" w:line="249" w:lineRule="auto"/>
        <w:rPr>
          <w:sz w:val="20"/>
          <w:szCs w:val="20"/>
          <w:color w:val="auto"/>
        </w:rPr>
      </w:pPr>
      <w:r>
        <w:rPr>
          <w:rFonts w:ascii="Times New Roman" w:cs="Times New Roman" w:eastAsia="Times New Roman" w:hAnsi="Times New Roman"/>
          <w:sz w:val="17"/>
          <w:szCs w:val="17"/>
          <w:color w:val="auto"/>
        </w:rPr>
        <w:t xml:space="preserve">for the time being attached to any Class, only be varied with the consent in writing of the holders of three-fourths of the issued Shares of that Class 15 or with the sanction of a resolution passed at a separate meeting of the holders of the Shares of that Class by the holders of three-fourths of the issued Shares of that Class Present in person or by proxy and voting at such meeting. To every such separate meeting all the provisions of these Articles relating to general meetings of the Company or to the proceedings thereat shall,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apply, except that the necessary quorum shall be one or more Persons holding or representing by proxy at least one-third in nominal or par value amount of the issued Shares of the relevant Class (but so that if at any adjourned meeting of such holders a quorum as above defined is not Present, those Shareholders who are Present shall form a quorum) and that, subject to any rights or restrictions for the time being attached to the Shares of that Class, every Shareholder of that Class shall on a poll have one vote for each Share of that Class held by him.</w:t>
      </w:r>
    </w:p>
    <w:p>
      <w:pPr>
        <w:spacing w:after="0" w:line="181" w:lineRule="exact"/>
        <w:rPr>
          <w:sz w:val="20"/>
          <w:szCs w:val="20"/>
          <w:color w:val="auto"/>
        </w:rPr>
      </w:pPr>
    </w:p>
    <w:p>
      <w:pPr>
        <w:ind w:left="600" w:right="740" w:hanging="599"/>
        <w:spacing w:after="0" w:line="262" w:lineRule="auto"/>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rights conferred upon the holders of the Shares of any Class issued with preferred or other rights shall not, subject to any rights or restrictions for the time being attached to the Shares of that Class, be deemed to be varied by, inter alia, the creation, allotment or issue of further Shares ranking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or subsequent to them or the redemption or purchase of any Shares of any Class by the Company.</w:t>
      </w: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CERTIFICATES</w:t>
      </w:r>
    </w:p>
    <w:p>
      <w:pPr>
        <w:spacing w:after="0" w:line="213" w:lineRule="exact"/>
        <w:rPr>
          <w:sz w:val="20"/>
          <w:szCs w:val="20"/>
          <w:color w:val="auto"/>
        </w:rPr>
      </w:pPr>
    </w:p>
    <w:p>
      <w:pPr>
        <w:ind w:left="600" w:right="640" w:hanging="599"/>
        <w:spacing w:after="0" w:line="253" w:lineRule="auto"/>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Person whose name is entered as a Member in the Register may, without payment and upon its written request, request a certificate within two calendar months after allotment or lodgement of transfer (or within such other period as the conditions of issue shall provide) in the form determined by the Directors. All certificates shall specify the Share or Shares held by that Person,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17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20.</w:t>
      </w:r>
    </w:p>
    <w:p>
      <w:pPr>
        <w:spacing w:after="0" w:line="209" w:lineRule="exact"/>
        <w:rPr>
          <w:sz w:val="20"/>
          <w:szCs w:val="20"/>
          <w:color w:val="auto"/>
        </w:rPr>
      </w:pPr>
    </w:p>
    <w:p>
      <w:pPr>
        <w:ind w:left="600"/>
        <w:spacing w:after="0"/>
        <w:tabs>
          <w:tab w:leader="none" w:pos="1200" w:val="left"/>
          <w:tab w:leader="none" w:pos="10620" w:val="left"/>
        </w:tabs>
        <w:rPr>
          <w:sz w:val="20"/>
          <w:szCs w:val="20"/>
          <w:color w:val="auto"/>
        </w:rPr>
      </w:pPr>
      <w:r>
        <w:rPr>
          <w:rFonts w:ascii="Times New Roman" w:cs="Times New Roman" w:eastAsia="Times New Roman" w:hAnsi="Times New Roman"/>
          <w:sz w:val="17"/>
          <w:szCs w:val="17"/>
          <w:color w:val="auto"/>
        </w:rPr>
        <w:t>(a)</w:t>
      </w:r>
      <w:r>
        <w:rPr>
          <w:sz w:val="20"/>
          <w:szCs w:val="20"/>
          <w:color w:val="auto"/>
        </w:rPr>
        <w:tab/>
      </w:r>
      <w:r>
        <w:rPr>
          <w:rFonts w:ascii="Times New Roman" w:cs="Times New Roman" w:eastAsia="Times New Roman" w:hAnsi="Times New Roman"/>
          <w:sz w:val="17"/>
          <w:szCs w:val="17"/>
          <w:color w:val="auto"/>
        </w:rPr>
        <w:t>So long as the Shares are listed on the HK Stock Exchange, every share certificate shall prominently include the words "A company</w:t>
      </w:r>
      <w:r>
        <w:rPr>
          <w:sz w:val="20"/>
          <w:szCs w:val="20"/>
          <w:color w:val="auto"/>
        </w:rPr>
        <w:tab/>
      </w:r>
      <w:r>
        <w:rPr>
          <w:rFonts w:ascii="Times New Roman" w:cs="Times New Roman" w:eastAsia="Times New Roman" w:hAnsi="Times New Roman"/>
          <w:sz w:val="16"/>
          <w:szCs w:val="16"/>
          <w:color w:val="auto"/>
        </w:rPr>
        <w:t>Rule</w:t>
      </w:r>
    </w:p>
    <w:p>
      <w:pPr>
        <w:spacing w:after="0" w:line="23" w:lineRule="exact"/>
        <w:rPr>
          <w:sz w:val="20"/>
          <w:szCs w:val="20"/>
          <w:color w:val="auto"/>
        </w:rPr>
      </w:pPr>
    </w:p>
    <w:p>
      <w:pPr>
        <w:ind w:left="1220" w:right="120"/>
        <w:spacing w:after="0" w:line="252" w:lineRule="auto"/>
        <w:rPr>
          <w:sz w:val="20"/>
          <w:szCs w:val="20"/>
          <w:color w:val="auto"/>
        </w:rPr>
      </w:pPr>
      <w:r>
        <w:rPr>
          <w:rFonts w:ascii="Times New Roman" w:cs="Times New Roman" w:eastAsia="Times New Roman" w:hAnsi="Times New Roman"/>
          <w:sz w:val="17"/>
          <w:szCs w:val="17"/>
          <w:color w:val="auto"/>
        </w:rPr>
        <w:t>controlled through weighted voting rights" or such language as may be specified by the HK Stock Exchange from time to time, and specify 8A.38 the number and class of shares in respect of which it is issued and the amount paid thereon or the fact that they are fully paid, as the case may be, and may otherwise be in such form as the Board may from time to time prescribe.</w:t>
      </w:r>
    </w:p>
    <w:p>
      <w:pPr>
        <w:spacing w:after="0" w:line="177" w:lineRule="exact"/>
        <w:rPr>
          <w:sz w:val="20"/>
          <w:szCs w:val="20"/>
          <w:color w:val="auto"/>
        </w:rPr>
      </w:pPr>
    </w:p>
    <w:p>
      <w:pPr>
        <w:ind w:left="1220" w:hanging="612"/>
        <w:spacing w:after="0"/>
        <w:tabs>
          <w:tab w:leader="none" w:pos="12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share certificate of the Company shall bear legends required under the applicable laws, including the Securities Act.</w:t>
      </w:r>
    </w:p>
    <w:p>
      <w:pPr>
        <w:spacing w:after="0" w:line="208" w:lineRule="exact"/>
        <w:rPr>
          <w:rFonts w:ascii="Times New Roman" w:cs="Times New Roman" w:eastAsia="Times New Roman" w:hAnsi="Times New Roman"/>
          <w:sz w:val="17"/>
          <w:szCs w:val="17"/>
          <w:color w:val="auto"/>
        </w:rPr>
      </w:pPr>
    </w:p>
    <w:p>
      <w:pPr>
        <w:jc w:val="both"/>
        <w:ind w:left="600" w:right="640" w:hanging="599"/>
        <w:spacing w:after="0" w:line="262" w:lineRule="auto"/>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two or more certificates representing Shares of any one Class held by any Member may at the Member's request be cancelled and a single new certificate for such Shares issued in lieu on payment (if the Directors shall so require) of one dollar (US$1.00) or such smaller sum as the Directors shall determine.</w:t>
      </w:r>
    </w:p>
    <w:p>
      <w:pPr>
        <w:spacing w:after="0" w:line="168" w:lineRule="exact"/>
        <w:rPr>
          <w:rFonts w:ascii="Times New Roman" w:cs="Times New Roman" w:eastAsia="Times New Roman" w:hAnsi="Times New Roman"/>
          <w:sz w:val="17"/>
          <w:szCs w:val="17"/>
          <w:color w:val="auto"/>
        </w:rPr>
      </w:pPr>
    </w:p>
    <w:p>
      <w:pPr>
        <w:ind w:left="600" w:right="640" w:hanging="599"/>
        <w:spacing w:after="0" w:line="257" w:lineRule="auto"/>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173" w:lineRule="exact"/>
        <w:rPr>
          <w:rFonts w:ascii="Times New Roman" w:cs="Times New Roman" w:eastAsia="Times New Roman" w:hAnsi="Times New Roman"/>
          <w:sz w:val="17"/>
          <w:szCs w:val="17"/>
          <w:color w:val="auto"/>
        </w:rPr>
      </w:pPr>
    </w:p>
    <w:p>
      <w:pPr>
        <w:ind w:left="600" w:right="1160" w:hanging="599"/>
        <w:spacing w:after="0" w:line="275" w:lineRule="auto"/>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Shares are held jointly by several persons, any request may be made by any one of the joint holders and if so made shall be binding on all of the joint holders.</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80"/>
          </w:cols>
          <w:pgMar w:left="320" w:top="843" w:right="399" w:bottom="1440" w:gutter="0" w:footer="0" w:header="0"/>
        </w:sectPr>
      </w:pPr>
    </w:p>
    <w:bookmarkStart w:id="22" w:name="page23"/>
    <w:bookmarkEnd w:id="22"/>
    <w:p>
      <w:pPr>
        <w:ind w:left="4699"/>
        <w:spacing w:after="0"/>
        <w:rPr>
          <w:sz w:val="20"/>
          <w:szCs w:val="20"/>
          <w:color w:val="auto"/>
        </w:rPr>
      </w:pPr>
      <w:r>
        <w:rPr>
          <w:rFonts w:ascii="Times New Roman" w:cs="Times New Roman" w:eastAsia="Times New Roman" w:hAnsi="Times New Roman"/>
          <w:sz w:val="17"/>
          <w:szCs w:val="17"/>
          <w:b w:val="1"/>
          <w:bCs w:val="1"/>
          <w:color w:val="auto"/>
        </w:rPr>
        <w:t>FRACTIONAL SHARES</w:t>
      </w:r>
    </w:p>
    <w:p>
      <w:pPr>
        <w:spacing w:after="0" w:line="213" w:lineRule="exact"/>
        <w:rPr>
          <w:sz w:val="20"/>
          <w:szCs w:val="20"/>
          <w:color w:val="auto"/>
        </w:rPr>
      </w:pPr>
    </w:p>
    <w:p>
      <w:pPr>
        <w:ind w:left="599" w:right="140" w:hanging="599"/>
        <w:spacing w:after="0" w:line="255" w:lineRule="auto"/>
        <w:tabs>
          <w:tab w:leader="none" w:pos="599"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w:t>
      </w:r>
    </w:p>
    <w:p>
      <w:pPr>
        <w:spacing w:after="0" w:line="171" w:lineRule="exact"/>
        <w:rPr>
          <w:sz w:val="20"/>
          <w:szCs w:val="20"/>
          <w:color w:val="auto"/>
        </w:rPr>
      </w:pPr>
    </w:p>
    <w:p>
      <w:pPr>
        <w:ind w:left="5419"/>
        <w:spacing w:after="0"/>
        <w:rPr>
          <w:sz w:val="20"/>
          <w:szCs w:val="20"/>
          <w:color w:val="auto"/>
        </w:rPr>
      </w:pPr>
      <w:r>
        <w:rPr>
          <w:rFonts w:ascii="Times New Roman" w:cs="Times New Roman" w:eastAsia="Times New Roman" w:hAnsi="Times New Roman"/>
          <w:sz w:val="17"/>
          <w:szCs w:val="17"/>
          <w:b w:val="1"/>
          <w:bCs w:val="1"/>
          <w:color w:val="auto"/>
        </w:rPr>
        <w:t>LIEN</w:t>
      </w:r>
    </w:p>
    <w:p>
      <w:pPr>
        <w:spacing w:after="0" w:line="213" w:lineRule="exact"/>
        <w:rPr>
          <w:sz w:val="20"/>
          <w:szCs w:val="20"/>
          <w:color w:val="auto"/>
        </w:rPr>
      </w:pPr>
    </w:p>
    <w:p>
      <w:pPr>
        <w:ind w:left="599" w:right="60" w:hanging="599"/>
        <w:spacing w:after="0" w:line="253" w:lineRule="auto"/>
        <w:tabs>
          <w:tab w:leader="none" w:pos="599"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 first and paramount lien on every Share (whether or not fully paid) for all amounts (whether presently payable or not) payable at a fixed time or called in respect of that Share. The Company also has a first and paramount lien on every Share registered in the name of a Person indebted or under liability to the Company (whether he is the sole registered holder of a Share or one of two or more joint holders) for all amounts owing by him or his estate to the Company (whether or not presently payable). The Directors may at any time declare a Share to be wholly or in part exempt from the provisions of this Article. The Company's lien on a Share extends to any amount payable in respect of it, including but not limited to dividends.</w:t>
      </w:r>
    </w:p>
    <w:p>
      <w:pPr>
        <w:spacing w:after="0" w:line="178" w:lineRule="exact"/>
        <w:rPr>
          <w:rFonts w:ascii="Times New Roman" w:cs="Times New Roman" w:eastAsia="Times New Roman" w:hAnsi="Times New Roman"/>
          <w:sz w:val="17"/>
          <w:szCs w:val="17"/>
          <w:color w:val="auto"/>
        </w:rPr>
      </w:pPr>
    </w:p>
    <w:p>
      <w:pPr>
        <w:ind w:left="599" w:hanging="599"/>
        <w:spacing w:after="0" w:line="257" w:lineRule="auto"/>
        <w:tabs>
          <w:tab w:leader="none" w:pos="599"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sell, in such manner as the Directors in their absolute discretion think fit, any Share on which the Company has a lien, but no sale shall be made unless an amount in respect of which the lien exists is presently payable nor until the expiration of fourteen calendar days after a notice in writing,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173" w:lineRule="exact"/>
        <w:rPr>
          <w:rFonts w:ascii="Times New Roman" w:cs="Times New Roman" w:eastAsia="Times New Roman" w:hAnsi="Times New Roman"/>
          <w:sz w:val="17"/>
          <w:szCs w:val="17"/>
          <w:color w:val="auto"/>
        </w:rPr>
      </w:pPr>
    </w:p>
    <w:p>
      <w:pPr>
        <w:ind w:left="599" w:right="60" w:hanging="599"/>
        <w:spacing w:after="0" w:line="262" w:lineRule="auto"/>
        <w:tabs>
          <w:tab w:leader="none" w:pos="599"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giving effect to any such sale the Directors may authorise a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168" w:lineRule="exact"/>
        <w:rPr>
          <w:rFonts w:ascii="Times New Roman" w:cs="Times New Roman" w:eastAsia="Times New Roman" w:hAnsi="Times New Roman"/>
          <w:sz w:val="17"/>
          <w:szCs w:val="17"/>
          <w:color w:val="auto"/>
        </w:rPr>
      </w:pPr>
    </w:p>
    <w:p>
      <w:pPr>
        <w:ind w:left="599" w:hanging="599"/>
        <w:spacing w:after="0" w:line="285" w:lineRule="auto"/>
        <w:tabs>
          <w:tab w:leader="none" w:pos="59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proceeds of the sale after deduction of expenses, fees and commission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immediately prior to the sale.</w:t>
      </w:r>
    </w:p>
    <w:p>
      <w:pPr>
        <w:spacing w:after="0" w:line="149" w:lineRule="exact"/>
        <w:rPr>
          <w:sz w:val="20"/>
          <w:szCs w:val="20"/>
          <w:color w:val="auto"/>
        </w:rPr>
      </w:pPr>
    </w:p>
    <w:p>
      <w:pPr>
        <w:ind w:left="4839"/>
        <w:spacing w:after="0"/>
        <w:rPr>
          <w:sz w:val="20"/>
          <w:szCs w:val="20"/>
          <w:color w:val="auto"/>
        </w:rPr>
      </w:pPr>
      <w:r>
        <w:rPr>
          <w:rFonts w:ascii="Times New Roman" w:cs="Times New Roman" w:eastAsia="Times New Roman" w:hAnsi="Times New Roman"/>
          <w:sz w:val="17"/>
          <w:szCs w:val="17"/>
          <w:b w:val="1"/>
          <w:bCs w:val="1"/>
          <w:color w:val="auto"/>
        </w:rPr>
        <w:t>CALLS ON SHARES</w:t>
      </w:r>
    </w:p>
    <w:p>
      <w:pPr>
        <w:spacing w:after="0" w:line="213" w:lineRule="exact"/>
        <w:rPr>
          <w:sz w:val="20"/>
          <w:szCs w:val="20"/>
          <w:color w:val="auto"/>
        </w:rPr>
      </w:pPr>
    </w:p>
    <w:p>
      <w:pPr>
        <w:ind w:left="599" w:right="20" w:hanging="599"/>
        <w:spacing w:after="0" w:line="257" w:lineRule="auto"/>
        <w:tabs>
          <w:tab w:leader="none" w:pos="599"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of the allotment, the Directors may from time to time make calls upon the Shareholders in respect of any moneys unpaid on their Shares, and each Shareholder shall (subject to receiving at least fourteen calendar days' notice specifying the time or times of payment) pay to the Company at the time or times so specified the amount called on such Shares. A call shall be deemed to have been made at the time when the resolution of the Directors authorising such call was passed.</w:t>
      </w:r>
    </w:p>
    <w:p>
      <w:pPr>
        <w:spacing w:after="0" w:line="173" w:lineRule="exact"/>
        <w:rPr>
          <w:rFonts w:ascii="Times New Roman" w:cs="Times New Roman" w:eastAsia="Times New Roman" w:hAnsi="Times New Roman"/>
          <w:sz w:val="17"/>
          <w:szCs w:val="17"/>
          <w:color w:val="auto"/>
        </w:rPr>
      </w:pPr>
    </w:p>
    <w:p>
      <w:pPr>
        <w:ind w:left="599" w:hanging="599"/>
        <w:spacing w:after="0"/>
        <w:tabs>
          <w:tab w:leader="none" w:pos="599"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joint holders of a Share shall be jointly and severally liable to pay calls in respect thereof.</w:t>
      </w:r>
    </w:p>
    <w:p>
      <w:pPr>
        <w:spacing w:after="0" w:line="208" w:lineRule="exact"/>
        <w:rPr>
          <w:rFonts w:ascii="Times New Roman" w:cs="Times New Roman" w:eastAsia="Times New Roman" w:hAnsi="Times New Roman"/>
          <w:sz w:val="17"/>
          <w:szCs w:val="17"/>
          <w:color w:val="auto"/>
        </w:rPr>
      </w:pPr>
    </w:p>
    <w:p>
      <w:pPr>
        <w:ind w:left="599" w:right="20" w:hanging="599"/>
        <w:spacing w:after="0" w:line="262" w:lineRule="auto"/>
        <w:tabs>
          <w:tab w:leader="none" w:pos="599"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p>
      <w:pPr>
        <w:spacing w:after="0" w:line="168" w:lineRule="exact"/>
        <w:rPr>
          <w:rFonts w:ascii="Times New Roman" w:cs="Times New Roman" w:eastAsia="Times New Roman" w:hAnsi="Times New Roman"/>
          <w:sz w:val="17"/>
          <w:szCs w:val="17"/>
          <w:color w:val="auto"/>
        </w:rPr>
      </w:pPr>
    </w:p>
    <w:p>
      <w:pPr>
        <w:ind w:left="599" w:right="20" w:hanging="599"/>
        <w:spacing w:after="0" w:line="262" w:lineRule="auto"/>
        <w:tabs>
          <w:tab w:leader="none" w:pos="599"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371" w:lineRule="exact"/>
        <w:rPr>
          <w:sz w:val="20"/>
          <w:szCs w:val="20"/>
          <w:color w:val="auto"/>
        </w:rPr>
      </w:pPr>
    </w:p>
    <w:p>
      <w:pPr>
        <w:ind w:left="55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539"/>
          </w:cols>
          <w:pgMar w:left="321" w:top="1054" w:right="1039" w:bottom="1440" w:gutter="0" w:footer="0" w:header="0"/>
        </w:sectPr>
      </w:pPr>
    </w:p>
    <w:bookmarkStart w:id="23" w:name="page24"/>
    <w:bookmarkEnd w:id="23"/>
    <w:p>
      <w:pPr>
        <w:ind w:left="599" w:right="200" w:hanging="599"/>
        <w:spacing w:after="0" w:line="275" w:lineRule="auto"/>
        <w:tabs>
          <w:tab w:leader="none" w:pos="59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make arrangements with respect to the issue of partly paid Shares for a difference between the Shareholders, or the particular Shares, in the amount of calls to be paid and in the times of payment.</w:t>
      </w:r>
    </w:p>
    <w:p>
      <w:pPr>
        <w:spacing w:after="0" w:line="158" w:lineRule="exact"/>
        <w:rPr>
          <w:rFonts w:ascii="Times New Roman" w:cs="Times New Roman" w:eastAsia="Times New Roman" w:hAnsi="Times New Roman"/>
          <w:sz w:val="17"/>
          <w:szCs w:val="17"/>
          <w:color w:val="auto"/>
        </w:rPr>
      </w:pPr>
    </w:p>
    <w:p>
      <w:pPr>
        <w:ind w:left="599" w:hanging="599"/>
        <w:spacing w:after="0" w:line="253" w:lineRule="auto"/>
        <w:tabs>
          <w:tab w:leader="none" w:pos="59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if they think fit, receive from any Shareholder willing to advance the same all or any part of the moneys uncalled and unpaid upon any partly paid Shares held by him, and upon all or any of the moneys so advanced may (until the same would, but for such advance, become presently payable) pay interest at such rate (not exceeding without the sanction of an Ordinary Resolution, eight percent per annum) as may be agreed upon between the Shareholder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p>
      <w:pPr>
        <w:spacing w:after="0" w:line="175" w:lineRule="exact"/>
        <w:rPr>
          <w:sz w:val="20"/>
          <w:szCs w:val="20"/>
          <w:color w:val="auto"/>
        </w:rPr>
      </w:pPr>
    </w:p>
    <w:p>
      <w:pPr>
        <w:ind w:left="4579"/>
        <w:spacing w:after="0"/>
        <w:rPr>
          <w:sz w:val="20"/>
          <w:szCs w:val="20"/>
          <w:color w:val="auto"/>
        </w:rPr>
      </w:pPr>
      <w:r>
        <w:rPr>
          <w:rFonts w:ascii="Times New Roman" w:cs="Times New Roman" w:eastAsia="Times New Roman" w:hAnsi="Times New Roman"/>
          <w:sz w:val="17"/>
          <w:szCs w:val="17"/>
          <w:b w:val="1"/>
          <w:bCs w:val="1"/>
          <w:color w:val="auto"/>
        </w:rPr>
        <w:t>FORFEITURE OF SHARES</w:t>
      </w:r>
    </w:p>
    <w:p>
      <w:pPr>
        <w:spacing w:after="0" w:line="213" w:lineRule="exact"/>
        <w:rPr>
          <w:sz w:val="20"/>
          <w:szCs w:val="20"/>
          <w:color w:val="auto"/>
        </w:rPr>
      </w:pPr>
    </w:p>
    <w:p>
      <w:pPr>
        <w:ind w:left="599" w:right="40" w:hanging="599"/>
        <w:spacing w:after="0" w:line="262" w:lineRule="auto"/>
        <w:tabs>
          <w:tab w:leader="none" w:pos="59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Shareholder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spacing w:after="0" w:line="168" w:lineRule="exact"/>
        <w:rPr>
          <w:rFonts w:ascii="Times New Roman" w:cs="Times New Roman" w:eastAsia="Times New Roman" w:hAnsi="Times New Roman"/>
          <w:sz w:val="17"/>
          <w:szCs w:val="17"/>
          <w:color w:val="auto"/>
        </w:rPr>
      </w:pPr>
    </w:p>
    <w:p>
      <w:pPr>
        <w:ind w:left="599" w:right="40" w:hanging="599"/>
        <w:spacing w:after="0" w:line="262" w:lineRule="auto"/>
        <w:tabs>
          <w:tab w:leader="none" w:pos="59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notice shall name a further day (not earlier than the expiration of fourteen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68" w:lineRule="exact"/>
        <w:rPr>
          <w:rFonts w:ascii="Times New Roman" w:cs="Times New Roman" w:eastAsia="Times New Roman" w:hAnsi="Times New Roman"/>
          <w:sz w:val="17"/>
          <w:szCs w:val="17"/>
          <w:color w:val="auto"/>
        </w:rPr>
      </w:pPr>
    </w:p>
    <w:p>
      <w:pPr>
        <w:ind w:left="599" w:right="80" w:hanging="599"/>
        <w:spacing w:after="0" w:line="275" w:lineRule="auto"/>
        <w:tabs>
          <w:tab w:leader="none" w:pos="59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158" w:lineRule="exact"/>
        <w:rPr>
          <w:rFonts w:ascii="Times New Roman" w:cs="Times New Roman" w:eastAsia="Times New Roman" w:hAnsi="Times New Roman"/>
          <w:sz w:val="17"/>
          <w:szCs w:val="17"/>
          <w:color w:val="auto"/>
        </w:rPr>
      </w:pPr>
    </w:p>
    <w:p>
      <w:pPr>
        <w:ind w:left="599" w:hanging="599"/>
        <w:spacing w:after="0" w:line="275" w:lineRule="auto"/>
        <w:tabs>
          <w:tab w:leader="none" w:pos="59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58" w:lineRule="exact"/>
        <w:rPr>
          <w:rFonts w:ascii="Times New Roman" w:cs="Times New Roman" w:eastAsia="Times New Roman" w:hAnsi="Times New Roman"/>
          <w:sz w:val="17"/>
          <w:szCs w:val="17"/>
          <w:color w:val="auto"/>
        </w:rPr>
      </w:pPr>
    </w:p>
    <w:p>
      <w:pPr>
        <w:ind w:left="599" w:right="60" w:hanging="599"/>
        <w:spacing w:after="0" w:line="262" w:lineRule="auto"/>
        <w:tabs>
          <w:tab w:leader="none" w:pos="59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whose Shares have been forfeited shall cease to be a Shareholder in respect of the forfeited Shares, but shall, notwithstanding, remain liable to pay to the Company all moneys which at the date of forfeiture were payable by him to the Company in respect of the Shares forfeited, but his liability shall cease if and when the Company receives payment in full of the amount unpaid on the Shares forfeited.</w:t>
      </w:r>
    </w:p>
    <w:p>
      <w:pPr>
        <w:spacing w:after="0" w:line="168" w:lineRule="exact"/>
        <w:rPr>
          <w:rFonts w:ascii="Times New Roman" w:cs="Times New Roman" w:eastAsia="Times New Roman" w:hAnsi="Times New Roman"/>
          <w:sz w:val="17"/>
          <w:szCs w:val="17"/>
          <w:color w:val="auto"/>
        </w:rPr>
      </w:pPr>
    </w:p>
    <w:p>
      <w:pPr>
        <w:ind w:left="599" w:right="480" w:hanging="599"/>
        <w:spacing w:after="0" w:line="275" w:lineRule="auto"/>
        <w:tabs>
          <w:tab w:leader="none" w:pos="59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in writing under the hand of a Director that a Share has been duly forfeited on a date stated in the certificate shall be conclusive evidence of the facts in the declaration as against all Persons claiming to be entitled to the Share.</w:t>
      </w:r>
    </w:p>
    <w:p>
      <w:pPr>
        <w:spacing w:after="0" w:line="158" w:lineRule="exact"/>
        <w:rPr>
          <w:rFonts w:ascii="Times New Roman" w:cs="Times New Roman" w:eastAsia="Times New Roman" w:hAnsi="Times New Roman"/>
          <w:sz w:val="17"/>
          <w:szCs w:val="17"/>
          <w:color w:val="auto"/>
        </w:rPr>
      </w:pPr>
    </w:p>
    <w:p>
      <w:pPr>
        <w:ind w:left="599" w:hanging="599"/>
        <w:spacing w:after="0" w:line="257" w:lineRule="auto"/>
        <w:tabs>
          <w:tab w:leader="none" w:pos="59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receive the consideration, if any, given for a Share on any sale or disposition thereof pursuant to the provisions of these Articles as to forfeiture and may execute a transfer of the Share in favour of the Person to whom the Share is sold or disposed of and that Person shall be registered as the holder of the Share and shall not be bound to see to the application of the purchase money, if any, nor shall his title to the Shares be affected by any irregularity or invalidity in the proceedings in reference to the disposition or sale.</w:t>
      </w:r>
    </w:p>
    <w:p>
      <w:pPr>
        <w:spacing w:after="0" w:line="173" w:lineRule="exact"/>
        <w:rPr>
          <w:rFonts w:ascii="Times New Roman" w:cs="Times New Roman" w:eastAsia="Times New Roman" w:hAnsi="Times New Roman"/>
          <w:sz w:val="17"/>
          <w:szCs w:val="17"/>
          <w:color w:val="auto"/>
        </w:rPr>
      </w:pPr>
    </w:p>
    <w:p>
      <w:pPr>
        <w:ind w:left="599" w:right="60" w:hanging="599"/>
        <w:spacing w:after="0" w:line="262" w:lineRule="auto"/>
        <w:tabs>
          <w:tab w:leader="none" w:pos="59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371" w:lineRule="exact"/>
        <w:rPr>
          <w:sz w:val="20"/>
          <w:szCs w:val="20"/>
          <w:color w:val="auto"/>
        </w:rPr>
      </w:pPr>
    </w:p>
    <w:p>
      <w:pPr>
        <w:ind w:left="55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539"/>
          </w:cols>
          <w:pgMar w:left="321" w:top="856" w:right="1039" w:bottom="1440" w:gutter="0" w:footer="0" w:header="0"/>
        </w:sectPr>
      </w:pPr>
    </w:p>
    <w:bookmarkStart w:id="24" w:name="page25"/>
    <w:bookmarkEnd w:id="24"/>
    <w:p>
      <w:pPr>
        <w:ind w:left="4679"/>
        <w:spacing w:after="0"/>
        <w:rPr>
          <w:sz w:val="20"/>
          <w:szCs w:val="20"/>
          <w:color w:val="auto"/>
        </w:rPr>
      </w:pPr>
      <w:r>
        <w:rPr>
          <w:rFonts w:ascii="Times New Roman" w:cs="Times New Roman" w:eastAsia="Times New Roman" w:hAnsi="Times New Roman"/>
          <w:sz w:val="17"/>
          <w:szCs w:val="17"/>
          <w:b w:val="1"/>
          <w:bCs w:val="1"/>
          <w:color w:val="auto"/>
        </w:rPr>
        <w:t>TRANSFER OF SHARES</w:t>
      </w:r>
    </w:p>
    <w:p>
      <w:pPr>
        <w:spacing w:after="0" w:line="213" w:lineRule="exact"/>
        <w:rPr>
          <w:sz w:val="20"/>
          <w:szCs w:val="20"/>
          <w:color w:val="auto"/>
        </w:rPr>
      </w:pPr>
    </w:p>
    <w:p>
      <w:pPr>
        <w:ind w:left="599" w:right="60" w:hanging="599"/>
        <w:spacing w:after="0" w:line="255" w:lineRule="auto"/>
        <w:tabs>
          <w:tab w:leader="none" w:pos="59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of any Share shall be in writing and in any usual or common form or such other form as the Directors may, in their absolute discretion, approve and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w:t>
      </w:r>
    </w:p>
    <w:p>
      <w:pPr>
        <w:spacing w:after="0" w:line="174" w:lineRule="exact"/>
        <w:rPr>
          <w:rFonts w:ascii="Times New Roman" w:cs="Times New Roman" w:eastAsia="Times New Roman" w:hAnsi="Times New Roman"/>
          <w:sz w:val="17"/>
          <w:szCs w:val="17"/>
          <w:color w:val="auto"/>
        </w:rPr>
      </w:pPr>
    </w:p>
    <w:p>
      <w:pPr>
        <w:ind w:left="1219" w:right="620" w:hanging="1219"/>
        <w:spacing w:after="0" w:line="275" w:lineRule="auto"/>
        <w:tabs>
          <w:tab w:leader="none" w:pos="612"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(a)The Directors may in their absolute discretion decline to register any transfer of Shares which is not fully paid up or on which the Company has a lien.</w:t>
      </w:r>
    </w:p>
    <w:p>
      <w:pPr>
        <w:spacing w:after="0" w:line="158" w:lineRule="exact"/>
        <w:rPr>
          <w:rFonts w:ascii="Times New Roman" w:cs="Times New Roman" w:eastAsia="Times New Roman" w:hAnsi="Times New Roman"/>
          <w:sz w:val="17"/>
          <w:szCs w:val="17"/>
          <w:color w:val="auto"/>
        </w:rPr>
      </w:pPr>
    </w:p>
    <w:p>
      <w:pPr>
        <w:ind w:left="1219" w:hanging="612"/>
        <w:spacing w:after="0"/>
        <w:tabs>
          <w:tab w:leader="none" w:pos="1219"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also decline to register any transfer of any Share unless:</w:t>
      </w:r>
    </w:p>
    <w:p>
      <w:pPr>
        <w:spacing w:after="0" w:line="208" w:lineRule="exact"/>
        <w:rPr>
          <w:rFonts w:ascii="Times New Roman" w:cs="Times New Roman" w:eastAsia="Times New Roman" w:hAnsi="Times New Roman"/>
          <w:sz w:val="17"/>
          <w:szCs w:val="17"/>
          <w:color w:val="auto"/>
        </w:rPr>
      </w:pPr>
    </w:p>
    <w:p>
      <w:pPr>
        <w:ind w:left="1819" w:right="100" w:hanging="606"/>
        <w:spacing w:after="0" w:line="275" w:lineRule="auto"/>
        <w:tabs>
          <w:tab w:leader="none" w:pos="1819"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lodged with the Company, accompanied by the certificate for the Shares to which it relates and such other evidence as the Board may reasonably require to show the right of the transferor to make the transfer;</w:t>
      </w:r>
    </w:p>
    <w:p>
      <w:pPr>
        <w:spacing w:after="0" w:line="158" w:lineRule="exact"/>
        <w:rPr>
          <w:rFonts w:ascii="Times New Roman" w:cs="Times New Roman" w:eastAsia="Times New Roman" w:hAnsi="Times New Roman"/>
          <w:sz w:val="17"/>
          <w:szCs w:val="17"/>
          <w:color w:val="auto"/>
        </w:rPr>
      </w:pPr>
    </w:p>
    <w:p>
      <w:pPr>
        <w:ind w:left="1819" w:hanging="606"/>
        <w:spacing w:after="0"/>
        <w:tabs>
          <w:tab w:leader="none" w:pos="1819"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in respect of only one Class of Shares;</w:t>
      </w:r>
    </w:p>
    <w:p>
      <w:pPr>
        <w:spacing w:after="0" w:line="208" w:lineRule="exact"/>
        <w:rPr>
          <w:rFonts w:ascii="Times New Roman" w:cs="Times New Roman" w:eastAsia="Times New Roman" w:hAnsi="Times New Roman"/>
          <w:sz w:val="17"/>
          <w:szCs w:val="17"/>
          <w:color w:val="auto"/>
        </w:rPr>
      </w:pPr>
    </w:p>
    <w:p>
      <w:pPr>
        <w:ind w:left="1819" w:hanging="606"/>
        <w:spacing w:after="0"/>
        <w:tabs>
          <w:tab w:leader="none" w:pos="1819"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properly stamped, if required;</w:t>
      </w:r>
    </w:p>
    <w:p>
      <w:pPr>
        <w:spacing w:after="0" w:line="208" w:lineRule="exact"/>
        <w:rPr>
          <w:rFonts w:ascii="Times New Roman" w:cs="Times New Roman" w:eastAsia="Times New Roman" w:hAnsi="Times New Roman"/>
          <w:sz w:val="17"/>
          <w:szCs w:val="17"/>
          <w:color w:val="auto"/>
        </w:rPr>
      </w:pPr>
    </w:p>
    <w:p>
      <w:pPr>
        <w:ind w:left="1819" w:right="100" w:hanging="606"/>
        <w:spacing w:after="0" w:line="275" w:lineRule="auto"/>
        <w:tabs>
          <w:tab w:leader="none" w:pos="1819"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transfer to joint holders, the number of joint holders to whom the Share is to be transferred does not exceed four; and</w:t>
      </w:r>
    </w:p>
    <w:p>
      <w:pPr>
        <w:spacing w:after="0" w:line="158" w:lineRule="exact"/>
        <w:rPr>
          <w:rFonts w:ascii="Times New Roman" w:cs="Times New Roman" w:eastAsia="Times New Roman" w:hAnsi="Times New Roman"/>
          <w:sz w:val="17"/>
          <w:szCs w:val="17"/>
          <w:color w:val="auto"/>
        </w:rPr>
      </w:pPr>
    </w:p>
    <w:p>
      <w:pPr>
        <w:ind w:left="1819" w:right="100" w:hanging="606"/>
        <w:spacing w:after="0" w:line="275" w:lineRule="auto"/>
        <w:tabs>
          <w:tab w:leader="none" w:pos="1819"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fee of such maximum sum as the Designated Stock Exchange may determine to be payable, or such lesser sum as the Board of Directors may from time to time require, is paid to the Company in respect thereof.</w:t>
      </w:r>
    </w:p>
    <w:p>
      <w:pPr>
        <w:spacing w:after="0" w:line="158" w:lineRule="exact"/>
        <w:rPr>
          <w:rFonts w:ascii="Times New Roman" w:cs="Times New Roman" w:eastAsia="Times New Roman" w:hAnsi="Times New Roman"/>
          <w:sz w:val="17"/>
          <w:szCs w:val="17"/>
          <w:color w:val="auto"/>
        </w:rPr>
      </w:pPr>
    </w:p>
    <w:p>
      <w:pPr>
        <w:jc w:val="both"/>
        <w:ind w:left="599" w:right="140" w:hanging="599"/>
        <w:spacing w:after="0" w:line="257" w:lineRule="auto"/>
        <w:tabs>
          <w:tab w:leader="none" w:pos="59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of transfers may, on ten calendar days' notice being given by advertisement in such one or more newspapers, by electronic means or by any other means in accordance with the Designated Stock Exchange Rules, be suspended and the Register closed at such times and for such periods as the Directors may, in their absolute discretion, from time to time determine, provided always that such registration of transfer shall not be suspended nor the Register closed for more than thirty calendar days in any calendar year.</w:t>
      </w:r>
    </w:p>
    <w:p>
      <w:pPr>
        <w:spacing w:after="0" w:line="173" w:lineRule="exact"/>
        <w:rPr>
          <w:rFonts w:ascii="Times New Roman" w:cs="Times New Roman" w:eastAsia="Times New Roman" w:hAnsi="Times New Roman"/>
          <w:sz w:val="17"/>
          <w:szCs w:val="17"/>
          <w:color w:val="auto"/>
        </w:rPr>
      </w:pPr>
    </w:p>
    <w:p>
      <w:pPr>
        <w:jc w:val="both"/>
        <w:ind w:left="599" w:right="300" w:hanging="599"/>
        <w:spacing w:after="0" w:line="262" w:lineRule="auto"/>
        <w:tabs>
          <w:tab w:leader="none" w:pos="59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instruments of transfer that are registered shall be retained by the Company. If the Directors refuse to register a transfer of any Shares, they shall within three calendar months after the date on which the instrument of transfer was lodged with the Company send notice of the refusal to each of the transferor and the transferee.</w:t>
      </w:r>
    </w:p>
    <w:p>
      <w:pPr>
        <w:spacing w:after="0" w:line="164"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7"/>
          <w:szCs w:val="17"/>
          <w:b w:val="1"/>
          <w:bCs w:val="1"/>
          <w:color w:val="auto"/>
        </w:rPr>
        <w:t>TRANSMISSION OF SHARES</w:t>
      </w:r>
    </w:p>
    <w:p>
      <w:pPr>
        <w:spacing w:after="0" w:line="213" w:lineRule="exact"/>
        <w:rPr>
          <w:sz w:val="20"/>
          <w:szCs w:val="20"/>
          <w:color w:val="auto"/>
        </w:rPr>
      </w:pPr>
    </w:p>
    <w:p>
      <w:pPr>
        <w:ind w:left="599" w:hanging="599"/>
        <w:spacing w:after="0" w:line="262" w:lineRule="auto"/>
        <w:tabs>
          <w:tab w:leader="none" w:pos="59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p>
      <w:pPr>
        <w:spacing w:after="0" w:line="168" w:lineRule="exact"/>
        <w:rPr>
          <w:rFonts w:ascii="Times New Roman" w:cs="Times New Roman" w:eastAsia="Times New Roman" w:hAnsi="Times New Roman"/>
          <w:sz w:val="17"/>
          <w:szCs w:val="17"/>
          <w:color w:val="auto"/>
        </w:rPr>
      </w:pPr>
    </w:p>
    <w:p>
      <w:pPr>
        <w:ind w:left="599" w:right="100" w:hanging="599"/>
        <w:spacing w:after="0" w:line="255" w:lineRule="auto"/>
        <w:tabs>
          <w:tab w:leader="none" w:pos="59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spacing w:after="0" w:line="174" w:lineRule="exact"/>
        <w:rPr>
          <w:rFonts w:ascii="Times New Roman" w:cs="Times New Roman" w:eastAsia="Times New Roman" w:hAnsi="Times New Roman"/>
          <w:sz w:val="17"/>
          <w:szCs w:val="17"/>
          <w:color w:val="auto"/>
        </w:rPr>
      </w:pPr>
    </w:p>
    <w:p>
      <w:pPr>
        <w:ind w:left="599" w:right="20" w:hanging="599"/>
        <w:spacing w:after="0" w:line="253" w:lineRule="auto"/>
        <w:tabs>
          <w:tab w:leader="none" w:pos="59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becoming entitled to a Share by reason of the death or bankruptcy of a Shareholder shall be entitled to the same dividends and other advantages to which he would be entitled if he were the registered Shareholder, except that he shall not, before being registered as a Shareholder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ninety calendar days, the Directors may thereafter withhold payment of all dividends, bonuses or other monies payable in respect of the Share until the requirements of the notice have been complied with.</w:t>
      </w:r>
    </w:p>
    <w:p>
      <w:pPr>
        <w:spacing w:after="0" w:line="381" w:lineRule="exact"/>
        <w:rPr>
          <w:sz w:val="20"/>
          <w:szCs w:val="20"/>
          <w:color w:val="auto"/>
        </w:rPr>
      </w:pPr>
    </w:p>
    <w:p>
      <w:pPr>
        <w:ind w:left="55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559"/>
          </w:cols>
          <w:pgMar w:left="321" w:top="852" w:right="1019" w:bottom="1440" w:gutter="0" w:footer="0" w:header="0"/>
        </w:sectPr>
      </w:pPr>
    </w:p>
    <w:bookmarkStart w:id="25" w:name="page26"/>
    <w:bookmarkEnd w:id="25"/>
    <w:p>
      <w:pPr>
        <w:ind w:left="3559"/>
        <w:spacing w:after="0"/>
        <w:rPr>
          <w:sz w:val="20"/>
          <w:szCs w:val="20"/>
          <w:color w:val="auto"/>
        </w:rPr>
      </w:pPr>
      <w:r>
        <w:rPr>
          <w:rFonts w:ascii="Times New Roman" w:cs="Times New Roman" w:eastAsia="Times New Roman" w:hAnsi="Times New Roman"/>
          <w:sz w:val="17"/>
          <w:szCs w:val="17"/>
          <w:b w:val="1"/>
          <w:bCs w:val="1"/>
          <w:color w:val="auto"/>
        </w:rPr>
        <w:t>REGISTRATION OF EMPOWERING INSTRUMENTS</w:t>
      </w:r>
    </w:p>
    <w:p>
      <w:pPr>
        <w:spacing w:after="0" w:line="213" w:lineRule="exact"/>
        <w:rPr>
          <w:sz w:val="20"/>
          <w:szCs w:val="20"/>
          <w:color w:val="auto"/>
        </w:rPr>
      </w:pPr>
    </w:p>
    <w:p>
      <w:pPr>
        <w:ind w:left="599" w:right="260" w:hanging="599"/>
        <w:spacing w:after="0" w:line="275" w:lineRule="auto"/>
        <w:tabs>
          <w:tab w:leader="none" w:pos="59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be entitled to charge a fee not exceeding one dollar (US$1.00) on the registration of every probate, letters of administration, certificate of death or marriage, power of attorney, notice in lieu of distringas, or other instrument.</w:t>
      </w:r>
    </w:p>
    <w:p>
      <w:pPr>
        <w:spacing w:after="0" w:line="155" w:lineRule="exact"/>
        <w:rPr>
          <w:sz w:val="20"/>
          <w:szCs w:val="20"/>
          <w:color w:val="auto"/>
        </w:rPr>
      </w:pPr>
    </w:p>
    <w:p>
      <w:pPr>
        <w:ind w:left="4219"/>
        <w:spacing w:after="0"/>
        <w:rPr>
          <w:sz w:val="20"/>
          <w:szCs w:val="20"/>
          <w:color w:val="auto"/>
        </w:rPr>
      </w:pPr>
      <w:r>
        <w:rPr>
          <w:rFonts w:ascii="Times New Roman" w:cs="Times New Roman" w:eastAsia="Times New Roman" w:hAnsi="Times New Roman"/>
          <w:sz w:val="17"/>
          <w:szCs w:val="17"/>
          <w:b w:val="1"/>
          <w:bCs w:val="1"/>
          <w:color w:val="auto"/>
        </w:rPr>
        <w:t>ALTERATION OF SHARE CAPITAL</w:t>
      </w:r>
    </w:p>
    <w:p>
      <w:pPr>
        <w:spacing w:after="0" w:line="213" w:lineRule="exact"/>
        <w:rPr>
          <w:sz w:val="20"/>
          <w:szCs w:val="20"/>
          <w:color w:val="auto"/>
        </w:rPr>
      </w:pPr>
    </w:p>
    <w:p>
      <w:pPr>
        <w:ind w:left="599" w:right="60" w:hanging="599"/>
        <w:spacing w:after="0" w:line="275" w:lineRule="auto"/>
        <w:tabs>
          <w:tab w:leader="none" w:pos="599"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from time to time by Ordinary Resolution increase the share capital by such sum, to be divided into Shares of such Classes and amount, as the resolution shall prescribe.</w:t>
      </w:r>
    </w:p>
    <w:p>
      <w:pPr>
        <w:spacing w:after="0" w:line="158" w:lineRule="exact"/>
        <w:rPr>
          <w:rFonts w:ascii="Times New Roman" w:cs="Times New Roman" w:eastAsia="Times New Roman" w:hAnsi="Times New Roman"/>
          <w:sz w:val="17"/>
          <w:szCs w:val="17"/>
          <w:color w:val="auto"/>
        </w:rPr>
      </w:pPr>
    </w:p>
    <w:p>
      <w:pPr>
        <w:ind w:left="599" w:hanging="599"/>
        <w:spacing w:after="0"/>
        <w:tabs>
          <w:tab w:leader="none" w:pos="599"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by Ordinary Resolution:</w:t>
      </w:r>
    </w:p>
    <w:p>
      <w:pPr>
        <w:spacing w:after="0" w:line="208" w:lineRule="exact"/>
        <w:rPr>
          <w:rFonts w:ascii="Times New Roman" w:cs="Times New Roman" w:eastAsia="Times New Roman" w:hAnsi="Times New Roman"/>
          <w:sz w:val="17"/>
          <w:szCs w:val="17"/>
          <w:color w:val="auto"/>
        </w:rPr>
      </w:pPr>
    </w:p>
    <w:p>
      <w:pPr>
        <w:ind w:left="1219" w:hanging="612"/>
        <w:spacing w:after="0"/>
        <w:tabs>
          <w:tab w:leader="none" w:pos="1219"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its share capital by new Shares of such amount as it thinks expedient;</w:t>
      </w:r>
    </w:p>
    <w:p>
      <w:pPr>
        <w:spacing w:after="0" w:line="208" w:lineRule="exact"/>
        <w:rPr>
          <w:rFonts w:ascii="Times New Roman" w:cs="Times New Roman" w:eastAsia="Times New Roman" w:hAnsi="Times New Roman"/>
          <w:sz w:val="17"/>
          <w:szCs w:val="17"/>
          <w:color w:val="auto"/>
        </w:rPr>
      </w:pPr>
    </w:p>
    <w:p>
      <w:pPr>
        <w:ind w:left="1219" w:hanging="612"/>
        <w:spacing w:after="0"/>
        <w:tabs>
          <w:tab w:leader="none" w:pos="1219"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 and divide all or any of its share capital into Shares of a larger amount than its existing Shares;</w:t>
      </w:r>
    </w:p>
    <w:p>
      <w:pPr>
        <w:spacing w:after="0" w:line="208" w:lineRule="exact"/>
        <w:rPr>
          <w:rFonts w:ascii="Times New Roman" w:cs="Times New Roman" w:eastAsia="Times New Roman" w:hAnsi="Times New Roman"/>
          <w:sz w:val="17"/>
          <w:szCs w:val="17"/>
          <w:color w:val="auto"/>
        </w:rPr>
      </w:pPr>
    </w:p>
    <w:p>
      <w:pPr>
        <w:ind w:left="1219" w:right="200" w:hanging="612"/>
        <w:spacing w:after="0" w:line="262" w:lineRule="auto"/>
        <w:tabs>
          <w:tab w:leader="none" w:pos="1219"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subdivide its Shares, or any of them, into Shares of an amount smaller than that fixed by the Memorandum, provided that in the subdivision the proportion between the amount paid and the amount, if any, unpaid on each reduced Share shall be the same as it was in case of the Share from which the reduced Share is derived; and</w:t>
      </w:r>
    </w:p>
    <w:p>
      <w:pPr>
        <w:spacing w:after="0" w:line="168" w:lineRule="exact"/>
        <w:rPr>
          <w:rFonts w:ascii="Times New Roman" w:cs="Times New Roman" w:eastAsia="Times New Roman" w:hAnsi="Times New Roman"/>
          <w:sz w:val="17"/>
          <w:szCs w:val="17"/>
          <w:color w:val="auto"/>
        </w:rPr>
      </w:pPr>
    </w:p>
    <w:p>
      <w:pPr>
        <w:ind w:left="1219" w:right="160" w:hanging="612"/>
        <w:spacing w:after="0" w:line="275" w:lineRule="auto"/>
        <w:tabs>
          <w:tab w:leader="none" w:pos="1219"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 any Shares that, at the date of the passing of the resolution, have not been taken or agreed to be taken by any Person and diminish the amount of its share capital by the amount of the Shares so cancelled.</w:t>
      </w:r>
    </w:p>
    <w:p>
      <w:pPr>
        <w:spacing w:after="0" w:line="158" w:lineRule="exact"/>
        <w:rPr>
          <w:rFonts w:ascii="Times New Roman" w:cs="Times New Roman" w:eastAsia="Times New Roman" w:hAnsi="Times New Roman"/>
          <w:sz w:val="17"/>
          <w:szCs w:val="17"/>
          <w:color w:val="auto"/>
        </w:rPr>
      </w:pPr>
    </w:p>
    <w:p>
      <w:pPr>
        <w:ind w:left="599" w:hanging="599"/>
        <w:spacing w:after="0"/>
        <w:tabs>
          <w:tab w:leader="none" w:pos="599"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by Special Resolution reduce its share capital and any capital redemption reserve in any manner authorised by law.</w:t>
      </w:r>
    </w:p>
    <w:p>
      <w:pPr>
        <w:spacing w:after="0" w:line="204" w:lineRule="exact"/>
        <w:rPr>
          <w:rFonts w:ascii="Times New Roman" w:cs="Times New Roman" w:eastAsia="Times New Roman" w:hAnsi="Times New Roman"/>
          <w:sz w:val="17"/>
          <w:szCs w:val="17"/>
          <w:color w:val="auto"/>
        </w:rPr>
      </w:pPr>
    </w:p>
    <w:p>
      <w:pPr>
        <w:ind w:left="329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REDEMPTION, PURCHASE AND SURRENDER OF SHARES</w:t>
      </w:r>
    </w:p>
    <w:p>
      <w:pPr>
        <w:spacing w:after="0" w:line="212" w:lineRule="exact"/>
        <w:rPr>
          <w:rFonts w:ascii="Times New Roman" w:cs="Times New Roman" w:eastAsia="Times New Roman" w:hAnsi="Times New Roman"/>
          <w:sz w:val="17"/>
          <w:szCs w:val="17"/>
          <w:color w:val="auto"/>
        </w:rPr>
      </w:pPr>
    </w:p>
    <w:p>
      <w:pPr>
        <w:ind w:left="599" w:hanging="599"/>
        <w:spacing w:after="0"/>
        <w:tabs>
          <w:tab w:leader="none" w:pos="599"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the Companies Act and these Articles, the Company may:</w:t>
      </w:r>
    </w:p>
    <w:p>
      <w:pPr>
        <w:spacing w:after="0" w:line="208" w:lineRule="exact"/>
        <w:rPr>
          <w:rFonts w:ascii="Times New Roman" w:cs="Times New Roman" w:eastAsia="Times New Roman" w:hAnsi="Times New Roman"/>
          <w:sz w:val="17"/>
          <w:szCs w:val="17"/>
          <w:color w:val="auto"/>
        </w:rPr>
      </w:pPr>
    </w:p>
    <w:p>
      <w:pPr>
        <w:ind w:left="1219" w:hanging="612"/>
        <w:spacing w:after="0" w:line="262" w:lineRule="auto"/>
        <w:tabs>
          <w:tab w:leader="none" w:pos="1219"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Shares that are to be redeemed or are liable to be redeemed at the option of the Shareholder or the Company. The redemption of Shares shall be effected in such manner and upon such terms as may be determined, before the issue of such Shares, by either the Board or by the Shareholders by Special Resolution;</w:t>
      </w:r>
    </w:p>
    <w:p>
      <w:pPr>
        <w:spacing w:after="0" w:line="168" w:lineRule="exact"/>
        <w:rPr>
          <w:rFonts w:ascii="Times New Roman" w:cs="Times New Roman" w:eastAsia="Times New Roman" w:hAnsi="Times New Roman"/>
          <w:sz w:val="17"/>
          <w:szCs w:val="17"/>
          <w:color w:val="auto"/>
        </w:rPr>
      </w:pPr>
    </w:p>
    <w:p>
      <w:pPr>
        <w:ind w:left="1219" w:right="280" w:hanging="612"/>
        <w:spacing w:after="0" w:line="275" w:lineRule="auto"/>
        <w:tabs>
          <w:tab w:leader="none" w:pos="1219"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its own Shares (including any redeemable Shares) on such terms and in such manner and terms as have been approved by the Board or by the Members by Ordinary Resolution, or are otherwise authorised by these Articles; and</w:t>
      </w:r>
    </w:p>
    <w:p>
      <w:pPr>
        <w:spacing w:after="0" w:line="158" w:lineRule="exact"/>
        <w:rPr>
          <w:rFonts w:ascii="Times New Roman" w:cs="Times New Roman" w:eastAsia="Times New Roman" w:hAnsi="Times New Roman"/>
          <w:sz w:val="17"/>
          <w:szCs w:val="17"/>
          <w:color w:val="auto"/>
        </w:rPr>
      </w:pPr>
    </w:p>
    <w:p>
      <w:pPr>
        <w:ind w:left="1219" w:right="60" w:hanging="612"/>
        <w:spacing w:after="0" w:line="275" w:lineRule="auto"/>
        <w:tabs>
          <w:tab w:leader="none" w:pos="1219"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 payment in respect of the redemption or purchase of its own Shares in any manner permitted by the Companies Act, including out of capital.</w:t>
      </w:r>
    </w:p>
    <w:p>
      <w:pPr>
        <w:spacing w:after="0" w:line="158" w:lineRule="exact"/>
        <w:rPr>
          <w:rFonts w:ascii="Times New Roman" w:cs="Times New Roman" w:eastAsia="Times New Roman" w:hAnsi="Times New Roman"/>
          <w:sz w:val="17"/>
          <w:szCs w:val="17"/>
          <w:color w:val="auto"/>
        </w:rPr>
      </w:pPr>
    </w:p>
    <w:p>
      <w:pPr>
        <w:ind w:left="599" w:right="80" w:hanging="599"/>
        <w:spacing w:after="0" w:line="275" w:lineRule="auto"/>
        <w:tabs>
          <w:tab w:leader="none" w:pos="599"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of any Share shall not oblige the Company to purchase any other Share other than as may be required pursuant to applicable law and any other contractual obligations of the Company.</w:t>
      </w:r>
    </w:p>
    <w:p>
      <w:pPr>
        <w:spacing w:after="0" w:line="158" w:lineRule="exact"/>
        <w:rPr>
          <w:rFonts w:ascii="Times New Roman" w:cs="Times New Roman" w:eastAsia="Times New Roman" w:hAnsi="Times New Roman"/>
          <w:sz w:val="17"/>
          <w:szCs w:val="17"/>
          <w:color w:val="auto"/>
        </w:rPr>
      </w:pPr>
    </w:p>
    <w:p>
      <w:pPr>
        <w:ind w:left="599" w:right="540" w:hanging="599"/>
        <w:spacing w:after="0" w:line="275" w:lineRule="auto"/>
        <w:tabs>
          <w:tab w:leader="none" w:pos="599"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of the Shares being purchased shall be bound to deliver up to the Company the certificate(s) (if any) thereof for cancellation and thereupon the Company shall pay to him the purchase or redemption monies or consideration in respect thereof.</w:t>
      </w:r>
    </w:p>
    <w:p>
      <w:pPr>
        <w:spacing w:after="0" w:line="158" w:lineRule="exact"/>
        <w:rPr>
          <w:rFonts w:ascii="Times New Roman" w:cs="Times New Roman" w:eastAsia="Times New Roman" w:hAnsi="Times New Roman"/>
          <w:sz w:val="17"/>
          <w:szCs w:val="17"/>
          <w:color w:val="auto"/>
        </w:rPr>
      </w:pPr>
    </w:p>
    <w:p>
      <w:pPr>
        <w:ind w:left="599" w:hanging="599"/>
        <w:spacing w:after="0"/>
        <w:tabs>
          <w:tab w:leader="none" w:pos="599"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accept the surrender for no consideration of any fully paid Share.</w:t>
      </w:r>
    </w:p>
    <w:p>
      <w:pPr>
        <w:spacing w:after="0" w:line="200" w:lineRule="exact"/>
        <w:rPr>
          <w:sz w:val="20"/>
          <w:szCs w:val="20"/>
          <w:color w:val="auto"/>
        </w:rPr>
      </w:pPr>
    </w:p>
    <w:p>
      <w:pPr>
        <w:spacing w:after="0" w:line="211" w:lineRule="exact"/>
        <w:rPr>
          <w:sz w:val="20"/>
          <w:szCs w:val="20"/>
          <w:color w:val="auto"/>
        </w:rPr>
      </w:pPr>
    </w:p>
    <w:p>
      <w:pPr>
        <w:ind w:left="55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559"/>
          </w:cols>
          <w:pgMar w:left="321" w:top="852" w:right="10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TREASURY SHARES</w:t>
      </w:r>
    </w:p>
    <w:p>
      <w:pPr>
        <w:spacing w:after="0" w:line="213" w:lineRule="exact"/>
        <w:rPr>
          <w:sz w:val="20"/>
          <w:szCs w:val="20"/>
          <w:color w:val="auto"/>
        </w:rPr>
      </w:pPr>
    </w:p>
    <w:p>
      <w:pPr>
        <w:ind w:left="600" w:hanging="599"/>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prior to the purchase, redemption or surrender of any Share, determine that such Share shall be held as a Treasury Share.</w:t>
      </w:r>
    </w:p>
    <w:p>
      <w:pPr>
        <w:spacing w:after="0" w:line="208" w:lineRule="exact"/>
        <w:rPr>
          <w:rFonts w:ascii="Times New Roman" w:cs="Times New Roman" w:eastAsia="Times New Roman" w:hAnsi="Times New Roman"/>
          <w:sz w:val="17"/>
          <w:szCs w:val="17"/>
          <w:color w:val="auto"/>
        </w:rPr>
      </w:pPr>
    </w:p>
    <w:p>
      <w:pPr>
        <w:ind w:left="600" w:right="1220" w:hanging="599"/>
        <w:spacing w:after="0" w:line="275" w:lineRule="auto"/>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determine to cancel a Treasury Share or transfer a Treasury Share on such terms as they think proper (including, without limitation, for nil consideration).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MEETINGS</w:t>
      </w:r>
    </w:p>
    <w:p>
      <w:pPr>
        <w:spacing w:after="0" w:line="213" w:lineRule="exact"/>
        <w:rPr>
          <w:sz w:val="20"/>
          <w:szCs w:val="20"/>
          <w:color w:val="auto"/>
        </w:rPr>
      </w:pPr>
    </w:p>
    <w:p>
      <w:pPr>
        <w:ind w:left="600" w:hanging="599"/>
        <w:spacing w:after="0"/>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general meetings other than annual general meetings shall be called extraordinary general meetings.</w:t>
      </w:r>
    </w:p>
    <w:p>
      <w:pPr>
        <w:spacing w:after="0" w:line="208"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t>
      </w:r>
      <w:r>
        <w:rPr>
          <w:rFonts w:ascii="Times New Roman" w:cs="Times New Roman" w:eastAsia="Times New Roman" w:hAnsi="Times New Roman"/>
          <w:sz w:val="16"/>
          <w:szCs w:val="16"/>
          <w:color w:val="auto"/>
        </w:rPr>
        <w:t>The Company shall in each financial year hold a general meeting as its annual general meeting in addition to any other meeting in that year App.3 r.</w:t>
      </w:r>
    </w:p>
    <w:p>
      <w:pPr>
        <w:spacing w:after="0" w:line="13" w:lineRule="exact"/>
        <w:rPr>
          <w:sz w:val="20"/>
          <w:szCs w:val="20"/>
          <w:color w:val="auto"/>
        </w:rPr>
      </w:pPr>
    </w:p>
    <w:tbl>
      <w:tblPr>
        <w:tblLayout w:type="fixed"/>
        <w:tblInd w:w="1220" w:type="dxa"/>
        <w:tblCellMar>
          <w:top w:w="0" w:type="dxa"/>
          <w:left w:w="0" w:type="dxa"/>
          <w:bottom w:w="0" w:type="dxa"/>
          <w:right w:w="0" w:type="dxa"/>
        </w:tblCellMar>
      </w:tblPr>
      <w:tr>
        <w:trPr>
          <w:trHeight w:val="195"/>
        </w:trPr>
        <w:tc>
          <w:tcPr>
            <w:tcW w:w="9080" w:type="dxa"/>
            <w:vAlign w:val="bottom"/>
          </w:tcPr>
          <w:p>
            <w:pPr>
              <w:spacing w:after="0"/>
              <w:rPr>
                <w:sz w:val="20"/>
                <w:szCs w:val="20"/>
                <w:color w:val="auto"/>
              </w:rPr>
            </w:pPr>
            <w:r>
              <w:rPr>
                <w:rFonts w:ascii="Times New Roman" w:cs="Times New Roman" w:eastAsia="Times New Roman" w:hAnsi="Times New Roman"/>
                <w:sz w:val="17"/>
                <w:szCs w:val="17"/>
                <w:color w:val="auto"/>
              </w:rPr>
              <w:t>and shall specify the meeting as such in the notice calling it. The annual general meeting shall be held in the Relevant Territory or</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18"/>
        </w:trPr>
        <w:tc>
          <w:tcPr>
            <w:tcW w:w="9080" w:type="dxa"/>
            <w:vAlign w:val="bottom"/>
          </w:tcPr>
          <w:p>
            <w:pPr>
              <w:spacing w:after="0"/>
              <w:rPr>
                <w:sz w:val="20"/>
                <w:szCs w:val="20"/>
                <w:color w:val="auto"/>
              </w:rPr>
            </w:pPr>
            <w:r>
              <w:rPr>
                <w:rFonts w:ascii="Times New Roman" w:cs="Times New Roman" w:eastAsia="Times New Roman" w:hAnsi="Times New Roman"/>
                <w:sz w:val="17"/>
                <w:szCs w:val="17"/>
                <w:color w:val="auto"/>
              </w:rPr>
              <w:t>elsewhere as may be determined by the Board and at such time and place as the Board shall appoint.</w:t>
            </w:r>
          </w:p>
        </w:tc>
        <w:tc>
          <w:tcPr>
            <w:tcW w:w="700" w:type="dxa"/>
            <w:vAlign w:val="bottom"/>
          </w:tcPr>
          <w:p>
            <w:pPr>
              <w:spacing w:after="0"/>
              <w:rPr>
                <w:sz w:val="18"/>
                <w:szCs w:val="18"/>
                <w:color w:val="auto"/>
              </w:rPr>
            </w:pPr>
          </w:p>
        </w:tc>
      </w:tr>
    </w:tbl>
    <w:p>
      <w:pPr>
        <w:spacing w:after="0" w:line="186" w:lineRule="exact"/>
        <w:rPr>
          <w:sz w:val="20"/>
          <w:szCs w:val="20"/>
          <w:color w:val="auto"/>
        </w:rPr>
      </w:pPr>
    </w:p>
    <w:p>
      <w:pPr>
        <w:ind w:left="1220" w:hanging="612"/>
        <w:spacing w:after="0"/>
        <w:tabs>
          <w:tab w:leader="none" w:pos="122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these meetings the report of the Directors (if any) shall be presented.</w:t>
      </w:r>
    </w:p>
    <w:p>
      <w:pPr>
        <w:spacing w:after="0" w:line="208" w:lineRule="exact"/>
        <w:rPr>
          <w:rFonts w:ascii="Times New Roman" w:cs="Times New Roman" w:eastAsia="Times New Roman" w:hAnsi="Times New Roman"/>
          <w:sz w:val="17"/>
          <w:szCs w:val="17"/>
          <w:color w:val="auto"/>
        </w:rPr>
      </w:pPr>
    </w:p>
    <w:p>
      <w:pPr>
        <w:ind w:left="1220" w:right="760" w:hanging="1219"/>
        <w:spacing w:after="0" w:line="275" w:lineRule="auto"/>
        <w:tabs>
          <w:tab w:leader="none" w:pos="613"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(a)The Chairman or a majority of the Directors may call general meetings, and they shall on a Shareholders' requisition forthwith proceed to convene an extraordinary general meeting of the Company.</w:t>
      </w:r>
    </w:p>
    <w:p>
      <w:pPr>
        <w:spacing w:after="0" w:line="158" w:lineRule="exact"/>
        <w:rPr>
          <w:rFonts w:ascii="Times New Roman" w:cs="Times New Roman" w:eastAsia="Times New Roman" w:hAnsi="Times New Roman"/>
          <w:sz w:val="17"/>
          <w:szCs w:val="17"/>
          <w:color w:val="auto"/>
        </w:rPr>
      </w:pPr>
    </w:p>
    <w:p>
      <w:pPr>
        <w:ind w:left="1220" w:right="180" w:hanging="612"/>
        <w:spacing w:after="0" w:line="274" w:lineRule="auto"/>
        <w:tabs>
          <w:tab w:leader="none" w:pos="1220"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Shareholders' requisition is a requisition of Members holding at the date of deposit of the requisition Shares which carry in aggregate not Rule less than one-tenth (1/10) of all votes (on a one vote per Share basis) attaching to all issued and outstanding Shares of the Company that as 8A.23</w:t>
      </w:r>
    </w:p>
    <w:p>
      <w:pPr>
        <w:ind w:left="1220"/>
        <w:spacing w:after="0"/>
        <w:rPr>
          <w:sz w:val="20"/>
          <w:szCs w:val="20"/>
          <w:color w:val="auto"/>
        </w:rPr>
      </w:pPr>
      <w:r>
        <w:rPr>
          <w:rFonts w:ascii="Times New Roman" w:cs="Times New Roman" w:eastAsia="Times New Roman" w:hAnsi="Times New Roman"/>
          <w:sz w:val="17"/>
          <w:szCs w:val="17"/>
          <w:color w:val="auto"/>
        </w:rPr>
        <w:t>at the date of the deposit carry the right to vote at general meetings of the Company, and such Members may add resolutions to the meeting App 3</w:t>
      </w:r>
    </w:p>
    <w:p>
      <w:pPr>
        <w:spacing w:after="0" w:line="7" w:lineRule="exact"/>
        <w:rPr>
          <w:sz w:val="20"/>
          <w:szCs w:val="20"/>
          <w:color w:val="auto"/>
        </w:rPr>
      </w:pPr>
    </w:p>
    <w:tbl>
      <w:tblPr>
        <w:tblLayout w:type="fixed"/>
        <w:tblInd w:w="1220" w:type="dxa"/>
        <w:tblCellMar>
          <w:top w:w="0" w:type="dxa"/>
          <w:left w:w="0" w:type="dxa"/>
          <w:bottom w:w="0" w:type="dxa"/>
          <w:right w:w="0" w:type="dxa"/>
        </w:tblCellMar>
      </w:tblPr>
      <w:tr>
        <w:trPr>
          <w:trHeight w:val="218"/>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agenda.</w:t>
            </w:r>
          </w:p>
        </w:tc>
        <w:tc>
          <w:tcPr>
            <w:tcW w:w="4920" w:type="dxa"/>
            <w:vAlign w:val="bottom"/>
          </w:tcPr>
          <w:p>
            <w:pPr>
              <w:ind w:left="4460"/>
              <w:spacing w:after="0"/>
              <w:rPr>
                <w:sz w:val="20"/>
                <w:szCs w:val="20"/>
                <w:color w:val="auto"/>
              </w:rPr>
            </w:pPr>
            <w:r>
              <w:rPr>
                <w:rFonts w:ascii="Times New Roman" w:cs="Times New Roman" w:eastAsia="Times New Roman" w:hAnsi="Times New Roman"/>
                <w:sz w:val="17"/>
                <w:szCs w:val="17"/>
                <w:color w:val="auto"/>
                <w:w w:val="94"/>
              </w:rPr>
              <w:t>r.14(5)</w:t>
            </w:r>
          </w:p>
        </w:tc>
      </w:tr>
    </w:tbl>
    <w:p>
      <w:pPr>
        <w:spacing w:after="0" w:line="170" w:lineRule="exact"/>
        <w:rPr>
          <w:sz w:val="20"/>
          <w:szCs w:val="20"/>
          <w:color w:val="auto"/>
        </w:rPr>
      </w:pPr>
    </w:p>
    <w:p>
      <w:pPr>
        <w:ind w:left="1220" w:right="1040" w:hanging="612"/>
        <w:spacing w:after="0" w:line="275" w:lineRule="auto"/>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requisition must state the objects of the meeting and must be signed by the requisitionists and deposited at the Head Office or the Registration Office, and may consist of several documents in like form each signed by one or more requisitionists.</w:t>
      </w:r>
    </w:p>
    <w:p>
      <w:pPr>
        <w:spacing w:after="0" w:line="158" w:lineRule="exact"/>
        <w:rPr>
          <w:rFonts w:ascii="Times New Roman" w:cs="Times New Roman" w:eastAsia="Times New Roman" w:hAnsi="Times New Roman"/>
          <w:sz w:val="17"/>
          <w:szCs w:val="17"/>
          <w:color w:val="auto"/>
        </w:rPr>
      </w:pPr>
    </w:p>
    <w:p>
      <w:pPr>
        <w:ind w:left="1220" w:right="740" w:hanging="612"/>
        <w:spacing w:after="0" w:line="255" w:lineRule="auto"/>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there are no Directors as at the date of the deposit of the Shareholders' requisition, or if the Directors do not within twenty-one calendar days from the date of the deposit of the requisition duly proceed to convene a general meeting to be held within a further twenty-one calendar days, the requisitionists, or any of them representing more than one-half of the total voting rights of all of them, may themselves convene a general meeting, but any meeting so convened shall not be held after the expiration of three calendar months after the expiration of the said twenty-one calendar days.</w:t>
      </w:r>
    </w:p>
    <w:p>
      <w:pPr>
        <w:spacing w:after="0" w:line="174" w:lineRule="exact"/>
        <w:rPr>
          <w:rFonts w:ascii="Times New Roman" w:cs="Times New Roman" w:eastAsia="Times New Roman" w:hAnsi="Times New Roman"/>
          <w:sz w:val="17"/>
          <w:szCs w:val="17"/>
          <w:color w:val="auto"/>
        </w:rPr>
      </w:pPr>
    </w:p>
    <w:p>
      <w:pPr>
        <w:ind w:left="1220" w:right="920" w:hanging="612"/>
        <w:spacing w:after="0" w:line="275" w:lineRule="auto"/>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general meeting convened as aforesaid by requisitionists shall be convened in the same manner as nearly as possible as that in which general meetings are to be convened by Directors.</w:t>
      </w:r>
    </w:p>
    <w:p>
      <w:pPr>
        <w:spacing w:after="0" w:line="158" w:lineRule="exact"/>
        <w:rPr>
          <w:rFonts w:ascii="Times New Roman" w:cs="Times New Roman" w:eastAsia="Times New Roman" w:hAnsi="Times New Roman"/>
          <w:sz w:val="17"/>
          <w:szCs w:val="17"/>
          <w:color w:val="auto"/>
        </w:rPr>
      </w:pPr>
    </w:p>
    <w:p>
      <w:pPr>
        <w:ind w:left="1220" w:right="680" w:hanging="612"/>
        <w:spacing w:after="0" w:line="285" w:lineRule="auto"/>
        <w:tabs>
          <w:tab w:leader="none" w:pos="12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make Communication Facilities available for a specific general meeting or all general meetings of the Company so that members and other participants may attend and participate at such general meetings by means of such Communication Facilities. Without limiting the generality of the foregoing, the Directors may determine that any general meeting may be held as a Virtual Meeting.</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2"/>
        </w:trPr>
        <w:tc>
          <w:tcPr>
            <w:tcW w:w="400" w:type="dxa"/>
            <w:vAlign w:val="bottom"/>
          </w:tcPr>
          <w:p>
            <w:pPr>
              <w:spacing w:after="0"/>
              <w:rPr>
                <w:sz w:val="19"/>
                <w:szCs w:val="19"/>
                <w:color w:val="auto"/>
              </w:rPr>
            </w:pPr>
          </w:p>
        </w:tc>
        <w:tc>
          <w:tcPr>
            <w:tcW w:w="10840" w:type="dxa"/>
            <w:vAlign w:val="bottom"/>
          </w:tcPr>
          <w:p>
            <w:pPr>
              <w:ind w:left="3840"/>
              <w:spacing w:after="0"/>
              <w:rPr>
                <w:sz w:val="20"/>
                <w:szCs w:val="20"/>
                <w:color w:val="auto"/>
              </w:rPr>
            </w:pPr>
            <w:r>
              <w:rPr>
                <w:rFonts w:ascii="Times New Roman" w:cs="Times New Roman" w:eastAsia="Times New Roman" w:hAnsi="Times New Roman"/>
                <w:sz w:val="17"/>
                <w:szCs w:val="17"/>
                <w:b w:val="1"/>
                <w:bCs w:val="1"/>
                <w:color w:val="auto"/>
              </w:rPr>
              <w:t>NOTICE OF GENERAL MEETINGS</w:t>
            </w:r>
          </w:p>
        </w:tc>
      </w:tr>
      <w:tr>
        <w:trPr>
          <w:trHeight w:val="388"/>
        </w:trPr>
        <w:tc>
          <w:tcPr>
            <w:tcW w:w="4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93"/>
              </w:rPr>
              <w:t>63.</w:t>
            </w:r>
          </w:p>
        </w:tc>
        <w:tc>
          <w:tcPr>
            <w:tcW w:w="108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 annual general meeting of the Company shall be called by at least twenty-one (21) calendar days' notice in writing, and a general meeting of the   App 3</w:t>
            </w:r>
          </w:p>
        </w:tc>
      </w:tr>
      <w:tr>
        <w:trPr>
          <w:trHeight w:val="202"/>
        </w:trPr>
        <w:tc>
          <w:tcPr>
            <w:tcW w:w="400" w:type="dxa"/>
            <w:vAlign w:val="bottom"/>
          </w:tcPr>
          <w:p>
            <w:pPr>
              <w:spacing w:after="0"/>
              <w:rPr>
                <w:sz w:val="17"/>
                <w:szCs w:val="17"/>
                <w:color w:val="auto"/>
              </w:rPr>
            </w:pPr>
          </w:p>
        </w:tc>
        <w:tc>
          <w:tcPr>
            <w:tcW w:w="10840" w:type="dxa"/>
            <w:vAlign w:val="bottom"/>
          </w:tcPr>
          <w:p>
            <w:pPr>
              <w:ind w:left="200"/>
              <w:spacing w:after="0"/>
              <w:rPr>
                <w:sz w:val="20"/>
                <w:szCs w:val="20"/>
                <w:color w:val="auto"/>
              </w:rPr>
            </w:pPr>
            <w:r>
              <w:rPr>
                <w:rFonts w:ascii="Times New Roman" w:cs="Times New Roman" w:eastAsia="Times New Roman" w:hAnsi="Times New Roman"/>
                <w:sz w:val="17"/>
                <w:szCs w:val="17"/>
                <w:color w:val="auto"/>
                <w:w w:val="99"/>
              </w:rPr>
              <w:t>Company, other than an annual general meeting, shall be called by at least fourteen (14) calendar days' notice in writing. The notice shall be exclusive r.14(2)</w:t>
            </w:r>
          </w:p>
        </w:tc>
      </w:tr>
      <w:tr>
        <w:trPr>
          <w:trHeight w:val="202"/>
        </w:trPr>
        <w:tc>
          <w:tcPr>
            <w:tcW w:w="400" w:type="dxa"/>
            <w:vAlign w:val="bottom"/>
          </w:tcPr>
          <w:p>
            <w:pPr>
              <w:spacing w:after="0"/>
              <w:rPr>
                <w:sz w:val="17"/>
                <w:szCs w:val="17"/>
                <w:color w:val="auto"/>
              </w:rPr>
            </w:pPr>
          </w:p>
        </w:tc>
        <w:tc>
          <w:tcPr>
            <w:tcW w:w="108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of the day on which it is served or deemed to be served and of the day for which it is given, and shall specify the place, the day, the hour and the</w:t>
            </w:r>
          </w:p>
        </w:tc>
      </w:tr>
      <w:tr>
        <w:trPr>
          <w:trHeight w:val="202"/>
        </w:trPr>
        <w:tc>
          <w:tcPr>
            <w:tcW w:w="400" w:type="dxa"/>
            <w:vAlign w:val="bottom"/>
          </w:tcPr>
          <w:p>
            <w:pPr>
              <w:spacing w:after="0"/>
              <w:rPr>
                <w:sz w:val="17"/>
                <w:szCs w:val="17"/>
                <w:color w:val="auto"/>
              </w:rPr>
            </w:pPr>
          </w:p>
        </w:tc>
        <w:tc>
          <w:tcPr>
            <w:tcW w:w="108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agenda of the meeting and particulars of the resolutions to be considered at that meeting and in case of special business, the general nature of that</w:t>
            </w:r>
          </w:p>
        </w:tc>
      </w:tr>
      <w:tr>
        <w:trPr>
          <w:trHeight w:val="202"/>
        </w:trPr>
        <w:tc>
          <w:tcPr>
            <w:tcW w:w="400" w:type="dxa"/>
            <w:vAlign w:val="bottom"/>
          </w:tcPr>
          <w:p>
            <w:pPr>
              <w:spacing w:after="0"/>
              <w:rPr>
                <w:sz w:val="17"/>
                <w:szCs w:val="17"/>
                <w:color w:val="auto"/>
              </w:rPr>
            </w:pPr>
          </w:p>
        </w:tc>
        <w:tc>
          <w:tcPr>
            <w:tcW w:w="108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business. The notice of any general meeting (including a postponed or reconvened meeting held pursuant to Article 64C) at which Communication</w:t>
            </w:r>
          </w:p>
        </w:tc>
      </w:tr>
      <w:tr>
        <w:trPr>
          <w:trHeight w:val="202"/>
        </w:trPr>
        <w:tc>
          <w:tcPr>
            <w:tcW w:w="400" w:type="dxa"/>
            <w:vAlign w:val="bottom"/>
          </w:tcPr>
          <w:p>
            <w:pPr>
              <w:spacing w:after="0"/>
              <w:rPr>
                <w:sz w:val="17"/>
                <w:szCs w:val="17"/>
                <w:color w:val="auto"/>
              </w:rPr>
            </w:pPr>
          </w:p>
        </w:tc>
        <w:tc>
          <w:tcPr>
            <w:tcW w:w="108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Facilities will be utilised (including any Virtual Meeting) must disclose the Communication Facilities that will be utilised, including the procedures to</w:t>
            </w:r>
          </w:p>
        </w:tc>
      </w:tr>
      <w:tr>
        <w:trPr>
          <w:trHeight w:val="218"/>
        </w:trPr>
        <w:tc>
          <w:tcPr>
            <w:tcW w:w="400" w:type="dxa"/>
            <w:vAlign w:val="bottom"/>
          </w:tcPr>
          <w:p>
            <w:pPr>
              <w:spacing w:after="0"/>
              <w:rPr>
                <w:sz w:val="18"/>
                <w:szCs w:val="18"/>
                <w:color w:val="auto"/>
              </w:rPr>
            </w:pPr>
          </w:p>
        </w:tc>
        <w:tc>
          <w:tcPr>
            <w:tcW w:w="108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be followed by any member or other participant of the general meeting who wishes to utilise such Communication Facilities for the purpose of</w:t>
            </w:r>
          </w:p>
        </w:tc>
      </w:tr>
    </w:tbl>
    <w:p>
      <w:pPr>
        <w:ind w:left="600" w:right="460"/>
        <w:spacing w:after="0" w:line="250" w:lineRule="auto"/>
        <w:rPr>
          <w:sz w:val="20"/>
          <w:szCs w:val="20"/>
          <w:color w:val="auto"/>
        </w:rPr>
      </w:pPr>
      <w:r>
        <w:rPr>
          <w:rFonts w:ascii="Times New Roman" w:cs="Times New Roman" w:eastAsia="Times New Roman" w:hAnsi="Times New Roman"/>
          <w:sz w:val="17"/>
          <w:szCs w:val="17"/>
          <w:color w:val="auto"/>
        </w:rPr>
        <w:t>attending, participating and voting at such meeting. The notice shall be given, in the manner hereinafter mentioned or in such other manner, if any, as may be prescribed by the Company in general meeting, to such persons as are, under these Articles, entitled to receive such notices from the Company, provided that a meeting of the Company shall notwithstanding that it is called by shorter notice than that specified in this Article be deemed to have been duly called if it is so agreed:</w:t>
      </w:r>
    </w:p>
    <w:p>
      <w:pPr>
        <w:spacing w:after="0" w:line="180" w:lineRule="exact"/>
        <w:rPr>
          <w:sz w:val="20"/>
          <w:szCs w:val="20"/>
          <w:color w:val="auto"/>
        </w:rPr>
      </w:pPr>
    </w:p>
    <w:p>
      <w:pPr>
        <w:ind w:left="1220" w:hanging="612"/>
        <w:spacing w:after="0"/>
        <w:tabs>
          <w:tab w:leader="none" w:pos="122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annual general meeting, by all the Shareholders (or their proxies) entitled to attend and vote thereat; and</w:t>
      </w:r>
    </w:p>
    <w:p>
      <w:pPr>
        <w:spacing w:after="0" w:line="208" w:lineRule="exact"/>
        <w:rPr>
          <w:rFonts w:ascii="Times New Roman" w:cs="Times New Roman" w:eastAsia="Times New Roman" w:hAnsi="Times New Roman"/>
          <w:sz w:val="17"/>
          <w:szCs w:val="17"/>
          <w:color w:val="auto"/>
        </w:rPr>
      </w:pPr>
    </w:p>
    <w:p>
      <w:pPr>
        <w:ind w:left="1220" w:right="1060" w:hanging="612"/>
        <w:spacing w:after="0" w:line="275" w:lineRule="auto"/>
        <w:tabs>
          <w:tab w:leader="none" w:pos="122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other meeting by two-thirds (2/3rd ) of the Shareholders having a right to attend and vote at the meeting, present in person or by proxy or, in the case of a corporation or other non-natural person, by its duly authorised representative or proxy.</w:t>
      </w:r>
    </w:p>
    <w:p>
      <w:pPr>
        <w:spacing w:after="0" w:line="158" w:lineRule="exact"/>
        <w:rPr>
          <w:rFonts w:ascii="Times New Roman" w:cs="Times New Roman" w:eastAsia="Times New Roman" w:hAnsi="Times New Roman"/>
          <w:sz w:val="17"/>
          <w:szCs w:val="17"/>
          <w:color w:val="auto"/>
        </w:rPr>
      </w:pPr>
    </w:p>
    <w:p>
      <w:pPr>
        <w:ind w:left="600" w:right="1180" w:hanging="599"/>
        <w:spacing w:after="0" w:line="275" w:lineRule="auto"/>
        <w:tabs>
          <w:tab w:leader="none" w:pos="6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accidental omission to give notice of a meeting to or the non-receipt of a notice of a meeting by any Shareholder shall not invalidate the proceedings at any meeting.</w:t>
      </w:r>
    </w:p>
    <w:p>
      <w:pPr>
        <w:spacing w:after="0" w:line="159" w:lineRule="exact"/>
        <w:rPr>
          <w:sz w:val="20"/>
          <w:szCs w:val="20"/>
          <w:color w:val="auto"/>
        </w:rPr>
      </w:pPr>
    </w:p>
    <w:p>
      <w:pPr>
        <w:ind w:left="600" w:right="900" w:hanging="599"/>
        <w:spacing w:after="0" w:line="257" w:lineRule="auto"/>
        <w:tabs>
          <w:tab w:leader="none" w:pos="580" w:val="left"/>
        </w:tabs>
        <w:rPr>
          <w:sz w:val="20"/>
          <w:szCs w:val="20"/>
          <w:color w:val="auto"/>
        </w:rPr>
      </w:pPr>
      <w:r>
        <w:rPr>
          <w:rFonts w:ascii="Times New Roman" w:cs="Times New Roman" w:eastAsia="Times New Roman" w:hAnsi="Times New Roman"/>
          <w:sz w:val="17"/>
          <w:szCs w:val="17"/>
          <w:color w:val="auto"/>
        </w:rPr>
        <w:t>64A.</w:t>
        <w:tab/>
        <w:t>If, after the notice of a general meeting has been sent but before the meeting is held, or after the adjournment of a general meeting but before the adjourned meeting is held (whether or not notice of the adjourned meeting is required), the Board, in its absolute discretion, considers that it is impractical or unreasonable for any reason to hold a general meeting on the date or at the time and place specified in the notice calling such meeting, it may change or postpone the meeting to another date, time and place in accordance with Article 64C.</w:t>
      </w:r>
    </w:p>
    <w:p>
      <w:pPr>
        <w:spacing w:after="0" w:line="174" w:lineRule="exact"/>
        <w:rPr>
          <w:sz w:val="20"/>
          <w:szCs w:val="20"/>
          <w:color w:val="auto"/>
        </w:rPr>
      </w:pPr>
    </w:p>
    <w:p>
      <w:pPr>
        <w:jc w:val="both"/>
        <w:ind w:left="600" w:right="920" w:hanging="599"/>
        <w:spacing w:after="0" w:line="257" w:lineRule="auto"/>
        <w:tabs>
          <w:tab w:leader="none" w:pos="580" w:val="left"/>
        </w:tabs>
        <w:rPr>
          <w:sz w:val="20"/>
          <w:szCs w:val="20"/>
          <w:color w:val="auto"/>
        </w:rPr>
      </w:pPr>
      <w:r>
        <w:rPr>
          <w:rFonts w:ascii="Times New Roman" w:cs="Times New Roman" w:eastAsia="Times New Roman" w:hAnsi="Times New Roman"/>
          <w:sz w:val="17"/>
          <w:szCs w:val="17"/>
          <w:color w:val="auto"/>
        </w:rPr>
        <w:t>64B.</w:t>
      </w:r>
      <w:r>
        <w:rPr>
          <w:sz w:val="20"/>
          <w:szCs w:val="20"/>
          <w:color w:val="auto"/>
        </w:rPr>
        <w:tab/>
      </w:r>
      <w:r>
        <w:rPr>
          <w:rFonts w:ascii="Times New Roman" w:cs="Times New Roman" w:eastAsia="Times New Roman" w:hAnsi="Times New Roman"/>
          <w:sz w:val="17"/>
          <w:szCs w:val="17"/>
          <w:color w:val="auto"/>
        </w:rPr>
        <w:t>The Board shall also have the power to provide in every notice calling a general meeting that in the event of a gale warning or a black rainstorm warning (or the equivalent in the location of the relevant meeting) is in force at any time on the day of the general meeting (unless such warning has been cancelled at least a minimum period of time prior to the general meeting as the Board may specify in the relevant notice), the meeting shall be postponed without further notice to be reconvened on a later date in accordance with Article 64C.</w:t>
      </w:r>
    </w:p>
    <w:p>
      <w:pPr>
        <w:spacing w:after="0" w:line="17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64C.</w:t>
      </w:r>
      <w:r>
        <w:rPr>
          <w:sz w:val="20"/>
          <w:szCs w:val="20"/>
          <w:color w:val="auto"/>
        </w:rPr>
        <w:tab/>
      </w:r>
      <w:r>
        <w:rPr>
          <w:rFonts w:ascii="Times New Roman" w:cs="Times New Roman" w:eastAsia="Times New Roman" w:hAnsi="Times New Roman"/>
          <w:sz w:val="17"/>
          <w:szCs w:val="17"/>
          <w:color w:val="auto"/>
        </w:rPr>
        <w:t>Where a general meeting is postponed in accordance with Article 64A or Article 64B:</w:t>
      </w:r>
    </w:p>
    <w:p>
      <w:pPr>
        <w:spacing w:after="0" w:line="209" w:lineRule="exact"/>
        <w:rPr>
          <w:sz w:val="20"/>
          <w:szCs w:val="20"/>
          <w:color w:val="auto"/>
        </w:rPr>
      </w:pPr>
    </w:p>
    <w:p>
      <w:pPr>
        <w:jc w:val="both"/>
        <w:ind w:left="1220" w:right="820" w:hanging="612"/>
        <w:spacing w:after="0" w:line="285" w:lineRule="auto"/>
        <w:tabs>
          <w:tab w:leader="none" w:pos="12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endeavour to cause a notice of such postponement, which shall set out the reason for the postponement in accordance with the Listing Rules, to be placed on the Company's Website and published on the Exchange's website as soon as practicable, provided that failure to place or publish such notice shall not affect the automatic postponement of a general meeting pursuant to Article 64B;</w:t>
      </w:r>
    </w:p>
    <w:p>
      <w:pPr>
        <w:spacing w:after="0" w:line="153" w:lineRule="exact"/>
        <w:rPr>
          <w:rFonts w:ascii="Times New Roman" w:cs="Times New Roman" w:eastAsia="Times New Roman" w:hAnsi="Times New Roman"/>
          <w:sz w:val="16"/>
          <w:szCs w:val="16"/>
          <w:color w:val="auto"/>
        </w:rPr>
      </w:pPr>
    </w:p>
    <w:p>
      <w:pPr>
        <w:ind w:left="1220" w:right="760" w:hanging="612"/>
        <w:spacing w:after="0" w:line="255" w:lineRule="auto"/>
        <w:tabs>
          <w:tab w:leader="none" w:pos="12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shall fix the date, time and place for the reconvened meeting and at least seven clear days' notice shall be given for the reconvened meeting by one of the means specified in Article 145; and such notice shall specify the date, time and place at which the postponed meeting will be reconvened, and the date and time by which proxies shall be submitted in order to be valid at such reconvened meeting (provided that any proxy submitted for the original meeting shall continue to be valid for the reconvened meeting unless revoked or replaced by a new proxy); and</w:t>
      </w:r>
    </w:p>
    <w:p>
      <w:pPr>
        <w:spacing w:after="0" w:line="174" w:lineRule="exact"/>
        <w:rPr>
          <w:rFonts w:ascii="Times New Roman" w:cs="Times New Roman" w:eastAsia="Times New Roman" w:hAnsi="Times New Roman"/>
          <w:sz w:val="17"/>
          <w:szCs w:val="17"/>
          <w:color w:val="auto"/>
        </w:rPr>
      </w:pPr>
    </w:p>
    <w:p>
      <w:pPr>
        <w:ind w:left="1220" w:right="680" w:hanging="612"/>
        <w:spacing w:after="0" w:line="257" w:lineRule="auto"/>
        <w:tabs>
          <w:tab w:leader="none" w:pos="12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the business set out in the notice of the original meeting shall be transacted at the reconvened meeting, and notice given for the reconvened meeting does not need to specify the business to be transacted at the reconvened meeting, nor shall any accompanying documents be required to be recirculated. Where any new business is to be transacted at such reconvened meeting, the Company shall give a fresh notice for such reconvened meeting in accordance with Article 63.</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PROCEEDINGS AT GENERAL MEETINGS</w:t>
      </w:r>
    </w:p>
    <w:p>
      <w:pPr>
        <w:spacing w:after="0" w:line="213" w:lineRule="exact"/>
        <w:rPr>
          <w:sz w:val="20"/>
          <w:szCs w:val="20"/>
          <w:color w:val="auto"/>
        </w:rPr>
      </w:pPr>
    </w:p>
    <w:p>
      <w:pPr>
        <w:ind w:left="600" w:right="780" w:hanging="599"/>
        <w:spacing w:after="0" w:line="253" w:lineRule="auto"/>
        <w:tabs>
          <w:tab w:leader="none" w:pos="6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business except for the appointment of a chairman for the meeting shall be transacted at any general meeting unless a quorum of Shareholders is Present at the time when the meeting proceeds to business. One or more Shareholders holding Shares which carry in aggregate (or representing by proxy) not less than one-third of all votes attaching to all Shares in issue and entitled to vote at such general meeting, Present in person or by proxy or, if a corporation or other non-natural person, by its duly authorised representative, or by means of telephone or similar communication equipment (by way of which all Persons participating in such meeting can communicate with each other and such participation shall be deemed to constitute presence in person at the meeting) shall be a quorum for all purposes.</w:t>
      </w: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28" w:name="page29"/>
    <w:bookmarkEnd w:id="28"/>
    <w:p>
      <w:pPr>
        <w:ind w:left="599" w:hanging="599"/>
        <w:spacing w:after="0"/>
        <w:tabs>
          <w:tab w:leader="none" w:pos="599"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within half an hour from the time appointed for the meeting a quorum is not Present, the meeting shall be dissolved.</w:t>
      </w:r>
    </w:p>
    <w:p>
      <w:pPr>
        <w:spacing w:after="0" w:line="208" w:lineRule="exact"/>
        <w:rPr>
          <w:rFonts w:ascii="Times New Roman" w:cs="Times New Roman" w:eastAsia="Times New Roman" w:hAnsi="Times New Roman"/>
          <w:sz w:val="17"/>
          <w:szCs w:val="17"/>
          <w:color w:val="auto"/>
        </w:rPr>
      </w:pPr>
    </w:p>
    <w:p>
      <w:pPr>
        <w:ind w:left="599" w:right="240" w:hanging="599"/>
        <w:spacing w:after="0" w:line="285" w:lineRule="auto"/>
        <w:tabs>
          <w:tab w:leader="none" w:pos="599"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Directors wish to make this facility available for a specific general meeting or all general meetings of the Company, participation in any general meeting of the Company may be by means of a telephone or similar communication equipment by way of which all Persons participating in such meeting can communicate with each other and such participation shall be deemed to constitute presence in person at the meeting.</w:t>
      </w:r>
    </w:p>
    <w:p>
      <w:pPr>
        <w:spacing w:after="0" w:line="153" w:lineRule="exact"/>
        <w:rPr>
          <w:rFonts w:ascii="Times New Roman" w:cs="Times New Roman" w:eastAsia="Times New Roman" w:hAnsi="Times New Roman"/>
          <w:sz w:val="16"/>
          <w:szCs w:val="16"/>
          <w:color w:val="auto"/>
        </w:rPr>
      </w:pPr>
    </w:p>
    <w:p>
      <w:pPr>
        <w:ind w:left="599" w:hanging="599"/>
        <w:spacing w:after="0"/>
        <w:tabs>
          <w:tab w:leader="none" w:pos="599"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Chairman, if any, of the Board of Directors shall preside as chairman at every general meeting of the Company.</w:t>
      </w:r>
    </w:p>
    <w:p>
      <w:pPr>
        <w:spacing w:after="0" w:line="209" w:lineRule="exact"/>
        <w:rPr>
          <w:sz w:val="20"/>
          <w:szCs w:val="20"/>
          <w:color w:val="auto"/>
        </w:rPr>
      </w:pPr>
    </w:p>
    <w:p>
      <w:pPr>
        <w:jc w:val="center"/>
        <w:ind w:right="-218"/>
        <w:spacing w:after="0"/>
        <w:rPr>
          <w:sz w:val="20"/>
          <w:szCs w:val="20"/>
          <w:color w:val="auto"/>
        </w:rPr>
      </w:pPr>
      <w:r>
        <w:rPr>
          <w:rFonts w:ascii="Times New Roman" w:cs="Times New Roman" w:eastAsia="Times New Roman" w:hAnsi="Times New Roman"/>
          <w:sz w:val="17"/>
          <w:szCs w:val="17"/>
          <w:color w:val="auto"/>
        </w:rPr>
        <w:t>69.</w:t>
      </w:r>
    </w:p>
    <w:p>
      <w:pPr>
        <w:spacing w:after="0" w:line="209" w:lineRule="exact"/>
        <w:rPr>
          <w:sz w:val="20"/>
          <w:szCs w:val="20"/>
          <w:color w:val="auto"/>
        </w:rPr>
      </w:pPr>
    </w:p>
    <w:p>
      <w:pPr>
        <w:ind w:left="599" w:firstLine="8"/>
        <w:spacing w:after="0" w:line="257" w:lineRule="auto"/>
        <w:tabs>
          <w:tab w:leader="none" w:pos="1123"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there is no such Chairman of the Board of Directors, or if at any general meeting he is not Present within fifteen minutes after the time appointed for holding the meeting or is unwilling to act as chairman of the meeting, the Directors Present at the meeting shall choose one Director or any other Person Present at the meeting shall preside as chairman of that meeting, failing which the Shareholders Present shall choose any Person Present to be chairman of that meeting.</w:t>
      </w:r>
    </w:p>
    <w:p>
      <w:pPr>
        <w:spacing w:after="0" w:line="173" w:lineRule="exact"/>
        <w:rPr>
          <w:rFonts w:ascii="Times New Roman" w:cs="Times New Roman" w:eastAsia="Times New Roman" w:hAnsi="Times New Roman"/>
          <w:sz w:val="17"/>
          <w:szCs w:val="17"/>
          <w:color w:val="auto"/>
        </w:rPr>
      </w:pPr>
    </w:p>
    <w:p>
      <w:pPr>
        <w:ind w:left="599" w:right="300" w:firstLine="8"/>
        <w:spacing w:after="0" w:line="275" w:lineRule="auto"/>
        <w:tabs>
          <w:tab w:leader="none" w:pos="1129"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chairman of any general meeting shall be entitled to attend and participate at any such general meeting by means of Communication Facilities, and to act as the chairman of such general meeting, in which event the following provisions shall apply:</w:t>
      </w:r>
    </w:p>
    <w:p>
      <w:pPr>
        <w:spacing w:after="0" w:line="158" w:lineRule="exact"/>
        <w:rPr>
          <w:rFonts w:ascii="Times New Roman" w:cs="Times New Roman" w:eastAsia="Times New Roman" w:hAnsi="Times New Roman"/>
          <w:sz w:val="17"/>
          <w:szCs w:val="17"/>
          <w:color w:val="auto"/>
        </w:rPr>
      </w:pPr>
    </w:p>
    <w:p>
      <w:pPr>
        <w:ind w:left="1819" w:hanging="606"/>
        <w:spacing w:after="0"/>
        <w:tabs>
          <w:tab w:leader="none" w:pos="1819" w:val="left"/>
        </w:tabs>
        <w:numPr>
          <w:ilvl w:val="2"/>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chairman of the meeting shall be deemed to be Present at the meeting; and</w:t>
      </w:r>
    </w:p>
    <w:p>
      <w:pPr>
        <w:spacing w:after="0" w:line="208" w:lineRule="exact"/>
        <w:rPr>
          <w:rFonts w:ascii="Times New Roman" w:cs="Times New Roman" w:eastAsia="Times New Roman" w:hAnsi="Times New Roman"/>
          <w:sz w:val="17"/>
          <w:szCs w:val="17"/>
          <w:color w:val="auto"/>
        </w:rPr>
      </w:pPr>
    </w:p>
    <w:p>
      <w:pPr>
        <w:ind w:left="1819" w:right="180" w:hanging="606"/>
        <w:spacing w:after="0" w:line="274" w:lineRule="auto"/>
        <w:tabs>
          <w:tab w:leader="none" w:pos="1819" w:val="left"/>
        </w:tabs>
        <w:numPr>
          <w:ilvl w:val="2"/>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Communication Facilities are interrupted or fail for any reason to enable the chairman of the meeting to hear and be heard by all other Persons participating in the meeting, then the other Directors Present at the meeting shall choose another Director Present to act as chairman of the meeting for the remainder of the meeting; provided that (i) if no other Director is Present at the meeting, or (ii) if all the Directors Present at the meeting decline to take the chair, then the meeting shall be automatically adjourned to the same day in the next week and at such time and place as shall be decided by the board of Directors.</w:t>
      </w:r>
    </w:p>
    <w:p>
      <w:pPr>
        <w:spacing w:after="0" w:line="162" w:lineRule="exact"/>
        <w:rPr>
          <w:rFonts w:ascii="Times New Roman" w:cs="Times New Roman" w:eastAsia="Times New Roman" w:hAnsi="Times New Roman"/>
          <w:sz w:val="16"/>
          <w:szCs w:val="16"/>
          <w:color w:val="auto"/>
        </w:rPr>
      </w:pPr>
    </w:p>
    <w:p>
      <w:pPr>
        <w:ind w:left="599" w:right="100" w:hanging="599"/>
        <w:spacing w:after="0" w:line="255" w:lineRule="auto"/>
        <w:tabs>
          <w:tab w:leader="none" w:pos="59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chairman of the meeting may with the consent of any general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or adjourned meeting, is adjourned for fourteen calendar days or more, notice of the adjourned meeting shall be given as in the case of an original meeting. Save as aforesaid it shall not be necessary to give any notice of an adjournment or of the business to be transacted at an adjourned meeting.</w:t>
      </w:r>
    </w:p>
    <w:p>
      <w:pPr>
        <w:spacing w:after="0" w:line="174" w:lineRule="exact"/>
        <w:rPr>
          <w:rFonts w:ascii="Times New Roman" w:cs="Times New Roman" w:eastAsia="Times New Roman" w:hAnsi="Times New Roman"/>
          <w:sz w:val="17"/>
          <w:szCs w:val="17"/>
          <w:color w:val="auto"/>
        </w:rPr>
      </w:pPr>
    </w:p>
    <w:p>
      <w:pPr>
        <w:ind w:left="599" w:right="420" w:hanging="599"/>
        <w:spacing w:after="0" w:line="278" w:lineRule="auto"/>
        <w:tabs>
          <w:tab w:leader="none" w:pos="59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cancel or postpone any duly convened general meeting at any time prior to such meeting, except for general meetings requisitioned by the Shareholders in accordance with these Articles, for any reason or for no reason, upon notice in writing to Shareholders, provided that where a duly convened general meeting is postponed in accordance with this Article 71, the Directors shall fix the date, time and place for the reconvened meeting. A postponement may be for a stated period of any length or indefinitely as the Directors may determine.</w:t>
      </w:r>
    </w:p>
    <w:p>
      <w:pPr>
        <w:spacing w:after="0" w:line="158" w:lineRule="exact"/>
        <w:rPr>
          <w:rFonts w:ascii="Times New Roman" w:cs="Times New Roman" w:eastAsia="Times New Roman" w:hAnsi="Times New Roman"/>
          <w:sz w:val="16"/>
          <w:szCs w:val="16"/>
          <w:color w:val="auto"/>
        </w:rPr>
      </w:pPr>
    </w:p>
    <w:p>
      <w:pPr>
        <w:ind w:left="599" w:right="220" w:hanging="599"/>
        <w:spacing w:after="0" w:line="255" w:lineRule="auto"/>
        <w:tabs>
          <w:tab w:leader="none" w:pos="59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general meeting a resolution put to the vote of the meeting shall be decided on a show of hands ), unless a poll is (before or on the declaration of the result of the show of hands) demanded by the chairman of the meeting or any Shareholder Present in person or by proxy, and unless a poll is so demanded, a declaration by the chairman of the meeting that a resolution has, on a show of hands or otherwise,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p>
      <w:pPr>
        <w:spacing w:after="0" w:line="377" w:lineRule="exact"/>
        <w:rPr>
          <w:sz w:val="20"/>
          <w:szCs w:val="20"/>
          <w:color w:val="auto"/>
        </w:rPr>
      </w:pPr>
    </w:p>
    <w:p>
      <w:pPr>
        <w:ind w:left="55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9"/>
          </w:cols>
          <w:pgMar w:left="321" w:top="856" w:right="939" w:bottom="1440" w:gutter="0" w:footer="0" w:header="0"/>
        </w:sectPr>
      </w:pPr>
    </w:p>
    <w:bookmarkStart w:id="29" w:name="page30"/>
    <w:bookmarkEnd w:id="29"/>
    <w:p>
      <w:pPr>
        <w:ind w:left="600" w:right="860" w:hanging="599"/>
        <w:spacing w:after="0" w:line="275" w:lineRule="auto"/>
        <w:tabs>
          <w:tab w:leader="none" w:pos="6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poll is duly demanded it shall be taken in such manner as the chairman of the meeting directs, and the result of the poll shall be deemed to be the resolution of the meeting at which the poll was demanded.</w:t>
      </w:r>
    </w:p>
    <w:p>
      <w:pPr>
        <w:spacing w:after="0" w:line="158" w:lineRule="exact"/>
        <w:rPr>
          <w:rFonts w:ascii="Times New Roman" w:cs="Times New Roman" w:eastAsia="Times New Roman" w:hAnsi="Times New Roman"/>
          <w:sz w:val="17"/>
          <w:szCs w:val="17"/>
          <w:color w:val="auto"/>
        </w:rPr>
      </w:pPr>
    </w:p>
    <w:p>
      <w:pPr>
        <w:ind w:left="600" w:right="700" w:hanging="599"/>
        <w:spacing w:after="0" w:line="262" w:lineRule="auto"/>
        <w:tabs>
          <w:tab w:leader="none" w:pos="6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questions submitted to a meeting shall be decided by an Ordinary Resolution except where a greater majority is required by these Articles or by the Companies Act. In the case of an equality of votes, whether on a show of hands or on a poll, the chairman of the meeting at which the show of hands takes place or at which the poll is demanded, shall be entitled to a second or casting vote.</w:t>
      </w:r>
    </w:p>
    <w:p>
      <w:pPr>
        <w:spacing w:after="0" w:line="168" w:lineRule="exact"/>
        <w:rPr>
          <w:rFonts w:ascii="Times New Roman" w:cs="Times New Roman" w:eastAsia="Times New Roman" w:hAnsi="Times New Roman"/>
          <w:sz w:val="17"/>
          <w:szCs w:val="17"/>
          <w:color w:val="auto"/>
        </w:rPr>
      </w:pPr>
    </w:p>
    <w:p>
      <w:pPr>
        <w:ind w:left="600" w:right="880" w:hanging="599"/>
        <w:spacing w:after="0" w:line="275" w:lineRule="auto"/>
        <w:tabs>
          <w:tab w:leader="none" w:pos="6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poll demanded on the election of a chairman of the meeting or on a question of adjournment shall be taken forthwith. A poll demanded on any other question shall be taken at such time as the chairman of the meeting directs.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VOTES OF SHAREHOLDERS</w:t>
      </w:r>
    </w:p>
    <w:p>
      <w:pPr>
        <w:spacing w:after="0" w:line="213" w:lineRule="exact"/>
        <w:rPr>
          <w:sz w:val="20"/>
          <w:szCs w:val="20"/>
          <w:color w:val="auto"/>
        </w:rPr>
      </w:pPr>
    </w:p>
    <w:p>
      <w:pPr>
        <w:ind w:left="600" w:hanging="599"/>
        <w:spacing w:after="0"/>
        <w:tabs>
          <w:tab w:leader="none" w:pos="6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any rights and restrictions for the time being attached to any Share, on a show of hands every Shareholder Present in person or by proxy (or, App 3</w:t>
      </w:r>
    </w:p>
    <w:p>
      <w:pPr>
        <w:spacing w:after="0" w:line="34" w:lineRule="exact"/>
        <w:rPr>
          <w:rFonts w:ascii="Times New Roman" w:cs="Times New Roman" w:eastAsia="Times New Roman" w:hAnsi="Times New Roman"/>
          <w:sz w:val="16"/>
          <w:szCs w:val="16"/>
          <w:color w:val="auto"/>
        </w:rPr>
      </w:pPr>
    </w:p>
    <w:p>
      <w:pPr>
        <w:ind w:left="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corporation or other non-natural person, by its duly authorised representative or proxy) shall, at a general meeting of the Company, each have one r.14(3)</w:t>
      </w:r>
    </w:p>
    <w:p>
      <w:pPr>
        <w:spacing w:after="0" w:line="220" w:lineRule="exact"/>
        <w:rPr>
          <w:sz w:val="20"/>
          <w:szCs w:val="20"/>
          <w:color w:val="auto"/>
        </w:rPr>
      </w:pPr>
    </w:p>
    <w:p>
      <w:pPr>
        <w:ind w:left="600"/>
        <w:spacing w:after="0" w:line="255" w:lineRule="auto"/>
        <w:rPr>
          <w:sz w:val="20"/>
          <w:szCs w:val="20"/>
          <w:color w:val="auto"/>
        </w:rPr>
      </w:pPr>
      <w:r>
        <w:rPr>
          <w:rFonts w:ascii="Times New Roman" w:cs="Times New Roman" w:eastAsia="Times New Roman" w:hAnsi="Times New Roman"/>
          <w:sz w:val="17"/>
          <w:szCs w:val="17"/>
          <w:color w:val="auto"/>
        </w:rPr>
        <w:t>vote and on a poll every Shareholder Present in person or by proxy (or, if a corporation or other non-natural person, by its duly authorised App 3 representative or proxy) shall have one vote for each Class A Ordinary Share and eight votes for each Class C Ordinary Share of which he is the r.14(4) holder. For so long as the Shares are listed on the HK Stock Exchange, where the Company has knowledge that any Shareholder is, under the Listing Rules, required to abstain from voting on any particular resolution or restricted to voting only for or only against any particular resolution, any votes cast by or on behalf of such Shareholder in contravention of such requirement or restriction shall not be counted.</w:t>
      </w:r>
    </w:p>
    <w:p>
      <w:pPr>
        <w:spacing w:after="0" w:line="175" w:lineRule="exact"/>
        <w:rPr>
          <w:sz w:val="20"/>
          <w:szCs w:val="20"/>
          <w:color w:val="auto"/>
        </w:rPr>
      </w:pPr>
    </w:p>
    <w:p>
      <w:pPr>
        <w:ind w:left="600" w:right="720" w:hanging="599"/>
        <w:spacing w:after="0" w:line="262" w:lineRule="auto"/>
        <w:tabs>
          <w:tab w:leader="none" w:pos="6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joint holders the vote of the senior who tenders a vote whether in person or by proxy (or, if a corporation or other non-natural person, by its duly authorised representative or proxy) shall be accepted to the exclusion of the votes of the other joint holders and for this purpose seniority shall be determined by the order in which the names stand in the Register.</w:t>
      </w:r>
    </w:p>
    <w:p>
      <w:pPr>
        <w:spacing w:after="0" w:line="168" w:lineRule="exact"/>
        <w:rPr>
          <w:rFonts w:ascii="Times New Roman" w:cs="Times New Roman" w:eastAsia="Times New Roman" w:hAnsi="Times New Roman"/>
          <w:sz w:val="17"/>
          <w:szCs w:val="17"/>
          <w:color w:val="auto"/>
        </w:rPr>
      </w:pPr>
    </w:p>
    <w:p>
      <w:pPr>
        <w:ind w:left="600" w:right="1140" w:hanging="599"/>
        <w:spacing w:after="0" w:line="262" w:lineRule="auto"/>
        <w:tabs>
          <w:tab w:leader="none" w:pos="6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carrying the right to vote that are held by a Shareholder of unsound mind, or in respect of whom an order has been made by any court having jurisdiction in lunacy, may be voted, whether on a show of hands or on a poll, by his committee, or other Person in the nature of a committee appointed by that court, and any such committee or other Person may vote in respect of such Shares by proxy.</w:t>
      </w:r>
    </w:p>
    <w:p>
      <w:pPr>
        <w:spacing w:after="0" w:line="168" w:lineRule="exact"/>
        <w:rPr>
          <w:rFonts w:ascii="Times New Roman" w:cs="Times New Roman" w:eastAsia="Times New Roman" w:hAnsi="Times New Roman"/>
          <w:sz w:val="17"/>
          <w:szCs w:val="17"/>
          <w:color w:val="auto"/>
        </w:rPr>
      </w:pPr>
    </w:p>
    <w:p>
      <w:pPr>
        <w:ind w:left="600" w:right="860" w:hanging="599"/>
        <w:spacing w:after="0" w:line="275" w:lineRule="auto"/>
        <w:tabs>
          <w:tab w:leader="none" w:pos="6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Shareholder shall be entitled to vote at any general meeting of the Company unless all calls, if any, or other sums presently payable by him in respect of Shares carrying the right to vote held by him have been paid.</w:t>
      </w:r>
    </w:p>
    <w:p>
      <w:pPr>
        <w:spacing w:after="0" w:line="158"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poll votes may be given either personally or by proxy.</w:t>
      </w:r>
    </w:p>
    <w:p>
      <w:pPr>
        <w:spacing w:after="0" w:line="209" w:lineRule="exact"/>
        <w:rPr>
          <w:sz w:val="20"/>
          <w:szCs w:val="20"/>
          <w:color w:val="auto"/>
        </w:rPr>
      </w:pPr>
    </w:p>
    <w:p>
      <w:pPr>
        <w:ind w:left="600" w:right="60" w:hanging="599"/>
        <w:spacing w:after="0" w:line="257" w:lineRule="auto"/>
        <w:tabs>
          <w:tab w:leader="none" w:pos="580" w:val="left"/>
        </w:tabs>
        <w:rPr>
          <w:sz w:val="20"/>
          <w:szCs w:val="20"/>
          <w:color w:val="auto"/>
        </w:rPr>
      </w:pPr>
      <w:r>
        <w:rPr>
          <w:rFonts w:ascii="Times New Roman" w:cs="Times New Roman" w:eastAsia="Times New Roman" w:hAnsi="Times New Roman"/>
          <w:sz w:val="17"/>
          <w:szCs w:val="17"/>
          <w:color w:val="auto"/>
        </w:rPr>
        <w:t>81.</w:t>
      </w:r>
      <w:r>
        <w:rPr>
          <w:sz w:val="20"/>
          <w:szCs w:val="20"/>
          <w:color w:val="auto"/>
        </w:rPr>
        <w:tab/>
      </w:r>
      <w:r>
        <w:rPr>
          <w:rFonts w:ascii="Times New Roman" w:cs="Times New Roman" w:eastAsia="Times New Roman" w:hAnsi="Times New Roman"/>
          <w:sz w:val="17"/>
          <w:szCs w:val="17"/>
          <w:color w:val="auto"/>
        </w:rPr>
        <w:t>Each Shareholder, other than a recognised clearing house (or its nominee(s)) or depositary (or its nominee(s)), may only appoint one proxy on a App 3 r. show of hands. The instrument appointing a proxy shall be in writing under the hand of the appointor or of his attorney duly authorised in writing or,18</w:t>
      </w:r>
    </w:p>
    <w:p>
      <w:pPr>
        <w:spacing w:after="0" w:line="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if the appointor is a corporation, either under Seal or under the hand of an officer or attorney duly authorised. A proxy need not be a Shareholder.</w:t>
      </w:r>
    </w:p>
    <w:p>
      <w:pPr>
        <w:spacing w:after="0" w:line="193" w:lineRule="exact"/>
        <w:rPr>
          <w:sz w:val="20"/>
          <w:szCs w:val="20"/>
          <w:color w:val="auto"/>
        </w:rPr>
      </w:pPr>
    </w:p>
    <w:p>
      <w:pPr>
        <w:ind w:left="600" w:hanging="599"/>
        <w:spacing w:after="0"/>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instrument appointing a proxy may be in any usual or common form or such other form as the Directors may approve.</w:t>
      </w:r>
    </w:p>
    <w:p>
      <w:pPr>
        <w:spacing w:after="0" w:line="208" w:lineRule="exact"/>
        <w:rPr>
          <w:rFonts w:ascii="Times New Roman" w:cs="Times New Roman" w:eastAsia="Times New Roman" w:hAnsi="Times New Roman"/>
          <w:sz w:val="17"/>
          <w:szCs w:val="17"/>
          <w:color w:val="auto"/>
        </w:rPr>
      </w:pPr>
    </w:p>
    <w:p>
      <w:pPr>
        <w:ind w:left="600" w:right="940" w:hanging="599"/>
        <w:spacing w:after="0" w:line="275" w:lineRule="auto"/>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appointing a proxy shall be deposited at the Registered Office or at such other place as is specified for that purpose in the notice convening the meeting, or in any instrument of proxy sent out by the Company:</w:t>
      </w:r>
    </w:p>
    <w:p>
      <w:pPr>
        <w:spacing w:after="0" w:line="158" w:lineRule="exact"/>
        <w:rPr>
          <w:rFonts w:ascii="Times New Roman" w:cs="Times New Roman" w:eastAsia="Times New Roman" w:hAnsi="Times New Roman"/>
          <w:sz w:val="17"/>
          <w:szCs w:val="17"/>
          <w:color w:val="auto"/>
        </w:rPr>
      </w:pPr>
    </w:p>
    <w:p>
      <w:pPr>
        <w:ind w:left="1220" w:right="720" w:hanging="612"/>
        <w:spacing w:after="0" w:line="275" w:lineRule="auto"/>
        <w:tabs>
          <w:tab w:leader="none" w:pos="122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less than 48 hours before the time for holding the meeting or adjourned meeting at which the person named in the instrument proposes to vote; or</w:t>
      </w:r>
    </w:p>
    <w:p>
      <w:pPr>
        <w:spacing w:after="0" w:line="3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0" w:name="page31"/>
    <w:bookmarkEnd w:id="30"/>
    <w:p>
      <w:pPr>
        <w:ind w:left="1219" w:right="540" w:hanging="612"/>
        <w:spacing w:after="0" w:line="275" w:lineRule="auto"/>
        <w:tabs>
          <w:tab w:leader="none" w:pos="1219"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poll taken more than 48 hours after it is demanded, be deposited as aforesaid after the poll has been demanded and not less than 24 hours before the time appointed for the taking of the poll; or</w:t>
      </w:r>
    </w:p>
    <w:p>
      <w:pPr>
        <w:spacing w:after="0" w:line="158" w:lineRule="exact"/>
        <w:rPr>
          <w:rFonts w:ascii="Times New Roman" w:cs="Times New Roman" w:eastAsia="Times New Roman" w:hAnsi="Times New Roman"/>
          <w:sz w:val="17"/>
          <w:szCs w:val="17"/>
          <w:color w:val="auto"/>
        </w:rPr>
      </w:pPr>
    </w:p>
    <w:p>
      <w:pPr>
        <w:ind w:left="1219" w:right="720" w:hanging="612"/>
        <w:spacing w:after="0" w:line="275" w:lineRule="auto"/>
        <w:tabs>
          <w:tab w:leader="none" w:pos="1219"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poll is not taken forthwith but is taken not more than 48 hours after it was demanded be delivered at the meeting at which the poll was demanded to the chairman or to the secretary or to any director;</w:t>
      </w:r>
    </w:p>
    <w:p>
      <w:pPr>
        <w:spacing w:after="0" w:line="159" w:lineRule="exact"/>
        <w:rPr>
          <w:sz w:val="20"/>
          <w:szCs w:val="20"/>
          <w:color w:val="auto"/>
        </w:rPr>
      </w:pPr>
    </w:p>
    <w:p>
      <w:pPr>
        <w:ind w:left="599" w:right="600"/>
        <w:spacing w:after="0" w:line="255" w:lineRule="auto"/>
        <w:rPr>
          <w:sz w:val="20"/>
          <w:szCs w:val="20"/>
          <w:color w:val="auto"/>
        </w:rPr>
      </w:pPr>
      <w:r>
        <w:rPr>
          <w:rFonts w:ascii="Times New Roman" w:cs="Times New Roman" w:eastAsia="Times New Roman" w:hAnsi="Times New Roman"/>
          <w:sz w:val="17"/>
          <w:szCs w:val="17"/>
          <w:color w:val="auto"/>
        </w:rPr>
        <w:t>provided that the Directors may in the notice convening the meeting, or in an instrument of proxy sent out by the Company, direct that the instrument appointing a proxy may be deposited at such other time (no later than the time for holding the meeting or adjourned meeting) at the Registered Office or at such other place as is specified for that purpose in the notice convening the meeting, or in any instrument of proxy sent out by the Company. The Chairman may in any event at his discretion direct that an instrument of proxy shall be deemed to have been duly deposited. An instrument of proxy that is not deposited in the manner permitted shall be invalid.</w:t>
      </w:r>
    </w:p>
    <w:p>
      <w:pPr>
        <w:spacing w:after="0" w:line="175" w:lineRule="exact"/>
        <w:rPr>
          <w:sz w:val="20"/>
          <w:szCs w:val="20"/>
          <w:color w:val="auto"/>
        </w:rPr>
      </w:pPr>
    </w:p>
    <w:p>
      <w:pPr>
        <w:ind w:left="599" w:hanging="599"/>
        <w:spacing w:after="0"/>
        <w:tabs>
          <w:tab w:leader="none" w:pos="599"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appointing a proxy shall be deemed to confer authority to demand or join in demanding a poll.</w:t>
      </w:r>
    </w:p>
    <w:p>
      <w:pPr>
        <w:spacing w:after="0" w:line="208" w:lineRule="exact"/>
        <w:rPr>
          <w:rFonts w:ascii="Times New Roman" w:cs="Times New Roman" w:eastAsia="Times New Roman" w:hAnsi="Times New Roman"/>
          <w:sz w:val="17"/>
          <w:szCs w:val="17"/>
          <w:color w:val="auto"/>
        </w:rPr>
      </w:pPr>
    </w:p>
    <w:p>
      <w:pPr>
        <w:ind w:left="599" w:right="640" w:hanging="599"/>
        <w:spacing w:after="0" w:line="262" w:lineRule="auto"/>
        <w:tabs>
          <w:tab w:leader="none" w:pos="599"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resolution in writing signed by all the Shareholders for the time being entitled to receive notice of and to attend and vote at general meetings of the Company (or being corporations by their duly authorised representatives) shall be as valid and effective as if the same had been passed at a general meeting of the Company duly convened and held.</w:t>
      </w:r>
    </w:p>
    <w:p>
      <w:pPr>
        <w:spacing w:after="0" w:line="164" w:lineRule="exact"/>
        <w:rPr>
          <w:sz w:val="20"/>
          <w:szCs w:val="20"/>
          <w:color w:val="auto"/>
        </w:rPr>
      </w:pPr>
    </w:p>
    <w:p>
      <w:pPr>
        <w:jc w:val="center"/>
        <w:ind w:right="-198"/>
        <w:spacing w:after="0"/>
        <w:rPr>
          <w:sz w:val="20"/>
          <w:szCs w:val="20"/>
          <w:color w:val="auto"/>
        </w:rPr>
      </w:pPr>
      <w:r>
        <w:rPr>
          <w:rFonts w:ascii="Times New Roman" w:cs="Times New Roman" w:eastAsia="Times New Roman" w:hAnsi="Times New Roman"/>
          <w:sz w:val="17"/>
          <w:szCs w:val="17"/>
          <w:b w:val="1"/>
          <w:bCs w:val="1"/>
          <w:color w:val="auto"/>
        </w:rPr>
        <w:t>CORPORATIONS ACTING BY REPRESENTATIVES AT MEETINGS</w:t>
      </w:r>
    </w:p>
    <w:p>
      <w:pPr>
        <w:spacing w:after="0" w:line="213" w:lineRule="exact"/>
        <w:rPr>
          <w:sz w:val="20"/>
          <w:szCs w:val="20"/>
          <w:color w:val="auto"/>
        </w:rPr>
      </w:pPr>
    </w:p>
    <w:p>
      <w:pPr>
        <w:ind w:left="599" w:hanging="599"/>
        <w:spacing w:after="0" w:line="257" w:lineRule="auto"/>
        <w:tabs>
          <w:tab w:leader="none" w:pos="599"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corporation which is a Shareholder or a Director may by resolution of its directors or other governing body authorise such Person as it thinks fit App 3 to act as its representative at any meeting of the Company or of any meeting of holders of a Class or of the Directors or of a committee of Directors, r.18 and the Person so authorised shall be entitled to exercise the same powers on behalf of the corporation which he represents as that corporation could exercise if it were an individual Shareholder or Director.</w:t>
      </w:r>
    </w:p>
    <w:p>
      <w:pPr>
        <w:spacing w:after="0" w:line="170" w:lineRule="exact"/>
        <w:rPr>
          <w:sz w:val="20"/>
          <w:szCs w:val="20"/>
          <w:color w:val="auto"/>
        </w:rPr>
      </w:pPr>
    </w:p>
    <w:p>
      <w:pPr>
        <w:jc w:val="center"/>
        <w:ind w:right="-198"/>
        <w:spacing w:after="0"/>
        <w:rPr>
          <w:sz w:val="20"/>
          <w:szCs w:val="20"/>
          <w:color w:val="auto"/>
        </w:rPr>
      </w:pPr>
      <w:r>
        <w:rPr>
          <w:rFonts w:ascii="Times New Roman" w:cs="Times New Roman" w:eastAsia="Times New Roman" w:hAnsi="Times New Roman"/>
          <w:sz w:val="17"/>
          <w:szCs w:val="17"/>
          <w:b w:val="1"/>
          <w:bCs w:val="1"/>
          <w:color w:val="auto"/>
        </w:rPr>
        <w:t>DEPOSITARY AND CLEARING HOUSES</w:t>
      </w:r>
    </w:p>
    <w:p>
      <w:pPr>
        <w:spacing w:after="0" w:line="213" w:lineRule="exact"/>
        <w:rPr>
          <w:sz w:val="20"/>
          <w:szCs w:val="20"/>
          <w:color w:val="auto"/>
        </w:rPr>
      </w:pPr>
    </w:p>
    <w:p>
      <w:pPr>
        <w:ind w:left="599" w:hanging="599"/>
        <w:spacing w:after="0"/>
        <w:tabs>
          <w:tab w:leader="none" w:pos="599"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recognised clearing house (or its nominee(s)) or depositary (or its nominee(s)) is a Member of the Company it may, by resolution of its directors App 3</w:t>
      </w:r>
    </w:p>
    <w:p>
      <w:pPr>
        <w:spacing w:after="0" w:line="34" w:lineRule="exact"/>
        <w:rPr>
          <w:sz w:val="20"/>
          <w:szCs w:val="20"/>
          <w:color w:val="auto"/>
        </w:rPr>
      </w:pPr>
    </w:p>
    <w:p>
      <w:pPr>
        <w:ind w:left="599" w:right="160"/>
        <w:spacing w:after="0" w:line="249" w:lineRule="auto"/>
        <w:rPr>
          <w:sz w:val="20"/>
          <w:szCs w:val="20"/>
          <w:color w:val="auto"/>
        </w:rPr>
      </w:pPr>
      <w:r>
        <w:rPr>
          <w:rFonts w:ascii="Times New Roman" w:cs="Times New Roman" w:eastAsia="Times New Roman" w:hAnsi="Times New Roman"/>
          <w:sz w:val="17"/>
          <w:szCs w:val="17"/>
          <w:color w:val="auto"/>
        </w:rPr>
        <w:t>or other governing body or by power of attorney, authorise such Person(s) as it thinks fit to act as its representative(s) at any general meeting of the r.19 Company or of any Class of Shareholders provided that, if more than one Person is so authorised, the authorisation shall specify the number and Class of Shares in respect of which each such Person is so authorised. A Person so authorised pursuant to this Article shall be entitled to exercise the same powers on behalf of the recognised clearing house (or its nominee(s)) or depositary (or its nominee(s)) which he represents as that recognised clearing house (or its nominee(s)) or depositary (or its nominee(s)) could exercise if it were an individual Member holding the number and Class of Shares specified in such authorisation, including the right to vote individually on a show of hands.</w:t>
      </w:r>
    </w:p>
    <w:p>
      <w:pPr>
        <w:spacing w:after="0" w:line="178" w:lineRule="exact"/>
        <w:rPr>
          <w:sz w:val="20"/>
          <w:szCs w:val="20"/>
          <w:color w:val="auto"/>
        </w:rPr>
      </w:pPr>
    </w:p>
    <w:p>
      <w:pPr>
        <w:jc w:val="center"/>
        <w:ind w:right="-198"/>
        <w:spacing w:after="0"/>
        <w:rPr>
          <w:sz w:val="20"/>
          <w:szCs w:val="20"/>
          <w:color w:val="auto"/>
        </w:rPr>
      </w:pPr>
      <w:r>
        <w:rPr>
          <w:rFonts w:ascii="Times New Roman" w:cs="Times New Roman" w:eastAsia="Times New Roman" w:hAnsi="Times New Roman"/>
          <w:sz w:val="17"/>
          <w:szCs w:val="17"/>
          <w:b w:val="1"/>
          <w:bCs w:val="1"/>
          <w:color w:val="auto"/>
        </w:rPr>
        <w:t>DIRECTORS</w:t>
      </w:r>
    </w:p>
    <w:p>
      <w:pPr>
        <w:spacing w:after="0" w:line="213" w:lineRule="exact"/>
        <w:rPr>
          <w:sz w:val="20"/>
          <w:szCs w:val="20"/>
          <w:color w:val="auto"/>
        </w:rPr>
      </w:pPr>
    </w:p>
    <w:p>
      <w:pPr>
        <w:ind w:left="1219" w:right="720" w:hanging="1219"/>
        <w:spacing w:after="0" w:line="275" w:lineRule="auto"/>
        <w:tabs>
          <w:tab w:leader="none" w:pos="612"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(a)Unless otherwise determined by the Company in general meeting, the number of Directors shall not be less than three (3) Directors, the exact number of Directors to be determined from time to time by the Board of Directors.</w:t>
      </w:r>
    </w:p>
    <w:p>
      <w:pPr>
        <w:spacing w:after="0" w:line="158" w:lineRule="exact"/>
        <w:rPr>
          <w:rFonts w:ascii="Times New Roman" w:cs="Times New Roman" w:eastAsia="Times New Roman" w:hAnsi="Times New Roman"/>
          <w:sz w:val="17"/>
          <w:szCs w:val="17"/>
          <w:color w:val="auto"/>
        </w:rPr>
      </w:pPr>
    </w:p>
    <w:p>
      <w:pPr>
        <w:ind w:left="1219" w:right="740" w:hanging="612"/>
        <w:spacing w:after="0" w:line="255" w:lineRule="auto"/>
        <w:tabs>
          <w:tab w:leader="none" w:pos="1219"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shall have a Chairman elected and appointed by a majority of the Directors then in office. The period for which the Chairman will hold office will also be determined by a majority of all of the Directors then in office. The Chairman shall preside as chairman at every meeting of the Board of Directors. To the extent the Chairman is not Present at a meeting of the Board of Directors within fifteen minutes after the time appointed for holding the same, the attending Directors may choose one of their number to be the chairman of the meeting.</w:t>
      </w:r>
    </w:p>
    <w:p>
      <w:pPr>
        <w:spacing w:after="0" w:line="174" w:lineRule="exact"/>
        <w:rPr>
          <w:rFonts w:ascii="Times New Roman" w:cs="Times New Roman" w:eastAsia="Times New Roman" w:hAnsi="Times New Roman"/>
          <w:sz w:val="17"/>
          <w:szCs w:val="17"/>
          <w:color w:val="auto"/>
        </w:rPr>
      </w:pPr>
    </w:p>
    <w:p>
      <w:pPr>
        <w:ind w:left="1219" w:hanging="612"/>
        <w:spacing w:after="0"/>
        <w:tabs>
          <w:tab w:leader="none" w:pos="1219"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by Ordinary Resolution appoint any person to be a Director.</w:t>
      </w:r>
    </w:p>
    <w:p>
      <w:pPr>
        <w:spacing w:after="0" w:line="200" w:lineRule="exact"/>
        <w:rPr>
          <w:sz w:val="20"/>
          <w:szCs w:val="20"/>
          <w:color w:val="auto"/>
        </w:rPr>
      </w:pPr>
    </w:p>
    <w:p>
      <w:pPr>
        <w:spacing w:after="0" w:line="211" w:lineRule="exact"/>
        <w:rPr>
          <w:sz w:val="20"/>
          <w:szCs w:val="20"/>
          <w:color w:val="auto"/>
        </w:rPr>
      </w:pPr>
    </w:p>
    <w:p>
      <w:pPr>
        <w:jc w:val="center"/>
        <w:ind w:right="-138"/>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059"/>
          </w:cols>
          <w:pgMar w:left="321" w:top="856" w:right="519" w:bottom="1440" w:gutter="0" w:footer="0" w:header="0"/>
        </w:sectPr>
      </w:pPr>
    </w:p>
    <w:bookmarkStart w:id="31" w:name="page32"/>
    <w:bookmarkEnd w:id="31"/>
    <w:p>
      <w:pPr>
        <w:ind w:left="1220" w:hanging="619"/>
        <w:spacing w:after="0" w:line="268" w:lineRule="auto"/>
        <w:tabs>
          <w:tab w:leader="none" w:pos="1200" w:val="left"/>
        </w:tabs>
        <w:rPr>
          <w:sz w:val="20"/>
          <w:szCs w:val="20"/>
          <w:color w:val="auto"/>
        </w:rPr>
      </w:pPr>
      <w:r>
        <w:rPr>
          <w:rFonts w:ascii="Times New Roman" w:cs="Times New Roman" w:eastAsia="Times New Roman" w:hAnsi="Times New Roman"/>
          <w:sz w:val="16"/>
          <w:szCs w:val="16"/>
          <w:color w:val="auto"/>
        </w:rPr>
        <w:t>(d)</w:t>
      </w:r>
      <w:r>
        <w:rPr>
          <w:sz w:val="20"/>
          <w:szCs w:val="20"/>
          <w:color w:val="auto"/>
        </w:rPr>
        <w:tab/>
      </w:r>
      <w:r>
        <w:rPr>
          <w:rFonts w:ascii="Times New Roman" w:cs="Times New Roman" w:eastAsia="Times New Roman" w:hAnsi="Times New Roman"/>
          <w:sz w:val="16"/>
          <w:szCs w:val="16"/>
          <w:color w:val="auto"/>
        </w:rPr>
        <w:t>The Board may, by the affirmative vote of a simple majority of the remaining Directors Present and voting at a Board meeting, (i) appoint any person as a Director to fill a vacancy on the Board, or (ii) subject to the maximum size of the Board being nine (9) Directors, appoint any person as an addition to the Board. Subject to Designated Stock Exchange Rules applicable to the composition of the Board and qualifications and appointment of Directors, and at any time after the Relevant Period, (i) NIO Users Trust shall be entitled to nominate one</w:t>
      </w:r>
    </w:p>
    <w:p>
      <w:pPr>
        <w:spacing w:after="0" w:line="20" w:lineRule="exact"/>
        <w:rPr>
          <w:sz w:val="20"/>
          <w:szCs w:val="20"/>
          <w:color w:val="auto"/>
        </w:rPr>
      </w:pPr>
      <w:r>
        <w:rPr>
          <w:sz w:val="20"/>
          <w:szCs w:val="20"/>
          <w:color w:val="auto"/>
        </w:rPr>
        <w:br w:type="column"/>
      </w:r>
    </w:p>
    <w:p>
      <w:pPr>
        <w:jc w:val="both"/>
        <w:spacing w:after="0" w:line="308" w:lineRule="auto"/>
        <w:rPr>
          <w:sz w:val="20"/>
          <w:szCs w:val="20"/>
          <w:color w:val="auto"/>
        </w:rPr>
      </w:pPr>
      <w:r>
        <w:rPr>
          <w:rFonts w:ascii="Times New Roman" w:cs="Times New Roman" w:eastAsia="Times New Roman" w:hAnsi="Times New Roman"/>
          <w:sz w:val="16"/>
          <w:szCs w:val="16"/>
          <w:color w:val="auto"/>
        </w:rPr>
        <w:t>App 3 r.4(2)</w:t>
      </w:r>
    </w:p>
    <w:p>
      <w:pPr>
        <w:spacing w:after="0" w:line="352" w:lineRule="exact"/>
        <w:rPr>
          <w:sz w:val="20"/>
          <w:szCs w:val="20"/>
          <w:color w:val="auto"/>
        </w:rPr>
      </w:pPr>
    </w:p>
    <w:p>
      <w:pPr>
        <w:sectPr>
          <w:pgSz w:w="11900" w:h="16838" w:orient="portrait"/>
          <w:cols w:equalWidth="0" w:num="2">
            <w:col w:w="10620" w:space="20"/>
            <w:col w:w="420"/>
          </w:cols>
          <w:pgMar w:left="320" w:top="856" w:right="519" w:bottom="1440" w:gutter="0" w:footer="0" w:header="0"/>
        </w:sectPr>
      </w:pPr>
    </w:p>
    <w:p>
      <w:pPr>
        <w:ind w:left="1460" w:hanging="246"/>
        <w:spacing w:after="0"/>
        <w:tabs>
          <w:tab w:leader="none" w:pos="146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 to the Board; and (ii) in the event that the Founder is not an incumbent Director and the Board is composed of no less than six</w:t>
      </w:r>
    </w:p>
    <w:p>
      <w:pPr>
        <w:spacing w:after="0" w:line="6" w:lineRule="exact"/>
        <w:rPr>
          <w:rFonts w:ascii="Times New Roman" w:cs="Times New Roman" w:eastAsia="Times New Roman" w:hAnsi="Times New Roman"/>
          <w:sz w:val="17"/>
          <w:szCs w:val="17"/>
          <w:color w:val="auto"/>
        </w:rPr>
      </w:pPr>
    </w:p>
    <w:p>
      <w:pPr>
        <w:ind w:left="1220" w:right="600" w:hanging="6"/>
        <w:spacing w:after="0" w:line="250" w:lineRule="auto"/>
        <w:tabs>
          <w:tab w:leader="none" w:pos="1458"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 NIO Users Trust shall be entitled to nominate one (1) extra Director to the Board. NIO Users Trust may exercise its Director nomination rights hereunder through delivery of a written notice to the Company regarding the nomination, and the appointment of such Director by the Board shall be subject to this Article 88(d) and Designated Stock Exchange Rules applicable to the composition of the Board and qualifications and appointment of Directors.</w:t>
      </w:r>
    </w:p>
    <w:p>
      <w:pPr>
        <w:spacing w:after="0" w:line="180" w:lineRule="exact"/>
        <w:rPr>
          <w:rFonts w:ascii="Times New Roman" w:cs="Times New Roman" w:eastAsia="Times New Roman" w:hAnsi="Times New Roman"/>
          <w:sz w:val="17"/>
          <w:szCs w:val="17"/>
          <w:color w:val="auto"/>
        </w:rPr>
      </w:pPr>
    </w:p>
    <w:p>
      <w:pPr>
        <w:ind w:left="1220" w:right="500" w:hanging="612"/>
        <w:spacing w:after="0" w:line="257" w:lineRule="auto"/>
        <w:tabs>
          <w:tab w:leader="none" w:pos="12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re-election at a meeting of the Shareholders or re-appointment by the Board.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0" w:type="dxa"/>
            <w:vAlign w:val="bottom"/>
          </w:tcPr>
          <w:p>
            <w:pPr>
              <w:spacing w:after="0"/>
              <w:rPr>
                <w:sz w:val="17"/>
                <w:szCs w:val="17"/>
                <w:color w:val="auto"/>
              </w:rPr>
            </w:pPr>
          </w:p>
        </w:tc>
        <w:tc>
          <w:tcPr>
            <w:tcW w:w="6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w:t>
            </w:r>
          </w:p>
        </w:tc>
        <w:tc>
          <w:tcPr>
            <w:tcW w:w="9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 so long as the Shares are listed on the HK Stock Exchange, the Independent Non-executive Directors for the time being shall retire</w:t>
            </w: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Rule</w:t>
            </w:r>
          </w:p>
        </w:tc>
      </w:tr>
      <w:tr>
        <w:trPr>
          <w:trHeight w:val="202"/>
        </w:trPr>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from office by rotation at annual general meeting of the Company provided that every Independent Non-executive Director (including</w:t>
            </w: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5"/>
              </w:rPr>
              <w:t>8A.29</w:t>
            </w:r>
          </w:p>
        </w:tc>
      </w:tr>
      <w:tr>
        <w:trPr>
          <w:trHeight w:val="202"/>
        </w:trPr>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those appointed for a specific term) shall be subject to retirement by rotation at least once every three years. A retiring Independent Non-</w:t>
            </w:r>
          </w:p>
        </w:tc>
        <w:tc>
          <w:tcPr>
            <w:tcW w:w="440" w:type="dxa"/>
            <w:vAlign w:val="bottom"/>
          </w:tcPr>
          <w:p>
            <w:pPr>
              <w:spacing w:after="0"/>
              <w:rPr>
                <w:sz w:val="17"/>
                <w:szCs w:val="17"/>
                <w:color w:val="auto"/>
              </w:rPr>
            </w:pPr>
          </w:p>
        </w:tc>
      </w:tr>
      <w:tr>
        <w:trPr>
          <w:trHeight w:val="218"/>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executive Director shall retain office until the close of the meeting at which he retires and shall be eligible for re-election thereat.</w:t>
            </w:r>
          </w:p>
        </w:tc>
        <w:tc>
          <w:tcPr>
            <w:tcW w:w="440" w:type="dxa"/>
            <w:vAlign w:val="bottom"/>
          </w:tcPr>
          <w:p>
            <w:pPr>
              <w:spacing w:after="0"/>
              <w:rPr>
                <w:sz w:val="18"/>
                <w:szCs w:val="18"/>
                <w:color w:val="auto"/>
              </w:rPr>
            </w:pPr>
          </w:p>
        </w:tc>
      </w:tr>
      <w:tr>
        <w:trPr>
          <w:trHeight w:val="388"/>
        </w:trPr>
        <w:tc>
          <w:tcPr>
            <w:tcW w:w="4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93"/>
              </w:rPr>
              <w:t>89.</w:t>
            </w:r>
          </w:p>
        </w:tc>
        <w:tc>
          <w:tcPr>
            <w:tcW w:w="102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 Director may be removed from office by Ordinary Resolution of the Company, notwithstanding anything in these Articles or in any agreement</w:t>
            </w: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5"/>
              </w:rPr>
              <w:t>App 3</w:t>
            </w:r>
          </w:p>
        </w:tc>
      </w:tr>
      <w:tr>
        <w:trPr>
          <w:trHeight w:val="202"/>
        </w:trPr>
        <w:tc>
          <w:tcPr>
            <w:tcW w:w="400" w:type="dxa"/>
            <w:vAlign w:val="bottom"/>
          </w:tcPr>
          <w:p>
            <w:pPr>
              <w:spacing w:after="0"/>
              <w:rPr>
                <w:sz w:val="17"/>
                <w:szCs w:val="17"/>
                <w:color w:val="auto"/>
              </w:rPr>
            </w:pPr>
          </w:p>
        </w:tc>
        <w:tc>
          <w:tcPr>
            <w:tcW w:w="102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between the Company and such Director (but without prejudice to any claim for damages under such agreement). A vacancy on the Board created</w:t>
            </w: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r.4(3)</w:t>
            </w:r>
          </w:p>
        </w:tc>
      </w:tr>
      <w:tr>
        <w:trPr>
          <w:trHeight w:val="218"/>
        </w:trPr>
        <w:tc>
          <w:tcPr>
            <w:tcW w:w="400" w:type="dxa"/>
            <w:vAlign w:val="bottom"/>
          </w:tcPr>
          <w:p>
            <w:pPr>
              <w:spacing w:after="0"/>
              <w:rPr>
                <w:sz w:val="18"/>
                <w:szCs w:val="18"/>
                <w:color w:val="auto"/>
              </w:rPr>
            </w:pPr>
          </w:p>
        </w:tc>
        <w:tc>
          <w:tcPr>
            <w:tcW w:w="102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9"/>
              </w:rPr>
              <w:t>by the removal of a Director under the previous sentence may be filled by Ordinary Resolution or by the affirmative vote of a simple majority of the</w:t>
            </w:r>
          </w:p>
        </w:tc>
        <w:tc>
          <w:tcPr>
            <w:tcW w:w="440" w:type="dxa"/>
            <w:vAlign w:val="bottom"/>
          </w:tcPr>
          <w:p>
            <w:pPr>
              <w:spacing w:after="0"/>
              <w:rPr>
                <w:sz w:val="18"/>
                <w:szCs w:val="18"/>
                <w:color w:val="auto"/>
              </w:rPr>
            </w:pPr>
          </w:p>
        </w:tc>
      </w:tr>
    </w:tbl>
    <w:p>
      <w:pPr>
        <w:ind w:left="600" w:right="520"/>
        <w:spacing w:after="0" w:line="263" w:lineRule="auto"/>
        <w:rPr>
          <w:sz w:val="20"/>
          <w:szCs w:val="20"/>
          <w:color w:val="auto"/>
        </w:rPr>
      </w:pPr>
      <w:r>
        <w:rPr>
          <w:rFonts w:ascii="Times New Roman" w:cs="Times New Roman" w:eastAsia="Times New Roman" w:hAnsi="Times New Roman"/>
          <w:sz w:val="16"/>
          <w:szCs w:val="16"/>
          <w:color w:val="auto"/>
        </w:rPr>
        <w:t>remaining Directors Present and voting at a Board meeting. The notice of any meeting at which a resolution to remove a Director shall be proposed or voted upon must contain a statement of the intention to remove that Director and such notice must be served on that Director not less than ten</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(10) calendar days before the meeting. Such Director is entitled to attend the meeting and be heard on the motion for his removal.</w:t>
      </w:r>
    </w:p>
    <w:p>
      <w:pPr>
        <w:spacing w:after="0" w:line="192" w:lineRule="exact"/>
        <w:rPr>
          <w:sz w:val="20"/>
          <w:szCs w:val="20"/>
          <w:color w:val="auto"/>
        </w:rPr>
      </w:pPr>
    </w:p>
    <w:p>
      <w:pPr>
        <w:ind w:left="600" w:right="600" w:hanging="599"/>
        <w:spacing w:after="0" w:line="262" w:lineRule="auto"/>
        <w:tabs>
          <w:tab w:leader="none" w:pos="6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from time to time, and except as required by applicable law or Designated Stock Exchange Rules, adopt, institute, amend, modify or revoke the corporate governance policies or initiatives of the Company and determine on various corporate governance related matters of the Company as the Board shall determine by resolution of Directors from time to time.</w:t>
      </w: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060"/>
          </w:cols>
          <w:pgMar w:left="320" w:top="856" w:right="519" w:bottom="1440" w:gutter="0" w:footer="0" w:header="0"/>
          <w:type w:val="continuous"/>
        </w:sectPr>
      </w:pPr>
    </w:p>
    <w:bookmarkStart w:id="32" w:name="page33"/>
    <w:bookmarkEnd w:id="32"/>
    <w:p>
      <w:pPr>
        <w:ind w:left="600" w:right="520" w:hanging="599"/>
        <w:spacing w:after="0" w:line="275" w:lineRule="auto"/>
        <w:tabs>
          <w:tab w:leader="none" w:pos="6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Director shall not be required to hold any Shares in the Company by way of qualification. A Director who is not a Member of the Company shall nevertheless be entitled to attend and speak at general meetings.</w:t>
      </w:r>
    </w:p>
    <w:p>
      <w:pPr>
        <w:spacing w:after="0" w:line="158"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remuneration of the Directors may be determined by the Directors or by Ordinary Resolution.</w:t>
      </w:r>
    </w:p>
    <w:p>
      <w:pPr>
        <w:spacing w:after="0" w:line="208" w:lineRule="exact"/>
        <w:rPr>
          <w:rFonts w:ascii="Times New Roman" w:cs="Times New Roman" w:eastAsia="Times New Roman" w:hAnsi="Times New Roman"/>
          <w:sz w:val="17"/>
          <w:szCs w:val="17"/>
          <w:color w:val="auto"/>
        </w:rPr>
      </w:pPr>
    </w:p>
    <w:p>
      <w:pPr>
        <w:ind w:left="600" w:right="700" w:hanging="599"/>
        <w:spacing w:after="0" w:line="257" w:lineRule="auto"/>
        <w:tabs>
          <w:tab w:leader="none" w:pos="6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shall be entitled to be paid their travelling, hotel and other expenses properly incurred by them in going to, attending and returning from meetings of the Directors, or any committee of the Directors, or general meetings of the Company, or otherwise in connection with the business of the Company, or to receive such fixed allowance in respect thereof as may be determined by the Directors from time to time, or a combination partly of one such method and partly the other.</w:t>
      </w:r>
    </w:p>
    <w:p>
      <w:pPr>
        <w:spacing w:after="0" w:line="1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INDEPENDENT NON-EXECUTIVE DIRECTORS</w:t>
      </w:r>
    </w:p>
    <w:p>
      <w:pPr>
        <w:sectPr>
          <w:pgSz w:w="11900" w:h="16838" w:orient="portrait"/>
          <w:cols w:equalWidth="0" w:num="1">
            <w:col w:w="11060"/>
          </w:cols>
          <w:pgMar w:left="320" w:top="856" w:right="519" w:bottom="1440" w:gutter="0" w:footer="0" w:header="0"/>
        </w:sect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93A.</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role of an Independent Non-executive Director shall include, but is not limited to:</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8A.26</w:t>
      </w:r>
    </w:p>
    <w:p>
      <w:pPr>
        <w:spacing w:after="0" w:line="200" w:lineRule="exact"/>
        <w:rPr>
          <w:sz w:val="20"/>
          <w:szCs w:val="20"/>
          <w:color w:val="auto"/>
        </w:rPr>
      </w:pPr>
    </w:p>
    <w:p>
      <w:pPr>
        <w:sectPr>
          <w:pgSz w:w="11900" w:h="16838" w:orient="portrait"/>
          <w:cols w:equalWidth="0" w:num="3">
            <w:col w:w="340" w:space="260"/>
            <w:col w:w="9320" w:space="720"/>
            <w:col w:w="420"/>
          </w:cols>
          <w:pgMar w:left="320" w:top="856" w:right="519" w:bottom="1440" w:gutter="0" w:footer="0" w:header="0"/>
          <w:type w:val="continuous"/>
        </w:sectPr>
      </w:pPr>
    </w:p>
    <w:p>
      <w:pPr>
        <w:spacing w:after="0" w:line="4" w:lineRule="exact"/>
        <w:rPr>
          <w:sz w:val="20"/>
          <w:szCs w:val="20"/>
          <w:color w:val="auto"/>
        </w:rPr>
      </w:pPr>
    </w:p>
    <w:p>
      <w:pPr>
        <w:ind w:left="1220" w:right="1000" w:hanging="612"/>
        <w:spacing w:after="0" w:line="275" w:lineRule="auto"/>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participating in Board meetings to bring an independent judgment to bear on issues of strategy, policy, performance, accountability, resources, key appointments and standards of conduct;</w:t>
      </w:r>
    </w:p>
    <w:p>
      <w:pPr>
        <w:spacing w:after="0" w:line="158" w:lineRule="exact"/>
        <w:rPr>
          <w:rFonts w:ascii="Times New Roman" w:cs="Times New Roman" w:eastAsia="Times New Roman" w:hAnsi="Times New Roman"/>
          <w:sz w:val="17"/>
          <w:szCs w:val="17"/>
          <w:color w:val="auto"/>
        </w:rPr>
      </w:pPr>
    </w:p>
    <w:p>
      <w:pPr>
        <w:ind w:left="1180" w:hanging="572"/>
        <w:spacing w:after="0"/>
        <w:tabs>
          <w:tab w:leader="none" w:pos="11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taking the lead where potential conflicts of interest arise;</w:t>
      </w:r>
    </w:p>
    <w:p>
      <w:pPr>
        <w:spacing w:after="0" w:line="208" w:lineRule="exact"/>
        <w:rPr>
          <w:rFonts w:ascii="Times New Roman" w:cs="Times New Roman" w:eastAsia="Times New Roman" w:hAnsi="Times New Roman"/>
          <w:sz w:val="17"/>
          <w:szCs w:val="17"/>
          <w:color w:val="auto"/>
        </w:rPr>
      </w:pPr>
    </w:p>
    <w:p>
      <w:pPr>
        <w:ind w:left="1180" w:hanging="572"/>
        <w:spacing w:after="0"/>
        <w:tabs>
          <w:tab w:leader="none" w:pos="11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serving on the audit, remuneration, nomination and other governance committees, if invited; and</w:t>
      </w:r>
    </w:p>
    <w:p>
      <w:pPr>
        <w:spacing w:after="0" w:line="208" w:lineRule="exact"/>
        <w:rPr>
          <w:rFonts w:ascii="Times New Roman" w:cs="Times New Roman" w:eastAsia="Times New Roman" w:hAnsi="Times New Roman"/>
          <w:sz w:val="17"/>
          <w:szCs w:val="17"/>
          <w:color w:val="auto"/>
        </w:rPr>
      </w:pPr>
    </w:p>
    <w:p>
      <w:pPr>
        <w:ind w:left="1180" w:hanging="572"/>
        <w:spacing w:after="0"/>
        <w:tabs>
          <w:tab w:leader="none" w:pos="11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scrutinising the Company's performance in achieving agreed corporate goals and objectives, and monitoring performance reporting.</w:t>
      </w:r>
    </w:p>
    <w:p>
      <w:pPr>
        <w:spacing w:after="0" w:line="209" w:lineRule="exact"/>
        <w:rPr>
          <w:sz w:val="20"/>
          <w:szCs w:val="20"/>
          <w:color w:val="auto"/>
        </w:rPr>
      </w:pPr>
    </w:p>
    <w:p>
      <w:pPr>
        <w:ind w:left="600" w:right="560" w:hanging="599"/>
        <w:spacing w:after="0" w:line="262" w:lineRule="auto"/>
        <w:tabs>
          <w:tab w:leader="none" w:pos="580" w:val="left"/>
        </w:tabs>
        <w:rPr>
          <w:sz w:val="20"/>
          <w:szCs w:val="20"/>
          <w:color w:val="auto"/>
        </w:rPr>
      </w:pPr>
      <w:r>
        <w:rPr>
          <w:rFonts w:ascii="Times New Roman" w:cs="Times New Roman" w:eastAsia="Times New Roman" w:hAnsi="Times New Roman"/>
          <w:sz w:val="17"/>
          <w:szCs w:val="17"/>
          <w:color w:val="auto"/>
        </w:rPr>
        <w:t>93B.</w:t>
      </w:r>
      <w:r>
        <w:rPr>
          <w:sz w:val="20"/>
          <w:szCs w:val="20"/>
          <w:color w:val="auto"/>
        </w:rPr>
        <w:tab/>
      </w:r>
      <w:r>
        <w:rPr>
          <w:rFonts w:ascii="Times New Roman" w:cs="Times New Roman" w:eastAsia="Times New Roman" w:hAnsi="Times New Roman"/>
          <w:sz w:val="17"/>
          <w:szCs w:val="17"/>
          <w:color w:val="auto"/>
        </w:rPr>
        <w:t>The Independent Non-executive Directors shall give the Board and any committees on which they serve the benefit of their skills, expertise and varied backgrounds and qualifications through regular attendance and active participation. They should also attend general meetings and develop a balanced understanding of the views of the Members.</w:t>
      </w:r>
    </w:p>
    <w:p>
      <w:pPr>
        <w:spacing w:after="0" w:line="168" w:lineRule="exact"/>
        <w:rPr>
          <w:sz w:val="20"/>
          <w:szCs w:val="20"/>
          <w:color w:val="auto"/>
        </w:rPr>
      </w:pPr>
    </w:p>
    <w:p>
      <w:pPr>
        <w:ind w:left="600" w:right="740" w:hanging="599"/>
        <w:spacing w:after="0" w:line="275" w:lineRule="auto"/>
        <w:tabs>
          <w:tab w:leader="none" w:pos="580" w:val="left"/>
        </w:tabs>
        <w:rPr>
          <w:sz w:val="20"/>
          <w:szCs w:val="20"/>
          <w:color w:val="auto"/>
        </w:rPr>
      </w:pPr>
      <w:r>
        <w:rPr>
          <w:rFonts w:ascii="Times New Roman" w:cs="Times New Roman" w:eastAsia="Times New Roman" w:hAnsi="Times New Roman"/>
          <w:sz w:val="17"/>
          <w:szCs w:val="17"/>
          <w:color w:val="auto"/>
        </w:rPr>
        <w:t>93C.</w:t>
      </w:r>
      <w:r>
        <w:rPr>
          <w:sz w:val="20"/>
          <w:szCs w:val="20"/>
          <w:color w:val="auto"/>
        </w:rPr>
        <w:tab/>
      </w:r>
      <w:r>
        <w:rPr>
          <w:rFonts w:ascii="Times New Roman" w:cs="Times New Roman" w:eastAsia="Times New Roman" w:hAnsi="Times New Roman"/>
          <w:sz w:val="17"/>
          <w:szCs w:val="17"/>
          <w:color w:val="auto"/>
        </w:rPr>
        <w:t>The Independent Non-executive Directors shall make a positive contribution to the development of the Company's strategy and policies through independent, constructive and informed comments.</w:t>
      </w:r>
    </w:p>
    <w:p>
      <w:pPr>
        <w:spacing w:after="0" w:line="15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ALTERNATE DIRECTOR OR PROXY</w:t>
      </w:r>
    </w:p>
    <w:p>
      <w:pPr>
        <w:spacing w:after="0" w:line="213" w:lineRule="exact"/>
        <w:rPr>
          <w:sz w:val="20"/>
          <w:szCs w:val="20"/>
          <w:color w:val="auto"/>
        </w:rPr>
      </w:pPr>
    </w:p>
    <w:p>
      <w:pPr>
        <w:ind w:left="600" w:right="540" w:hanging="599"/>
        <w:spacing w:after="0" w:line="270" w:lineRule="auto"/>
        <w:tabs>
          <w:tab w:leader="none" w:pos="6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Director may in writing appoint another Person to be his alternate and, save to the extent provided otherwise in the form of appointment, such alternate shall have authority to sign written resolutions on behalf of the appointing Director, but shall not be required to sign such written resolutions where they have been signed by the appointing director, and to act in such Director's place at any meeting of the Directors at which the appointing Director is unable to be Present. Every such alternate shall be entitled to attend and vote at meetings of the Directors as a Director when the Director appointing him is not personally Present and where he is a Director to have a separate vote on behalf of the Director he is representing in addition to his own vote. A Director may at any time in writing revoke the appointment of an alternate appointed by him. Such alternate shall be deemed for all purposes to be a Director of the Company and shall not be deemed to be the agent of the Director appointing him. The remuneration of such alternate shall be payable out of the remuneration of the Director appointing him and the proportion thereof shall be agreed between them.</w:t>
      </w:r>
    </w:p>
    <w:p>
      <w:pPr>
        <w:spacing w:after="0" w:line="163" w:lineRule="exact"/>
        <w:rPr>
          <w:rFonts w:ascii="Times New Roman" w:cs="Times New Roman" w:eastAsia="Times New Roman" w:hAnsi="Times New Roman"/>
          <w:sz w:val="16"/>
          <w:szCs w:val="16"/>
          <w:color w:val="auto"/>
        </w:rPr>
      </w:pPr>
    </w:p>
    <w:p>
      <w:pPr>
        <w:ind w:left="600" w:right="760" w:hanging="599"/>
        <w:spacing w:after="0" w:line="274" w:lineRule="auto"/>
        <w:tabs>
          <w:tab w:leader="none" w:pos="6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of the Directors at which such proxy is to be used, or first used, prior to the commencement of the meeting.</w:t>
      </w:r>
    </w:p>
    <w:p>
      <w:pPr>
        <w:spacing w:after="0" w:line="3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060"/>
          </w:cols>
          <w:pgMar w:left="320" w:top="856" w:right="519" w:bottom="1440" w:gutter="0" w:footer="0" w:header="0"/>
          <w:type w:val="continuous"/>
        </w:sectPr>
      </w:pPr>
    </w:p>
    <w:bookmarkStart w:id="33" w:name="page34"/>
    <w:bookmarkEnd w:id="33"/>
    <w:p>
      <w:pPr>
        <w:ind w:left="4059"/>
        <w:spacing w:after="0"/>
        <w:rPr>
          <w:sz w:val="20"/>
          <w:szCs w:val="20"/>
          <w:color w:val="auto"/>
        </w:rPr>
      </w:pPr>
      <w:r>
        <w:rPr>
          <w:rFonts w:ascii="Times New Roman" w:cs="Times New Roman" w:eastAsia="Times New Roman" w:hAnsi="Times New Roman"/>
          <w:sz w:val="17"/>
          <w:szCs w:val="17"/>
          <w:b w:val="1"/>
          <w:bCs w:val="1"/>
          <w:color w:val="auto"/>
        </w:rPr>
        <w:t>POWERS AND DUTIES OF DIRECTORS</w:t>
      </w:r>
    </w:p>
    <w:p>
      <w:pPr>
        <w:spacing w:after="0" w:line="213" w:lineRule="exact"/>
        <w:rPr>
          <w:sz w:val="20"/>
          <w:szCs w:val="20"/>
          <w:color w:val="auto"/>
        </w:rPr>
      </w:pPr>
    </w:p>
    <w:p>
      <w:pPr>
        <w:ind w:left="599" w:right="60" w:hanging="599"/>
        <w:spacing w:after="0" w:line="257" w:lineRule="auto"/>
        <w:tabs>
          <w:tab w:leader="none" w:pos="599"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Companies Act, these Articles and to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w:t>
      </w:r>
    </w:p>
    <w:p>
      <w:pPr>
        <w:spacing w:after="0" w:line="173" w:lineRule="exact"/>
        <w:rPr>
          <w:rFonts w:ascii="Times New Roman" w:cs="Times New Roman" w:eastAsia="Times New Roman" w:hAnsi="Times New Roman"/>
          <w:sz w:val="17"/>
          <w:szCs w:val="17"/>
          <w:color w:val="auto"/>
        </w:rPr>
      </w:pPr>
    </w:p>
    <w:p>
      <w:pPr>
        <w:ind w:left="599" w:right="40" w:hanging="599"/>
        <w:spacing w:after="0" w:line="252" w:lineRule="auto"/>
        <w:tabs>
          <w:tab w:leader="none" w:pos="599"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these Articles, the Directors may from time to time appoint any natural person or corporation, whether or not a Director to hold such office in the Company as the Directors may think necessary for the administration of the Company, including but not limited to, chief executive officer, one or more other executive officers, president, one or more vice-presidents, treasurer, assistant treasurer, manager or controller, and for such term and at such remuneration (whether by way of salary or commission or participation in profits or partly in one way and partly in another), and with such powers and duties as the Directors may think fit. Any natural person or corporation so appointed by the Directors may be removed by the Directors. The Directors may also appoint one or more of their number to the office of managing director upon like terms, but any such appointment shall ipso facto terminate if any managing director ceases for any cause to be a Director, or if the Company by Ordinary Resolution resolves that his tenure of office be terminated.</w:t>
      </w:r>
    </w:p>
    <w:p>
      <w:pPr>
        <w:spacing w:after="0" w:line="177" w:lineRule="exact"/>
        <w:rPr>
          <w:rFonts w:ascii="Times New Roman" w:cs="Times New Roman" w:eastAsia="Times New Roman" w:hAnsi="Times New Roman"/>
          <w:sz w:val="17"/>
          <w:szCs w:val="17"/>
          <w:color w:val="auto"/>
        </w:rPr>
      </w:pPr>
    </w:p>
    <w:p>
      <w:pPr>
        <w:jc w:val="both"/>
        <w:ind w:left="599" w:right="180" w:hanging="599"/>
        <w:spacing w:after="0" w:line="262" w:lineRule="auto"/>
        <w:tabs>
          <w:tab w:leader="none" w:pos="599"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appoint any natural person or corporation to be a Secretary (and if need be an assistant Secretary or assistant Secretaries) who shall hold office for such term, at such remuneration and upon such conditions and with such powers as they think fit. Any Secretary or assistant Secretary so appointed by the Directors may be removed by the Directors or by the Company by Ordinary Resolution.</w:t>
      </w:r>
    </w:p>
    <w:p>
      <w:pPr>
        <w:spacing w:after="0" w:line="168" w:lineRule="exact"/>
        <w:rPr>
          <w:rFonts w:ascii="Times New Roman" w:cs="Times New Roman" w:eastAsia="Times New Roman" w:hAnsi="Times New Roman"/>
          <w:sz w:val="17"/>
          <w:szCs w:val="17"/>
          <w:color w:val="auto"/>
        </w:rPr>
      </w:pPr>
    </w:p>
    <w:p>
      <w:pPr>
        <w:ind w:left="599" w:right="20" w:hanging="599"/>
        <w:spacing w:after="0" w:line="262" w:lineRule="auto"/>
        <w:tabs>
          <w:tab w:leader="none" w:pos="599"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delegate any of their powers to committees consisting of such member or members of their body as they think fit, and may change any of the powers or authorities and name of any committee formed from time to time; any committee so formed shall in the exercise of the powers so delegated conform to any regulations that may be imposed on it by the Directors.</w:t>
      </w:r>
    </w:p>
    <w:p>
      <w:pPr>
        <w:spacing w:after="0" w:line="168" w:lineRule="exact"/>
        <w:rPr>
          <w:rFonts w:ascii="Times New Roman" w:cs="Times New Roman" w:eastAsia="Times New Roman" w:hAnsi="Times New Roman"/>
          <w:sz w:val="17"/>
          <w:szCs w:val="17"/>
          <w:color w:val="auto"/>
        </w:rPr>
      </w:pPr>
    </w:p>
    <w:p>
      <w:pPr>
        <w:ind w:left="599" w:hanging="599"/>
        <w:spacing w:after="0" w:line="252" w:lineRule="auto"/>
        <w:tabs>
          <w:tab w:leader="none" w:pos="599"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authorised signatory (any such person being an "Attorney" or "Authorised Signatory",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Authorised Signatory as the Directors may think fit, and may also authorise any such Attorney or Authorised Signatory to delegate all or any of the powers, authorities and discretion vested in him.</w:t>
      </w:r>
    </w:p>
    <w:p>
      <w:pPr>
        <w:spacing w:after="0" w:line="180" w:lineRule="exact"/>
        <w:rPr>
          <w:rFonts w:ascii="Times New Roman" w:cs="Times New Roman" w:eastAsia="Times New Roman" w:hAnsi="Times New Roman"/>
          <w:sz w:val="17"/>
          <w:szCs w:val="17"/>
          <w:color w:val="auto"/>
        </w:rPr>
      </w:pPr>
    </w:p>
    <w:p>
      <w:pPr>
        <w:ind w:left="599" w:right="440" w:hanging="599"/>
        <w:spacing w:after="0" w:line="275" w:lineRule="auto"/>
        <w:tabs>
          <w:tab w:leader="none" w:pos="599"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158" w:lineRule="exact"/>
        <w:rPr>
          <w:rFonts w:ascii="Times New Roman" w:cs="Times New Roman" w:eastAsia="Times New Roman" w:hAnsi="Times New Roman"/>
          <w:sz w:val="17"/>
          <w:szCs w:val="17"/>
          <w:color w:val="auto"/>
        </w:rPr>
      </w:pPr>
    </w:p>
    <w:p>
      <w:pPr>
        <w:ind w:left="599" w:right="40" w:hanging="599"/>
        <w:spacing w:after="0" w:line="262" w:lineRule="auto"/>
        <w:tabs>
          <w:tab w:leader="none" w:pos="599"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from time to time and at any time may establish any committees, local boards or agencies for managing any of the affairs of the Company and may appoint any natural person or corporation to be a member of such committees or local boards and may appoint any managers or agents of the Company and may fix the remuneration of any such natural person or corporation.</w:t>
      </w:r>
    </w:p>
    <w:p>
      <w:pPr>
        <w:spacing w:after="0" w:line="168" w:lineRule="exact"/>
        <w:rPr>
          <w:rFonts w:ascii="Times New Roman" w:cs="Times New Roman" w:eastAsia="Times New Roman" w:hAnsi="Times New Roman"/>
          <w:sz w:val="17"/>
          <w:szCs w:val="17"/>
          <w:color w:val="auto"/>
        </w:rPr>
      </w:pPr>
    </w:p>
    <w:p>
      <w:pPr>
        <w:ind w:left="599" w:right="20" w:hanging="599"/>
        <w:spacing w:after="0" w:line="253" w:lineRule="auto"/>
        <w:tabs>
          <w:tab w:leader="none" w:pos="599"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natural person or corporation so appointed and may annul or vary any such delegation, but no Person dealing in good faith and without notice of any such annulment or variation shall be affected thereby.</w:t>
      </w:r>
    </w:p>
    <w:p>
      <w:pPr>
        <w:spacing w:after="0" w:line="381" w:lineRule="exact"/>
        <w:rPr>
          <w:sz w:val="20"/>
          <w:szCs w:val="20"/>
          <w:color w:val="auto"/>
        </w:rPr>
      </w:pPr>
    </w:p>
    <w:p>
      <w:pPr>
        <w:ind w:left="55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559"/>
          </w:cols>
          <w:pgMar w:left="321" w:top="852" w:right="1019" w:bottom="1440" w:gutter="0" w:footer="0" w:header="0"/>
        </w:sectPr>
      </w:pPr>
    </w:p>
    <w:bookmarkStart w:id="34" w:name="page35"/>
    <w:bookmarkEnd w:id="34"/>
    <w:p>
      <w:pPr>
        <w:ind w:left="599" w:right="40" w:hanging="599"/>
        <w:spacing w:after="0" w:line="275" w:lineRule="auto"/>
        <w:tabs>
          <w:tab w:leader="none" w:pos="599"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delegates as aforesaid may be authorised by the Directors to sub-delegate all or any of the powers, authorities, and discretion for the time being vested in them.</w:t>
      </w:r>
    </w:p>
    <w:p>
      <w:pPr>
        <w:spacing w:after="0" w:line="155" w:lineRule="exact"/>
        <w:rPr>
          <w:sz w:val="20"/>
          <w:szCs w:val="20"/>
          <w:color w:val="auto"/>
        </w:rPr>
      </w:pPr>
    </w:p>
    <w:p>
      <w:pPr>
        <w:ind w:left="4019"/>
        <w:spacing w:after="0"/>
        <w:rPr>
          <w:sz w:val="20"/>
          <w:szCs w:val="20"/>
          <w:color w:val="auto"/>
        </w:rPr>
      </w:pPr>
      <w:r>
        <w:rPr>
          <w:rFonts w:ascii="Times New Roman" w:cs="Times New Roman" w:eastAsia="Times New Roman" w:hAnsi="Times New Roman"/>
          <w:sz w:val="17"/>
          <w:szCs w:val="17"/>
          <w:b w:val="1"/>
          <w:bCs w:val="1"/>
          <w:color w:val="auto"/>
        </w:rPr>
        <w:t>BORROWING POWERS OF DIRECTORS</w:t>
      </w:r>
    </w:p>
    <w:p>
      <w:pPr>
        <w:spacing w:after="0" w:line="213" w:lineRule="exact"/>
        <w:rPr>
          <w:sz w:val="20"/>
          <w:szCs w:val="20"/>
          <w:color w:val="auto"/>
        </w:rPr>
      </w:pPr>
    </w:p>
    <w:p>
      <w:pPr>
        <w:ind w:left="599" w:right="40" w:hanging="599"/>
        <w:spacing w:after="0" w:line="262" w:lineRule="auto"/>
        <w:tabs>
          <w:tab w:leader="none" w:pos="599"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from time to time at their discretion exercise all the powers of the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the Company or of any third party.</w:t>
      </w:r>
    </w:p>
    <w:p>
      <w:pPr>
        <w:spacing w:after="0" w:line="164" w:lineRule="exact"/>
        <w:rPr>
          <w:sz w:val="20"/>
          <w:szCs w:val="20"/>
          <w:color w:val="auto"/>
        </w:rPr>
      </w:pPr>
    </w:p>
    <w:p>
      <w:pPr>
        <w:ind w:left="5199"/>
        <w:spacing w:after="0"/>
        <w:rPr>
          <w:sz w:val="20"/>
          <w:szCs w:val="20"/>
          <w:color w:val="auto"/>
        </w:rPr>
      </w:pPr>
      <w:r>
        <w:rPr>
          <w:rFonts w:ascii="Times New Roman" w:cs="Times New Roman" w:eastAsia="Times New Roman" w:hAnsi="Times New Roman"/>
          <w:sz w:val="17"/>
          <w:szCs w:val="17"/>
          <w:b w:val="1"/>
          <w:bCs w:val="1"/>
          <w:color w:val="auto"/>
        </w:rPr>
        <w:t>THE SEAL</w:t>
      </w:r>
    </w:p>
    <w:p>
      <w:pPr>
        <w:spacing w:after="0" w:line="213" w:lineRule="exact"/>
        <w:rPr>
          <w:sz w:val="20"/>
          <w:szCs w:val="20"/>
          <w:color w:val="auto"/>
        </w:rPr>
      </w:pPr>
    </w:p>
    <w:p>
      <w:pPr>
        <w:ind w:left="599" w:hanging="599"/>
        <w:spacing w:after="0" w:line="257" w:lineRule="auto"/>
        <w:tabs>
          <w:tab w:leader="none" w:pos="599"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Seal shall not be affixed to any instrument except by the authority of a resolution of the Directors provided always that such authority may be given prior to or after the affixing of the Seal and if given after may be in general form confirming a number of affixings of the Seal. The Seal shall be affixed in the presence of a Director or a Secretary (or an assistant Secretary) or in the presence of any one or more Persons as the Directors may appoint for the purpose and every Person as aforesaid shall sign every instrument to which the Seal is so affixed in their presence.</w:t>
      </w:r>
    </w:p>
    <w:p>
      <w:pPr>
        <w:spacing w:after="0" w:line="173" w:lineRule="exact"/>
        <w:rPr>
          <w:rFonts w:ascii="Times New Roman" w:cs="Times New Roman" w:eastAsia="Times New Roman" w:hAnsi="Times New Roman"/>
          <w:sz w:val="17"/>
          <w:szCs w:val="17"/>
          <w:color w:val="auto"/>
        </w:rPr>
      </w:pPr>
    </w:p>
    <w:p>
      <w:pPr>
        <w:ind w:left="599" w:right="20" w:hanging="599"/>
        <w:spacing w:after="0" w:line="252" w:lineRule="auto"/>
        <w:tabs>
          <w:tab w:leader="none" w:pos="599"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maintain a facsimile of the Seal in such countries or places as the Directors may appoint and such facsimile Seal shall not be affixed to any instrument except by the authority of a resolution of the Directors provided always that such authority may be given prior to or after the affixing of such facsimile Seal and if given after may be in general form confirming a number of affixings of such facsimile Seal. The facsimile Seal shall be affixed in the presence of such Person or Persons as the Directors shall for this purpose appoint and such Person or Persons as aforesaid shall sign every instrument to which the facsimile Seal is so affixed in their presence and such affixing of the facsimile Seal and signing as aforesaid shall have the same meaning and effect as if the Seal had been affixed in the presence of and the instrument signed by a Director or a Secretary (or an assistant Secretary) or in the presence of any one or more Persons as the Directors may appoint for the purpose.</w:t>
      </w:r>
    </w:p>
    <w:p>
      <w:pPr>
        <w:spacing w:after="0" w:line="180" w:lineRule="exact"/>
        <w:rPr>
          <w:rFonts w:ascii="Times New Roman" w:cs="Times New Roman" w:eastAsia="Times New Roman" w:hAnsi="Times New Roman"/>
          <w:sz w:val="17"/>
          <w:szCs w:val="17"/>
          <w:color w:val="auto"/>
        </w:rPr>
      </w:pPr>
    </w:p>
    <w:p>
      <w:pPr>
        <w:jc w:val="both"/>
        <w:ind w:left="599" w:right="580" w:hanging="599"/>
        <w:spacing w:after="0" w:line="262" w:lineRule="auto"/>
        <w:tabs>
          <w:tab w:leader="none" w:pos="599"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a Secretary or any assistant Secretary shall have the authority to affix the Seal, or the facsimile Seal, to any instrument for the purposes of attesting authenticity of the matter contained therein but which does not create any obligation binding on the Company.</w:t>
      </w:r>
    </w:p>
    <w:p>
      <w:pPr>
        <w:spacing w:after="0" w:line="164" w:lineRule="exact"/>
        <w:rPr>
          <w:sz w:val="20"/>
          <w:szCs w:val="20"/>
          <w:color w:val="auto"/>
        </w:rPr>
      </w:pPr>
    </w:p>
    <w:p>
      <w:pPr>
        <w:ind w:left="4139"/>
        <w:spacing w:after="0"/>
        <w:rPr>
          <w:sz w:val="20"/>
          <w:szCs w:val="20"/>
          <w:color w:val="auto"/>
        </w:rPr>
      </w:pPr>
      <w:r>
        <w:rPr>
          <w:rFonts w:ascii="Times New Roman" w:cs="Times New Roman" w:eastAsia="Times New Roman" w:hAnsi="Times New Roman"/>
          <w:sz w:val="17"/>
          <w:szCs w:val="17"/>
          <w:b w:val="1"/>
          <w:bCs w:val="1"/>
          <w:color w:val="auto"/>
        </w:rPr>
        <w:t>DISQUALIFICATION OF DIRECTORS</w:t>
      </w:r>
    </w:p>
    <w:p>
      <w:pPr>
        <w:spacing w:after="0" w:line="213" w:lineRule="exact"/>
        <w:rPr>
          <w:sz w:val="20"/>
          <w:szCs w:val="20"/>
          <w:color w:val="auto"/>
        </w:rPr>
      </w:pPr>
    </w:p>
    <w:p>
      <w:pPr>
        <w:ind w:left="599" w:hanging="599"/>
        <w:spacing w:after="0"/>
        <w:tabs>
          <w:tab w:leader="none" w:pos="59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office of Director shall be vacated, if the Director:</w:t>
      </w:r>
    </w:p>
    <w:p>
      <w:pPr>
        <w:spacing w:after="0" w:line="208" w:lineRule="exact"/>
        <w:rPr>
          <w:rFonts w:ascii="Times New Roman" w:cs="Times New Roman" w:eastAsia="Times New Roman" w:hAnsi="Times New Roman"/>
          <w:sz w:val="17"/>
          <w:szCs w:val="17"/>
          <w:color w:val="auto"/>
        </w:rPr>
      </w:pPr>
    </w:p>
    <w:p>
      <w:pPr>
        <w:ind w:left="1219" w:hanging="612"/>
        <w:spacing w:after="0"/>
        <w:tabs>
          <w:tab w:leader="none" w:pos="1219"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becomes bankrupt or makes any arrangement or composition with his creditors;</w:t>
      </w:r>
    </w:p>
    <w:p>
      <w:pPr>
        <w:spacing w:after="0" w:line="208" w:lineRule="exact"/>
        <w:rPr>
          <w:rFonts w:ascii="Times New Roman" w:cs="Times New Roman" w:eastAsia="Times New Roman" w:hAnsi="Times New Roman"/>
          <w:sz w:val="17"/>
          <w:szCs w:val="17"/>
          <w:color w:val="auto"/>
        </w:rPr>
      </w:pPr>
    </w:p>
    <w:p>
      <w:pPr>
        <w:ind w:left="1219" w:hanging="612"/>
        <w:spacing w:after="0"/>
        <w:tabs>
          <w:tab w:leader="none" w:pos="1219"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dies or is found to be or becomes of unsound mind;</w:t>
      </w:r>
    </w:p>
    <w:p>
      <w:pPr>
        <w:spacing w:after="0" w:line="208" w:lineRule="exact"/>
        <w:rPr>
          <w:rFonts w:ascii="Times New Roman" w:cs="Times New Roman" w:eastAsia="Times New Roman" w:hAnsi="Times New Roman"/>
          <w:sz w:val="17"/>
          <w:szCs w:val="17"/>
          <w:color w:val="auto"/>
        </w:rPr>
      </w:pPr>
    </w:p>
    <w:p>
      <w:pPr>
        <w:ind w:left="1219" w:hanging="612"/>
        <w:spacing w:after="0"/>
        <w:tabs>
          <w:tab w:leader="none" w:pos="1219"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resigns his office by notice in writing to the Company;</w:t>
      </w:r>
    </w:p>
    <w:p>
      <w:pPr>
        <w:spacing w:after="0" w:line="208" w:lineRule="exact"/>
        <w:rPr>
          <w:rFonts w:ascii="Times New Roman" w:cs="Times New Roman" w:eastAsia="Times New Roman" w:hAnsi="Times New Roman"/>
          <w:sz w:val="17"/>
          <w:szCs w:val="17"/>
          <w:color w:val="auto"/>
        </w:rPr>
      </w:pPr>
    </w:p>
    <w:p>
      <w:pPr>
        <w:ind w:left="1219" w:right="440" w:hanging="612"/>
        <w:spacing w:after="0" w:line="275" w:lineRule="auto"/>
        <w:tabs>
          <w:tab w:leader="none" w:pos="1219"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special leave of absence from the Board, is absent from meetings of the Board for three consecutive meetings and the Board resolves that his office be vacated; or</w:t>
      </w:r>
    </w:p>
    <w:p>
      <w:pPr>
        <w:spacing w:after="0" w:line="158" w:lineRule="exact"/>
        <w:rPr>
          <w:rFonts w:ascii="Times New Roman" w:cs="Times New Roman" w:eastAsia="Times New Roman" w:hAnsi="Times New Roman"/>
          <w:sz w:val="17"/>
          <w:szCs w:val="17"/>
          <w:color w:val="auto"/>
        </w:rPr>
      </w:pPr>
    </w:p>
    <w:p>
      <w:pPr>
        <w:ind w:left="1219" w:hanging="612"/>
        <w:spacing w:after="0"/>
        <w:tabs>
          <w:tab w:leader="none" w:pos="1219"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removed from office pursuant to any other provision of these Articles.</w:t>
      </w:r>
    </w:p>
    <w:p>
      <w:pPr>
        <w:spacing w:after="0" w:line="205" w:lineRule="exact"/>
        <w:rPr>
          <w:sz w:val="20"/>
          <w:szCs w:val="20"/>
          <w:color w:val="auto"/>
        </w:rPr>
      </w:pPr>
    </w:p>
    <w:p>
      <w:pPr>
        <w:ind w:left="4339"/>
        <w:spacing w:after="0"/>
        <w:rPr>
          <w:sz w:val="20"/>
          <w:szCs w:val="20"/>
          <w:color w:val="auto"/>
        </w:rPr>
      </w:pPr>
      <w:r>
        <w:rPr>
          <w:rFonts w:ascii="Times New Roman" w:cs="Times New Roman" w:eastAsia="Times New Roman" w:hAnsi="Times New Roman"/>
          <w:sz w:val="17"/>
          <w:szCs w:val="17"/>
          <w:b w:val="1"/>
          <w:bCs w:val="1"/>
          <w:color w:val="auto"/>
        </w:rPr>
        <w:t>PROCEEDINGS OF DIRECTORS</w:t>
      </w:r>
    </w:p>
    <w:p>
      <w:pPr>
        <w:spacing w:after="0" w:line="213" w:lineRule="exact"/>
        <w:rPr>
          <w:sz w:val="20"/>
          <w:szCs w:val="20"/>
          <w:color w:val="auto"/>
        </w:rPr>
      </w:pPr>
    </w:p>
    <w:p>
      <w:pPr>
        <w:ind w:left="599" w:right="140" w:hanging="599"/>
        <w:spacing w:after="0" w:line="255" w:lineRule="auto"/>
        <w:tabs>
          <w:tab w:leader="none" w:pos="599"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meet together (either within or without the Cayman Islands) for the despatch of business, adjourn, and otherwise regulate their meetings and proceedings as they think fit. Questions arising at any meeting shall be decided by a majority of votes. At any meeting of the Directors, each Director Present in person or represented by his proxy or alternate shall be entitled to one vote. In case of an equality of votes the Chairman shall have a second or casting vote. A Director may, and a Secretary or assistant Secretary on the requisition of a Director shall, at any time summon a meeting of the Directors.</w:t>
      </w:r>
    </w:p>
    <w:p>
      <w:pPr>
        <w:spacing w:after="0" w:line="377" w:lineRule="exact"/>
        <w:rPr>
          <w:sz w:val="20"/>
          <w:szCs w:val="20"/>
          <w:color w:val="auto"/>
        </w:rPr>
      </w:pPr>
    </w:p>
    <w:p>
      <w:pPr>
        <w:ind w:left="553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559"/>
          </w:cols>
          <w:pgMar w:left="321" w:top="1058" w:right="1019" w:bottom="1440" w:gutter="0" w:footer="0" w:header="0"/>
        </w:sectPr>
      </w:pPr>
    </w:p>
    <w:bookmarkStart w:id="35" w:name="page36"/>
    <w:bookmarkEnd w:id="35"/>
    <w:p>
      <w:pPr>
        <w:ind w:left="599" w:hanging="599"/>
        <w:spacing w:after="0" w:line="262" w:lineRule="auto"/>
        <w:tabs>
          <w:tab w:leader="none" w:pos="599"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Director may participate in any meeting of the Directors, or of any committee appointed by the Directors of which such Director is a member, by means of telephone or similar communication equipment by way of which all Persons participating in such meeting can communicate with each other and such participation shall be deemed to constitute presence in person at the meeting.</w:t>
      </w:r>
    </w:p>
    <w:p>
      <w:pPr>
        <w:spacing w:after="0" w:line="168" w:lineRule="exact"/>
        <w:rPr>
          <w:rFonts w:ascii="Times New Roman" w:cs="Times New Roman" w:eastAsia="Times New Roman" w:hAnsi="Times New Roman"/>
          <w:sz w:val="17"/>
          <w:szCs w:val="17"/>
          <w:color w:val="auto"/>
        </w:rPr>
      </w:pPr>
    </w:p>
    <w:p>
      <w:pPr>
        <w:ind w:left="599" w:right="180" w:hanging="599"/>
        <w:spacing w:after="0" w:line="262" w:lineRule="auto"/>
        <w:tabs>
          <w:tab w:leader="none" w:pos="599"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quorum necessary for the transaction of the business of the Board may be fixed by the Directors, and unless so fixed, the quorum shall be a majority of Directors then in office. A Director represented by proxy or by an alternate Director at any meeting shall be deemed to be Present for the purposes of determining whether or not a quorum is Present.</w:t>
      </w:r>
    </w:p>
    <w:p>
      <w:pPr>
        <w:spacing w:after="0" w:line="168" w:lineRule="exact"/>
        <w:rPr>
          <w:rFonts w:ascii="Times New Roman" w:cs="Times New Roman" w:eastAsia="Times New Roman" w:hAnsi="Times New Roman"/>
          <w:sz w:val="17"/>
          <w:szCs w:val="17"/>
          <w:color w:val="auto"/>
        </w:rPr>
      </w:pPr>
    </w:p>
    <w:p>
      <w:pPr>
        <w:ind w:left="599" w:hanging="599"/>
        <w:spacing w:after="0" w:line="252" w:lineRule="auto"/>
        <w:tabs>
          <w:tab w:leader="none" w:pos="599"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and shall not be necessary to give special notice relating to any particular transaction. A Director may vote in respect of any contract or transaction or proposed contract or transaction notwithstanding that he may be interested therein and if he does so his vote shall be counted and he may be counted in the quorum at any meeting of the Directors at which any such contract or transaction or proposed contract or transaction shall come before the meeting for consideration.</w:t>
      </w:r>
    </w:p>
    <w:p>
      <w:pPr>
        <w:spacing w:after="0" w:line="177" w:lineRule="exact"/>
        <w:rPr>
          <w:rFonts w:ascii="Times New Roman" w:cs="Times New Roman" w:eastAsia="Times New Roman" w:hAnsi="Times New Roman"/>
          <w:sz w:val="17"/>
          <w:szCs w:val="17"/>
          <w:color w:val="auto"/>
        </w:rPr>
      </w:pPr>
    </w:p>
    <w:p>
      <w:pPr>
        <w:ind w:left="599" w:right="120" w:hanging="599"/>
        <w:spacing w:after="0" w:line="251" w:lineRule="auto"/>
        <w:tabs>
          <w:tab w:leader="none" w:pos="599"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of the Directors whereat he or any other Director is appointed to hold any such office or place of profit under the Company or whereat the terms of any such appointment are arranged and he may vote on any such appointment or arrangement.</w:t>
      </w:r>
    </w:p>
    <w:p>
      <w:pPr>
        <w:spacing w:after="0" w:line="181" w:lineRule="exact"/>
        <w:rPr>
          <w:rFonts w:ascii="Times New Roman" w:cs="Times New Roman" w:eastAsia="Times New Roman" w:hAnsi="Times New Roman"/>
          <w:sz w:val="17"/>
          <w:szCs w:val="17"/>
          <w:color w:val="auto"/>
        </w:rPr>
      </w:pPr>
    </w:p>
    <w:p>
      <w:pPr>
        <w:ind w:left="599" w:right="100" w:hanging="599"/>
        <w:spacing w:after="0" w:line="262" w:lineRule="auto"/>
        <w:tabs>
          <w:tab w:leader="none" w:pos="599"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may act by himself or through his firm in a professional capacity for the Company, and he or his firm shall be entitled to remuneration for professional services as if he were not a Director; provided that nothing herein contained shall authorise a Director or his firm to act as auditor to the Company.</w:t>
      </w:r>
    </w:p>
    <w:p>
      <w:pPr>
        <w:spacing w:after="0" w:line="168" w:lineRule="exact"/>
        <w:rPr>
          <w:rFonts w:ascii="Times New Roman" w:cs="Times New Roman" w:eastAsia="Times New Roman" w:hAnsi="Times New Roman"/>
          <w:sz w:val="17"/>
          <w:szCs w:val="17"/>
          <w:color w:val="auto"/>
        </w:rPr>
      </w:pPr>
    </w:p>
    <w:p>
      <w:pPr>
        <w:ind w:left="599" w:hanging="599"/>
        <w:spacing w:after="0"/>
        <w:tabs>
          <w:tab w:leader="none" w:pos="599"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shall cause minutes to be made for the purpose of recording:</w:t>
      </w:r>
    </w:p>
    <w:p>
      <w:pPr>
        <w:spacing w:after="0" w:line="208" w:lineRule="exact"/>
        <w:rPr>
          <w:rFonts w:ascii="Times New Roman" w:cs="Times New Roman" w:eastAsia="Times New Roman" w:hAnsi="Times New Roman"/>
          <w:sz w:val="17"/>
          <w:szCs w:val="17"/>
          <w:color w:val="auto"/>
        </w:rPr>
      </w:pPr>
    </w:p>
    <w:p>
      <w:pPr>
        <w:ind w:left="1219" w:hanging="612"/>
        <w:spacing w:after="0"/>
        <w:tabs>
          <w:tab w:leader="none" w:pos="1219"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appointments of officers made by the Directors;</w:t>
      </w:r>
    </w:p>
    <w:p>
      <w:pPr>
        <w:spacing w:after="0" w:line="208" w:lineRule="exact"/>
        <w:rPr>
          <w:rFonts w:ascii="Times New Roman" w:cs="Times New Roman" w:eastAsia="Times New Roman" w:hAnsi="Times New Roman"/>
          <w:sz w:val="17"/>
          <w:szCs w:val="17"/>
          <w:color w:val="auto"/>
        </w:rPr>
      </w:pPr>
    </w:p>
    <w:p>
      <w:pPr>
        <w:ind w:left="1219" w:hanging="612"/>
        <w:spacing w:after="0"/>
        <w:tabs>
          <w:tab w:leader="none" w:pos="1219"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names of the Directors Present at each meeting of the Directors and of any committee of the Directors; and</w:t>
      </w:r>
    </w:p>
    <w:p>
      <w:pPr>
        <w:spacing w:after="0" w:line="208" w:lineRule="exact"/>
        <w:rPr>
          <w:rFonts w:ascii="Times New Roman" w:cs="Times New Roman" w:eastAsia="Times New Roman" w:hAnsi="Times New Roman"/>
          <w:sz w:val="17"/>
          <w:szCs w:val="17"/>
          <w:color w:val="auto"/>
        </w:rPr>
      </w:pPr>
    </w:p>
    <w:p>
      <w:pPr>
        <w:ind w:left="1219" w:hanging="612"/>
        <w:spacing w:after="0"/>
        <w:tabs>
          <w:tab w:leader="none" w:pos="1219"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resolutions and proceedings at all meetings of the Company, and of the Directors and of committees of Directors.</w:t>
      </w:r>
    </w:p>
    <w:p>
      <w:pPr>
        <w:spacing w:after="0" w:line="208" w:lineRule="exact"/>
        <w:rPr>
          <w:rFonts w:ascii="Times New Roman" w:cs="Times New Roman" w:eastAsia="Times New Roman" w:hAnsi="Times New Roman"/>
          <w:sz w:val="17"/>
          <w:szCs w:val="17"/>
          <w:color w:val="auto"/>
        </w:rPr>
      </w:pPr>
    </w:p>
    <w:p>
      <w:pPr>
        <w:ind w:left="599" w:right="780" w:hanging="599"/>
        <w:spacing w:after="0" w:line="308" w:lineRule="auto"/>
        <w:tabs>
          <w:tab w:leader="none" w:pos="599"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134" w:lineRule="exact"/>
        <w:rPr>
          <w:rFonts w:ascii="Times New Roman" w:cs="Times New Roman" w:eastAsia="Times New Roman" w:hAnsi="Times New Roman"/>
          <w:sz w:val="16"/>
          <w:szCs w:val="16"/>
          <w:color w:val="auto"/>
        </w:rPr>
      </w:pPr>
    </w:p>
    <w:p>
      <w:pPr>
        <w:ind w:left="599" w:right="220" w:hanging="599"/>
        <w:spacing w:after="0" w:line="255" w:lineRule="auto"/>
        <w:tabs>
          <w:tab w:leader="none" w:pos="599"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resolution in writing signed by all the Directors or all the members of a committee of Directors entitled to receive notice of a meeting of Directors or committee of Directors, as the case may be (an alternate Director, subject as provided otherwise in the terms of appointment of the alternate Director, being entitled to sign such a resolution on behalf of his appointer), shall be as valid and effectual as if it had been passed at a duly called and constituted meeting of Directors or committee of Directors, as the case may be. When signed a resolution may consist of several documents each signed by one or more of the Directors or his duly appointed alternate.</w:t>
      </w:r>
    </w:p>
    <w:p>
      <w:pPr>
        <w:spacing w:after="0" w:line="377" w:lineRule="exact"/>
        <w:rPr>
          <w:sz w:val="20"/>
          <w:szCs w:val="20"/>
          <w:color w:val="auto"/>
        </w:rPr>
      </w:pPr>
    </w:p>
    <w:p>
      <w:pPr>
        <w:ind w:left="55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539"/>
          </w:cols>
          <w:pgMar w:left="321" w:top="856" w:right="1039" w:bottom="1440" w:gutter="0" w:footer="0" w:header="0"/>
        </w:sectPr>
      </w:pPr>
    </w:p>
    <w:bookmarkStart w:id="36" w:name="page37"/>
    <w:bookmarkEnd w:id="36"/>
    <w:p>
      <w:pPr>
        <w:ind w:left="600" w:right="920" w:hanging="599"/>
        <w:spacing w:after="0" w:line="262" w:lineRule="auto"/>
        <w:tabs>
          <w:tab w:leader="none" w:pos="6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continuing Directors may act notwithstanding any vacancy in their body but if and for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p>
      <w:pPr>
        <w:spacing w:after="0" w:line="168" w:lineRule="exact"/>
        <w:rPr>
          <w:rFonts w:ascii="Times New Roman" w:cs="Times New Roman" w:eastAsia="Times New Roman" w:hAnsi="Times New Roman"/>
          <w:sz w:val="17"/>
          <w:szCs w:val="17"/>
          <w:color w:val="auto"/>
        </w:rPr>
      </w:pPr>
    </w:p>
    <w:p>
      <w:pPr>
        <w:ind w:left="600" w:right="780" w:hanging="599"/>
        <w:spacing w:after="0" w:line="262" w:lineRule="auto"/>
        <w:tabs>
          <w:tab w:leader="none" w:pos="6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any regulations imposed on it by the Directors, a committee appointed by the Directors may elect a chairman of its meetings. If no such chairman is elected, or if at any meeting the chairman is not Present within fifteen minutes after the time appointed for holding the meeting, the committee members Present may choose one of their number to be chairman of the meeting.</w:t>
      </w:r>
    </w:p>
    <w:p>
      <w:pPr>
        <w:spacing w:after="0" w:line="168" w:lineRule="exact"/>
        <w:rPr>
          <w:rFonts w:ascii="Times New Roman" w:cs="Times New Roman" w:eastAsia="Times New Roman" w:hAnsi="Times New Roman"/>
          <w:sz w:val="17"/>
          <w:szCs w:val="17"/>
          <w:color w:val="auto"/>
        </w:rPr>
      </w:pPr>
    </w:p>
    <w:p>
      <w:pPr>
        <w:ind w:left="600" w:right="860" w:hanging="599"/>
        <w:spacing w:after="0" w:line="262" w:lineRule="auto"/>
        <w:tabs>
          <w:tab w:leader="none" w:pos="6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chairman shall have a second or casting vote.</w:t>
      </w:r>
    </w:p>
    <w:p>
      <w:pPr>
        <w:spacing w:after="0" w:line="168" w:lineRule="exact"/>
        <w:rPr>
          <w:rFonts w:ascii="Times New Roman" w:cs="Times New Roman" w:eastAsia="Times New Roman" w:hAnsi="Times New Roman"/>
          <w:sz w:val="17"/>
          <w:szCs w:val="17"/>
          <w:color w:val="auto"/>
        </w:rPr>
      </w:pPr>
    </w:p>
    <w:p>
      <w:pPr>
        <w:jc w:val="both"/>
        <w:ind w:left="600" w:right="740" w:hanging="599"/>
        <w:spacing w:after="0" w:line="262" w:lineRule="auto"/>
        <w:tabs>
          <w:tab w:leader="none" w:pos="6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NOMINATION COMMITTEE</w:t>
      </w:r>
    </w:p>
    <w:p>
      <w:pPr>
        <w:spacing w:after="0" w:line="213" w:lineRule="exact"/>
        <w:rPr>
          <w:sz w:val="20"/>
          <w:szCs w:val="20"/>
          <w:color w:val="auto"/>
        </w:rPr>
      </w:pPr>
    </w:p>
    <w:p>
      <w:pPr>
        <w:ind w:left="600" w:right="180" w:hanging="599"/>
        <w:spacing w:after="0" w:line="262" w:lineRule="auto"/>
        <w:tabs>
          <w:tab w:leader="none" w:pos="580" w:val="left"/>
        </w:tabs>
        <w:rPr>
          <w:sz w:val="20"/>
          <w:szCs w:val="20"/>
          <w:color w:val="auto"/>
        </w:rPr>
      </w:pPr>
      <w:r>
        <w:rPr>
          <w:rFonts w:ascii="Times New Roman" w:cs="Times New Roman" w:eastAsia="Times New Roman" w:hAnsi="Times New Roman"/>
          <w:sz w:val="17"/>
          <w:szCs w:val="17"/>
          <w:color w:val="auto"/>
        </w:rPr>
        <w:t>122A.</w:t>
        <w:tab/>
        <w:t>The Board shall establish a Nomination Committee (which may be combined with the functions of the Corporate Governance Committee and also Rule be delegated environmental, social and governance functions by the Board, to form a single Nominating and ESG Committee (the "</w:t>
      </w:r>
      <w:r>
        <w:rPr>
          <w:rFonts w:ascii="Times New Roman" w:cs="Times New Roman" w:eastAsia="Times New Roman" w:hAnsi="Times New Roman"/>
          <w:sz w:val="17"/>
          <w:szCs w:val="17"/>
          <w:b w:val="1"/>
          <w:bCs w:val="1"/>
          <w:color w:val="auto"/>
        </w:rPr>
        <w:t>Nominating and</w:t>
      </w:r>
      <w:r>
        <w:rPr>
          <w:rFonts w:ascii="Times New Roman" w:cs="Times New Roman" w:eastAsia="Times New Roman" w:hAnsi="Times New Roman"/>
          <w:sz w:val="17"/>
          <w:szCs w:val="17"/>
          <w:color w:val="auto"/>
        </w:rPr>
        <w:t xml:space="preserve">8A.27 </w:t>
      </w:r>
      <w:r>
        <w:rPr>
          <w:rFonts w:ascii="Times New Roman" w:cs="Times New Roman" w:eastAsia="Times New Roman" w:hAnsi="Times New Roman"/>
          <w:sz w:val="17"/>
          <w:szCs w:val="17"/>
          <w:b w:val="1"/>
          <w:bCs w:val="1"/>
          <w:color w:val="auto"/>
        </w:rPr>
        <w:t>ESG Committee</w:t>
      </w:r>
      <w:r>
        <w:rPr>
          <w:rFonts w:ascii="Times New Roman" w:cs="Times New Roman" w:eastAsia="Times New Roman" w:hAnsi="Times New Roman"/>
          <w:sz w:val="17"/>
          <w:szCs w:val="17"/>
          <w:color w:val="auto"/>
        </w:rPr>
        <w:t>")), which shall perform the following duties:</w:t>
      </w:r>
    </w:p>
    <w:p>
      <w:pPr>
        <w:spacing w:after="0" w:line="168" w:lineRule="exact"/>
        <w:rPr>
          <w:sz w:val="20"/>
          <w:szCs w:val="20"/>
          <w:color w:val="auto"/>
        </w:rPr>
      </w:pPr>
    </w:p>
    <w:p>
      <w:pPr>
        <w:ind w:left="1220" w:right="1160" w:hanging="612"/>
        <w:spacing w:after="0" w:line="275" w:lineRule="auto"/>
        <w:tabs>
          <w:tab w:leader="none" w:pos="12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the structure, size and composition (including the skills, knowledge and experience) of the Board at least annually and make recommendations on any proposed changes to the Board to complement the Company's corporate strategy;</w:t>
      </w:r>
    </w:p>
    <w:p>
      <w:pPr>
        <w:spacing w:after="0" w:line="158" w:lineRule="exact"/>
        <w:rPr>
          <w:rFonts w:ascii="Times New Roman" w:cs="Times New Roman" w:eastAsia="Times New Roman" w:hAnsi="Times New Roman"/>
          <w:sz w:val="17"/>
          <w:szCs w:val="17"/>
          <w:color w:val="auto"/>
        </w:rPr>
      </w:pPr>
    </w:p>
    <w:p>
      <w:pPr>
        <w:ind w:left="1220" w:right="1400" w:hanging="612"/>
        <w:spacing w:after="0" w:line="275" w:lineRule="auto"/>
        <w:tabs>
          <w:tab w:leader="none" w:pos="12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individuals suitably qualified to become Directors and select or make recommendations to the Board on the selection of individuals nominated for directorships;</w:t>
      </w:r>
    </w:p>
    <w:p>
      <w:pPr>
        <w:spacing w:after="0" w:line="158" w:lineRule="exact"/>
        <w:rPr>
          <w:rFonts w:ascii="Times New Roman" w:cs="Times New Roman" w:eastAsia="Times New Roman" w:hAnsi="Times New Roman"/>
          <w:sz w:val="17"/>
          <w:szCs w:val="17"/>
          <w:color w:val="auto"/>
        </w:rPr>
      </w:pPr>
    </w:p>
    <w:p>
      <w:pPr>
        <w:ind w:left="1220" w:hanging="612"/>
        <w:spacing w:after="0"/>
        <w:tabs>
          <w:tab w:leader="none" w:pos="12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 the independence of Independent Non-executive Directors; and</w:t>
      </w:r>
    </w:p>
    <w:p>
      <w:pPr>
        <w:spacing w:after="0" w:line="208" w:lineRule="exact"/>
        <w:rPr>
          <w:rFonts w:ascii="Times New Roman" w:cs="Times New Roman" w:eastAsia="Times New Roman" w:hAnsi="Times New Roman"/>
          <w:sz w:val="17"/>
          <w:szCs w:val="17"/>
          <w:color w:val="auto"/>
        </w:rPr>
      </w:pPr>
    </w:p>
    <w:p>
      <w:pPr>
        <w:ind w:left="1220" w:right="1300" w:hanging="612"/>
        <w:spacing w:after="0" w:line="275" w:lineRule="auto"/>
        <w:tabs>
          <w:tab w:leader="none" w:pos="12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recommendations to the Board on the appointment or re-appointment of Directors and succession planning for Directors, in particular the Chairman and chief executive officer of the Company.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122B.</w:t>
            </w:r>
          </w:p>
        </w:tc>
        <w:tc>
          <w:tcPr>
            <w:tcW w:w="9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The Nomination Committee shall comprise a majority of Independent Non-executive Directors, and the chairman of the Nomination Committee</w:t>
            </w:r>
          </w:p>
        </w:tc>
        <w:tc>
          <w:tcPr>
            <w:tcW w:w="7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Rule</w:t>
            </w:r>
          </w:p>
        </w:tc>
      </w:tr>
      <w:tr>
        <w:trPr>
          <w:trHeight w:val="218"/>
        </w:trPr>
        <w:tc>
          <w:tcPr>
            <w:tcW w:w="520" w:type="dxa"/>
            <w:vAlign w:val="bottom"/>
          </w:tcPr>
          <w:p>
            <w:pPr>
              <w:spacing w:after="0"/>
              <w:rPr>
                <w:sz w:val="18"/>
                <w:szCs w:val="18"/>
                <w:color w:val="auto"/>
              </w:rPr>
            </w:pPr>
          </w:p>
        </w:tc>
        <w:tc>
          <w:tcPr>
            <w:tcW w:w="9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shall be an Independent Non-executive Director.</w:t>
            </w:r>
          </w:p>
        </w:tc>
        <w:tc>
          <w:tcPr>
            <w:tcW w:w="7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8A.28</w:t>
            </w:r>
          </w:p>
        </w:tc>
      </w:tr>
      <w:tr>
        <w:trPr>
          <w:trHeight w:val="388"/>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122C.</w:t>
            </w:r>
          </w:p>
        </w:tc>
        <w:tc>
          <w:tcPr>
            <w:tcW w:w="9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The Nomination Committee shall make available its terms of reference explaining its role and the authority delegated to it by the Board by</w:t>
            </w:r>
          </w:p>
        </w:tc>
        <w:tc>
          <w:tcPr>
            <w:tcW w:w="760" w:type="dxa"/>
            <w:vAlign w:val="bottom"/>
          </w:tcPr>
          <w:p>
            <w:pPr>
              <w:spacing w:after="0"/>
              <w:rPr>
                <w:sz w:val="24"/>
                <w:szCs w:val="24"/>
                <w:color w:val="auto"/>
              </w:rPr>
            </w:pPr>
          </w:p>
        </w:tc>
      </w:tr>
      <w:tr>
        <w:trPr>
          <w:trHeight w:val="218"/>
        </w:trPr>
        <w:tc>
          <w:tcPr>
            <w:tcW w:w="520" w:type="dxa"/>
            <w:vAlign w:val="bottom"/>
          </w:tcPr>
          <w:p>
            <w:pPr>
              <w:spacing w:after="0"/>
              <w:rPr>
                <w:sz w:val="18"/>
                <w:szCs w:val="18"/>
                <w:color w:val="auto"/>
              </w:rPr>
            </w:pPr>
          </w:p>
        </w:tc>
        <w:tc>
          <w:tcPr>
            <w:tcW w:w="9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publishing them on the HK Stock Exchange's website in English and Chinese in accordance with the Listing Rules and the Company's Website.</w:t>
            </w:r>
          </w:p>
        </w:tc>
        <w:tc>
          <w:tcPr>
            <w:tcW w:w="760" w:type="dxa"/>
            <w:vAlign w:val="bottom"/>
          </w:tcPr>
          <w:p>
            <w:pPr>
              <w:spacing w:after="0"/>
              <w:rPr>
                <w:sz w:val="18"/>
                <w:szCs w:val="18"/>
                <w:color w:val="auto"/>
              </w:rPr>
            </w:pPr>
          </w:p>
        </w:tc>
      </w:tr>
      <w:tr>
        <w:trPr>
          <w:trHeight w:val="388"/>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122D.</w:t>
            </w:r>
          </w:p>
        </w:tc>
        <w:tc>
          <w:tcPr>
            <w:tcW w:w="9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The Company shall provide the Nomination Committee sufficient resources to perform its duties. Where necessary, the Nomination Committee</w:t>
            </w:r>
          </w:p>
        </w:tc>
        <w:tc>
          <w:tcPr>
            <w:tcW w:w="760" w:type="dxa"/>
            <w:vAlign w:val="bottom"/>
          </w:tcPr>
          <w:p>
            <w:pPr>
              <w:spacing w:after="0"/>
              <w:rPr>
                <w:sz w:val="24"/>
                <w:szCs w:val="24"/>
                <w:color w:val="auto"/>
              </w:rPr>
            </w:pPr>
          </w:p>
        </w:tc>
      </w:tr>
      <w:tr>
        <w:trPr>
          <w:trHeight w:val="218"/>
        </w:trPr>
        <w:tc>
          <w:tcPr>
            <w:tcW w:w="520" w:type="dxa"/>
            <w:vAlign w:val="bottom"/>
          </w:tcPr>
          <w:p>
            <w:pPr>
              <w:spacing w:after="0"/>
              <w:rPr>
                <w:sz w:val="18"/>
                <w:szCs w:val="18"/>
                <w:color w:val="auto"/>
              </w:rPr>
            </w:pPr>
          </w:p>
        </w:tc>
        <w:tc>
          <w:tcPr>
            <w:tcW w:w="9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shall seek independent professional advice, at the Company's expense, to perform its responsibilities.</w:t>
            </w:r>
          </w:p>
        </w:tc>
        <w:tc>
          <w:tcPr>
            <w:tcW w:w="760" w:type="dxa"/>
            <w:vAlign w:val="bottom"/>
          </w:tcPr>
          <w:p>
            <w:pPr>
              <w:spacing w:after="0"/>
              <w:rPr>
                <w:sz w:val="18"/>
                <w:szCs w:val="18"/>
                <w:color w:val="auto"/>
              </w:rPr>
            </w:pPr>
          </w:p>
        </w:tc>
      </w:tr>
      <w:tr>
        <w:trPr>
          <w:trHeight w:val="388"/>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122E.</w:t>
            </w:r>
          </w:p>
        </w:tc>
        <w:tc>
          <w:tcPr>
            <w:tcW w:w="9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Where the Board proposes a resolution to elect an individual as an Independent Non-executive Director at a general meeting, the circular to the</w:t>
            </w:r>
          </w:p>
        </w:tc>
        <w:tc>
          <w:tcPr>
            <w:tcW w:w="760" w:type="dxa"/>
            <w:vAlign w:val="bottom"/>
          </w:tcPr>
          <w:p>
            <w:pPr>
              <w:spacing w:after="0"/>
              <w:rPr>
                <w:sz w:val="24"/>
                <w:szCs w:val="24"/>
                <w:color w:val="auto"/>
              </w:rPr>
            </w:pPr>
          </w:p>
        </w:tc>
      </w:tr>
      <w:tr>
        <w:trPr>
          <w:trHeight w:val="218"/>
        </w:trPr>
        <w:tc>
          <w:tcPr>
            <w:tcW w:w="520" w:type="dxa"/>
            <w:vAlign w:val="bottom"/>
          </w:tcPr>
          <w:p>
            <w:pPr>
              <w:spacing w:after="0"/>
              <w:rPr>
                <w:sz w:val="18"/>
                <w:szCs w:val="18"/>
                <w:color w:val="auto"/>
              </w:rPr>
            </w:pPr>
          </w:p>
        </w:tc>
        <w:tc>
          <w:tcPr>
            <w:tcW w:w="9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Members and/or explanatory statement accompanying the notice of the relevant general meeting shall set out:</w:t>
            </w:r>
          </w:p>
        </w:tc>
        <w:tc>
          <w:tcPr>
            <w:tcW w:w="760" w:type="dxa"/>
            <w:vAlign w:val="bottom"/>
          </w:tcPr>
          <w:p>
            <w:pPr>
              <w:spacing w:after="0"/>
              <w:rPr>
                <w:sz w:val="18"/>
                <w:szCs w:val="18"/>
                <w:color w:val="auto"/>
              </w:rPr>
            </w:pPr>
          </w:p>
        </w:tc>
      </w:tr>
      <w:tr>
        <w:trPr>
          <w:trHeight w:val="388"/>
        </w:trPr>
        <w:tc>
          <w:tcPr>
            <w:tcW w:w="52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w:t>
            </w:r>
          </w:p>
        </w:tc>
        <w:tc>
          <w:tcPr>
            <w:tcW w:w="9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the process used for identifying the individual and why the Board believes the individual should be elected and the reasons why it</w:t>
            </w:r>
          </w:p>
        </w:tc>
        <w:tc>
          <w:tcPr>
            <w:tcW w:w="760" w:type="dxa"/>
            <w:vAlign w:val="bottom"/>
          </w:tcPr>
          <w:p>
            <w:pPr>
              <w:spacing w:after="0"/>
              <w:rPr>
                <w:sz w:val="24"/>
                <w:szCs w:val="24"/>
                <w:color w:val="auto"/>
              </w:rPr>
            </w:pPr>
          </w:p>
        </w:tc>
      </w:tr>
      <w:tr>
        <w:trPr>
          <w:trHeight w:val="218"/>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considers the individual to be independent;</w:t>
            </w:r>
          </w:p>
        </w:tc>
        <w:tc>
          <w:tcPr>
            <w:tcW w:w="760" w:type="dxa"/>
            <w:vAlign w:val="bottom"/>
          </w:tcPr>
          <w:p>
            <w:pPr>
              <w:spacing w:after="0"/>
              <w:rPr>
                <w:sz w:val="18"/>
                <w:szCs w:val="18"/>
                <w:color w:val="auto"/>
              </w:rPr>
            </w:pPr>
          </w:p>
        </w:tc>
      </w:tr>
      <w:tr>
        <w:trPr>
          <w:trHeight w:val="607"/>
        </w:trPr>
        <w:tc>
          <w:tcPr>
            <w:tcW w:w="5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jc w:val="right"/>
              <w:ind w:right="4696"/>
              <w:spacing w:after="0"/>
              <w:rPr>
                <w:sz w:val="20"/>
                <w:szCs w:val="20"/>
                <w:color w:val="auto"/>
              </w:rPr>
            </w:pPr>
            <w:r>
              <w:rPr>
                <w:rFonts w:ascii="Times New Roman" w:cs="Times New Roman" w:eastAsia="Times New Roman" w:hAnsi="Times New Roman"/>
                <w:sz w:val="17"/>
                <w:szCs w:val="17"/>
                <w:color w:val="auto"/>
              </w:rPr>
              <w:t>27</w:t>
            </w: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6" w:right="339" w:bottom="1440" w:gutter="0" w:footer="0" w:header="0"/>
        </w:sectPr>
      </w:pPr>
    </w:p>
    <w:bookmarkStart w:id="37" w:name="page38"/>
    <w:bookmarkEnd w:id="37"/>
    <w:p>
      <w:pPr>
        <w:ind w:left="1220" w:right="680" w:hanging="619"/>
        <w:spacing w:after="0" w:line="275" w:lineRule="auto"/>
        <w:tabs>
          <w:tab w:leader="none" w:pos="1200" w:val="left"/>
        </w:tabs>
        <w:rPr>
          <w:sz w:val="20"/>
          <w:szCs w:val="20"/>
          <w:color w:val="auto"/>
        </w:rPr>
      </w:pPr>
      <w:r>
        <w:rPr>
          <w:rFonts w:ascii="Times New Roman" w:cs="Times New Roman" w:eastAsia="Times New Roman" w:hAnsi="Times New Roman"/>
          <w:sz w:val="17"/>
          <w:szCs w:val="17"/>
          <w:color w:val="auto"/>
        </w:rPr>
        <w:t>(b)</w:t>
      </w:r>
      <w:r>
        <w:rPr>
          <w:sz w:val="20"/>
          <w:szCs w:val="20"/>
          <w:color w:val="auto"/>
        </w:rPr>
        <w:tab/>
      </w:r>
      <w:r>
        <w:rPr>
          <w:rFonts w:ascii="Times New Roman" w:cs="Times New Roman" w:eastAsia="Times New Roman" w:hAnsi="Times New Roman"/>
          <w:sz w:val="17"/>
          <w:szCs w:val="17"/>
          <w:color w:val="auto"/>
        </w:rPr>
        <w:t>if the proposed Independent Non-executive Director will be holding their seventh (or more) listed company directorship, why the Board believes the individual would still be able to devote sufficient time to the Board;</w:t>
      </w:r>
    </w:p>
    <w:p>
      <w:pPr>
        <w:spacing w:after="0" w:line="159" w:lineRule="exact"/>
        <w:rPr>
          <w:sz w:val="20"/>
          <w:szCs w:val="20"/>
          <w:color w:val="auto"/>
        </w:rPr>
      </w:pPr>
    </w:p>
    <w:p>
      <w:pPr>
        <w:ind w:left="600"/>
        <w:spacing w:after="0"/>
        <w:tabs>
          <w:tab w:leader="none" w:pos="1200" w:val="left"/>
        </w:tabs>
        <w:rPr>
          <w:sz w:val="20"/>
          <w:szCs w:val="20"/>
          <w:color w:val="auto"/>
        </w:rPr>
      </w:pPr>
      <w:r>
        <w:rPr>
          <w:rFonts w:ascii="Times New Roman" w:cs="Times New Roman" w:eastAsia="Times New Roman" w:hAnsi="Times New Roman"/>
          <w:sz w:val="17"/>
          <w:szCs w:val="17"/>
          <w:color w:val="auto"/>
        </w:rPr>
        <w:t>(c)</w:t>
      </w:r>
      <w:r>
        <w:rPr>
          <w:sz w:val="20"/>
          <w:szCs w:val="20"/>
          <w:color w:val="auto"/>
        </w:rPr>
        <w:tab/>
      </w:r>
      <w:r>
        <w:rPr>
          <w:rFonts w:ascii="Times New Roman" w:cs="Times New Roman" w:eastAsia="Times New Roman" w:hAnsi="Times New Roman"/>
          <w:sz w:val="17"/>
          <w:szCs w:val="17"/>
          <w:color w:val="auto"/>
        </w:rPr>
        <w:t>the perspectives, skills and experience that the individual can bring to the Board; and</w:t>
      </w:r>
    </w:p>
    <w:p>
      <w:pPr>
        <w:spacing w:after="0" w:line="209" w:lineRule="exact"/>
        <w:rPr>
          <w:sz w:val="20"/>
          <w:szCs w:val="20"/>
          <w:color w:val="auto"/>
        </w:rPr>
      </w:pPr>
    </w:p>
    <w:p>
      <w:pPr>
        <w:ind w:left="600"/>
        <w:spacing w:after="0"/>
        <w:tabs>
          <w:tab w:leader="none" w:pos="1200" w:val="left"/>
        </w:tabs>
        <w:rPr>
          <w:sz w:val="20"/>
          <w:szCs w:val="20"/>
          <w:color w:val="auto"/>
        </w:rPr>
      </w:pPr>
      <w:r>
        <w:rPr>
          <w:rFonts w:ascii="Times New Roman" w:cs="Times New Roman" w:eastAsia="Times New Roman" w:hAnsi="Times New Roman"/>
          <w:sz w:val="17"/>
          <w:szCs w:val="17"/>
          <w:color w:val="auto"/>
        </w:rPr>
        <w:t>(d)</w:t>
      </w:r>
      <w:r>
        <w:rPr>
          <w:sz w:val="20"/>
          <w:szCs w:val="20"/>
          <w:color w:val="auto"/>
        </w:rPr>
        <w:tab/>
      </w:r>
      <w:r>
        <w:rPr>
          <w:rFonts w:ascii="Times New Roman" w:cs="Times New Roman" w:eastAsia="Times New Roman" w:hAnsi="Times New Roman"/>
          <w:sz w:val="17"/>
          <w:szCs w:val="17"/>
          <w:color w:val="auto"/>
        </w:rPr>
        <w:t>how the individual contributes to diversity of the Board.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122F.</w:t>
            </w:r>
          </w:p>
        </w:tc>
        <w:tc>
          <w:tcPr>
            <w:tcW w:w="100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9"/>
              </w:rPr>
              <w:t>The Nomination Committee or the Board shall have a policy concerning diversity of Directors, and should disclose the policy or a summary of the</w:t>
            </w:r>
          </w:p>
        </w:tc>
        <w:tc>
          <w:tcPr>
            <w:tcW w:w="500" w:type="dxa"/>
            <w:vAlign w:val="bottom"/>
          </w:tcPr>
          <w:p>
            <w:pPr>
              <w:spacing w:after="0"/>
              <w:rPr>
                <w:sz w:val="17"/>
                <w:szCs w:val="17"/>
                <w:color w:val="auto"/>
              </w:rPr>
            </w:pPr>
          </w:p>
        </w:tc>
      </w:tr>
      <w:tr>
        <w:trPr>
          <w:trHeight w:val="218"/>
        </w:trPr>
        <w:tc>
          <w:tcPr>
            <w:tcW w:w="520" w:type="dxa"/>
            <w:vAlign w:val="bottom"/>
          </w:tcPr>
          <w:p>
            <w:pPr>
              <w:spacing w:after="0"/>
              <w:rPr>
                <w:sz w:val="18"/>
                <w:szCs w:val="18"/>
                <w:color w:val="auto"/>
              </w:rPr>
            </w:pPr>
          </w:p>
        </w:tc>
        <w:tc>
          <w:tcPr>
            <w:tcW w:w="10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policy in the corporate governance report.</w:t>
            </w:r>
          </w:p>
        </w:tc>
        <w:tc>
          <w:tcPr>
            <w:tcW w:w="500" w:type="dxa"/>
            <w:vAlign w:val="bottom"/>
          </w:tcPr>
          <w:p>
            <w:pPr>
              <w:spacing w:after="0"/>
              <w:rPr>
                <w:sz w:val="18"/>
                <w:szCs w:val="18"/>
                <w:color w:val="auto"/>
              </w:rPr>
            </w:pPr>
          </w:p>
        </w:tc>
      </w:tr>
      <w:tr>
        <w:trPr>
          <w:trHeight w:val="404"/>
        </w:trPr>
        <w:tc>
          <w:tcPr>
            <w:tcW w:w="520" w:type="dxa"/>
            <w:vAlign w:val="bottom"/>
          </w:tcPr>
          <w:p>
            <w:pPr>
              <w:spacing w:after="0"/>
              <w:rPr>
                <w:sz w:val="24"/>
                <w:szCs w:val="24"/>
                <w:color w:val="auto"/>
              </w:rPr>
            </w:pPr>
          </w:p>
        </w:tc>
        <w:tc>
          <w:tcPr>
            <w:tcW w:w="10040" w:type="dxa"/>
            <w:vAlign w:val="bottom"/>
          </w:tcPr>
          <w:p>
            <w:pPr>
              <w:ind w:left="3380"/>
              <w:spacing w:after="0"/>
              <w:rPr>
                <w:sz w:val="20"/>
                <w:szCs w:val="20"/>
                <w:color w:val="auto"/>
              </w:rPr>
            </w:pPr>
            <w:r>
              <w:rPr>
                <w:rFonts w:ascii="Times New Roman" w:cs="Times New Roman" w:eastAsia="Times New Roman" w:hAnsi="Times New Roman"/>
                <w:sz w:val="17"/>
                <w:szCs w:val="17"/>
                <w:b w:val="1"/>
                <w:bCs w:val="1"/>
                <w:color w:val="auto"/>
              </w:rPr>
              <w:t>CORPORATE GOVERNANCE COMMITTEE</w:t>
            </w:r>
          </w:p>
        </w:tc>
        <w:tc>
          <w:tcPr>
            <w:tcW w:w="500" w:type="dxa"/>
            <w:vAlign w:val="bottom"/>
          </w:tcPr>
          <w:p>
            <w:pPr>
              <w:spacing w:after="0"/>
              <w:rPr>
                <w:sz w:val="24"/>
                <w:szCs w:val="24"/>
                <w:color w:val="auto"/>
              </w:rPr>
            </w:pPr>
          </w:p>
        </w:tc>
      </w:tr>
      <w:tr>
        <w:trPr>
          <w:trHeight w:val="388"/>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122G.</w:t>
            </w:r>
          </w:p>
        </w:tc>
        <w:tc>
          <w:tcPr>
            <w:tcW w:w="100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9"/>
              </w:rPr>
              <w:t>The Board shall establish a Corporate Governance Committee (which may be combined with the functions of the Nomination Committee and also</w:t>
            </w:r>
          </w:p>
        </w:tc>
        <w:tc>
          <w:tcPr>
            <w:tcW w:w="5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Rule</w:t>
            </w:r>
          </w:p>
        </w:tc>
      </w:tr>
      <w:tr>
        <w:trPr>
          <w:trHeight w:val="202"/>
        </w:trPr>
        <w:tc>
          <w:tcPr>
            <w:tcW w:w="520" w:type="dxa"/>
            <w:vAlign w:val="bottom"/>
          </w:tcPr>
          <w:p>
            <w:pPr>
              <w:spacing w:after="0"/>
              <w:rPr>
                <w:sz w:val="17"/>
                <w:szCs w:val="17"/>
                <w:color w:val="auto"/>
              </w:rPr>
            </w:pPr>
          </w:p>
        </w:tc>
        <w:tc>
          <w:tcPr>
            <w:tcW w:w="10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be delegated the environmental, social and governance functions of the Board to form a single Nominating and ESG Committee), which shall</w:t>
            </w:r>
          </w:p>
        </w:tc>
        <w:tc>
          <w:tcPr>
            <w:tcW w:w="50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5"/>
              </w:rPr>
              <w:t>8A.30</w:t>
            </w:r>
          </w:p>
        </w:tc>
      </w:tr>
      <w:tr>
        <w:trPr>
          <w:trHeight w:val="218"/>
        </w:trPr>
        <w:tc>
          <w:tcPr>
            <w:tcW w:w="520" w:type="dxa"/>
            <w:vAlign w:val="bottom"/>
          </w:tcPr>
          <w:p>
            <w:pPr>
              <w:spacing w:after="0"/>
              <w:rPr>
                <w:sz w:val="18"/>
                <w:szCs w:val="18"/>
                <w:color w:val="auto"/>
              </w:rPr>
            </w:pPr>
          </w:p>
        </w:tc>
        <w:tc>
          <w:tcPr>
            <w:tcW w:w="10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perform the following duties:</w:t>
            </w:r>
          </w:p>
        </w:tc>
        <w:tc>
          <w:tcPr>
            <w:tcW w:w="500" w:type="dxa"/>
            <w:vAlign w:val="bottom"/>
          </w:tcPr>
          <w:p>
            <w:pPr>
              <w:spacing w:after="0"/>
              <w:rPr>
                <w:sz w:val="18"/>
                <w:szCs w:val="18"/>
                <w:color w:val="auto"/>
              </w:rPr>
            </w:pPr>
          </w:p>
        </w:tc>
      </w:tr>
    </w:tbl>
    <w:p>
      <w:pPr>
        <w:spacing w:after="0" w:line="186" w:lineRule="exact"/>
        <w:rPr>
          <w:sz w:val="20"/>
          <w:szCs w:val="20"/>
          <w:color w:val="auto"/>
        </w:rPr>
      </w:pPr>
    </w:p>
    <w:p>
      <w:pPr>
        <w:ind w:left="1220" w:hanging="612"/>
        <w:spacing w:after="0"/>
        <w:tabs>
          <w:tab w:leader="none" w:pos="1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and review the Company's policies and practices on corporate governance and make recommendations to the Board;</w:t>
      </w:r>
    </w:p>
    <w:p>
      <w:pPr>
        <w:spacing w:after="0" w:line="208" w:lineRule="exact"/>
        <w:rPr>
          <w:rFonts w:ascii="Times New Roman" w:cs="Times New Roman" w:eastAsia="Times New Roman" w:hAnsi="Times New Roman"/>
          <w:sz w:val="17"/>
          <w:szCs w:val="17"/>
          <w:color w:val="auto"/>
        </w:rPr>
      </w:pPr>
    </w:p>
    <w:p>
      <w:pPr>
        <w:ind w:left="1220" w:hanging="612"/>
        <w:spacing w:after="0"/>
        <w:tabs>
          <w:tab w:leader="none" w:pos="1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monitor the training and continuous professional development of Directors and senior management;</w:t>
      </w:r>
    </w:p>
    <w:p>
      <w:pPr>
        <w:spacing w:after="0" w:line="208" w:lineRule="exact"/>
        <w:rPr>
          <w:rFonts w:ascii="Times New Roman" w:cs="Times New Roman" w:eastAsia="Times New Roman" w:hAnsi="Times New Roman"/>
          <w:sz w:val="17"/>
          <w:szCs w:val="17"/>
          <w:color w:val="auto"/>
        </w:rPr>
      </w:pPr>
    </w:p>
    <w:p>
      <w:pPr>
        <w:ind w:left="1220" w:hanging="612"/>
        <w:spacing w:after="0"/>
        <w:tabs>
          <w:tab w:leader="none" w:pos="1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monitor the Company's policies and practices on compliance with legal and regulatory requirements;</w:t>
      </w:r>
    </w:p>
    <w:p>
      <w:pPr>
        <w:spacing w:after="0" w:line="208" w:lineRule="exact"/>
        <w:rPr>
          <w:rFonts w:ascii="Times New Roman" w:cs="Times New Roman" w:eastAsia="Times New Roman" w:hAnsi="Times New Roman"/>
          <w:sz w:val="17"/>
          <w:szCs w:val="17"/>
          <w:color w:val="auto"/>
        </w:rPr>
      </w:pPr>
    </w:p>
    <w:p>
      <w:pPr>
        <w:ind w:left="1220" w:hanging="612"/>
        <w:spacing w:after="0"/>
        <w:tabs>
          <w:tab w:leader="none" w:pos="1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review and monitor the code of conduct and compliance manual (if any) applicable to employees and Directors;</w:t>
      </w:r>
    </w:p>
    <w:p>
      <w:pPr>
        <w:spacing w:after="0" w:line="208" w:lineRule="exact"/>
        <w:rPr>
          <w:rFonts w:ascii="Times New Roman" w:cs="Times New Roman" w:eastAsia="Times New Roman" w:hAnsi="Times New Roman"/>
          <w:sz w:val="17"/>
          <w:szCs w:val="17"/>
          <w:color w:val="auto"/>
        </w:rPr>
      </w:pPr>
    </w:p>
    <w:p>
      <w:pPr>
        <w:ind w:left="1220" w:hanging="612"/>
        <w:spacing w:after="0"/>
        <w:tabs>
          <w:tab w:leader="none" w:pos="1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the Company's compliance with the code and disclosure in the Corporate Governance Report;</w:t>
      </w:r>
    </w:p>
    <w:p>
      <w:pPr>
        <w:spacing w:after="0" w:line="208" w:lineRule="exact"/>
        <w:rPr>
          <w:rFonts w:ascii="Times New Roman" w:cs="Times New Roman" w:eastAsia="Times New Roman" w:hAnsi="Times New Roman"/>
          <w:sz w:val="17"/>
          <w:szCs w:val="17"/>
          <w:color w:val="auto"/>
        </w:rPr>
      </w:pPr>
    </w:p>
    <w:p>
      <w:pPr>
        <w:ind w:left="1220" w:hanging="612"/>
        <w:spacing w:after="0"/>
        <w:tabs>
          <w:tab w:leader="none" w:pos="1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monitor whether the Company is operated and managed for the benefit of all of its Members;</w:t>
      </w:r>
    </w:p>
    <w:p>
      <w:pPr>
        <w:spacing w:after="0" w:line="208" w:lineRule="exact"/>
        <w:rPr>
          <w:rFonts w:ascii="Times New Roman" w:cs="Times New Roman" w:eastAsia="Times New Roman" w:hAnsi="Times New Roman"/>
          <w:sz w:val="17"/>
          <w:szCs w:val="17"/>
          <w:color w:val="auto"/>
        </w:rPr>
      </w:pPr>
    </w:p>
    <w:p>
      <w:pPr>
        <w:ind w:left="1220" w:right="520" w:hanging="612"/>
        <w:spacing w:after="0" w:line="262" w:lineRule="auto"/>
        <w:tabs>
          <w:tab w:leader="none" w:pos="1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confirm, on an annual basis, that each holder of Class C Ordinary Shares (or where a holder is a Director Holding Vehicle, the person holding or controlling such vehicle) has been a Director throughout the year and that none of the events set out in Articles 16(e)(i) to 16(e) (iv) have occurred during the relevant financial year;</w:t>
      </w:r>
    </w:p>
    <w:p>
      <w:pPr>
        <w:spacing w:after="0" w:line="168" w:lineRule="exact"/>
        <w:rPr>
          <w:rFonts w:ascii="Times New Roman" w:cs="Times New Roman" w:eastAsia="Times New Roman" w:hAnsi="Times New Roman"/>
          <w:sz w:val="17"/>
          <w:szCs w:val="17"/>
          <w:color w:val="auto"/>
        </w:rPr>
      </w:pPr>
    </w:p>
    <w:p>
      <w:pPr>
        <w:ind w:left="1220" w:right="860" w:hanging="612"/>
        <w:spacing w:after="0" w:line="275" w:lineRule="auto"/>
        <w:tabs>
          <w:tab w:leader="none" w:pos="1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confirm, on an annual basis, that each holder of Class C Ordinary Shares (or where a holder is a Director Holding Vehicle, the person holding or controlling such vehicle) has complied with Articles 16(b), 16(c), 16(e) and 16(h) throughout the year;</w:t>
      </w:r>
    </w:p>
    <w:p>
      <w:pPr>
        <w:spacing w:after="0" w:line="158" w:lineRule="exact"/>
        <w:rPr>
          <w:rFonts w:ascii="Times New Roman" w:cs="Times New Roman" w:eastAsia="Times New Roman" w:hAnsi="Times New Roman"/>
          <w:sz w:val="17"/>
          <w:szCs w:val="17"/>
          <w:color w:val="auto"/>
        </w:rPr>
      </w:pPr>
    </w:p>
    <w:p>
      <w:pPr>
        <w:ind w:left="1220" w:right="500" w:hanging="612"/>
        <w:spacing w:after="0" w:line="262" w:lineRule="auto"/>
        <w:tabs>
          <w:tab w:leader="none" w:pos="1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monitor the management of conflicts of interests and make a recommendation to the Board on any matter where there is a potential conflict of interest between the Company, a subsidiary of the Company and/or holders of Class A Ordinary Shares (considered as a group) on the one hand, and any holder of Class C Ordinary Shares on the other;</w:t>
      </w:r>
    </w:p>
    <w:p>
      <w:pPr>
        <w:spacing w:after="0" w:line="168" w:lineRule="exact"/>
        <w:rPr>
          <w:rFonts w:ascii="Times New Roman" w:cs="Times New Roman" w:eastAsia="Times New Roman" w:hAnsi="Times New Roman"/>
          <w:sz w:val="17"/>
          <w:szCs w:val="17"/>
          <w:color w:val="auto"/>
        </w:rPr>
      </w:pPr>
    </w:p>
    <w:p>
      <w:pPr>
        <w:ind w:left="1220" w:right="920" w:hanging="612"/>
        <w:spacing w:after="0" w:line="262" w:lineRule="auto"/>
        <w:tabs>
          <w:tab w:leader="none" w:pos="1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monitor all risks related to the Company's weighted voting rights structure, including connected transactions between the Company and/or a subsidiary of the Company on one hand and any beneficiary of weighted voting rights on the other and make a recommendation to the Board on any such transaction;</w:t>
      </w:r>
    </w:p>
    <w:p>
      <w:pPr>
        <w:spacing w:after="0" w:line="168" w:lineRule="exact"/>
        <w:rPr>
          <w:rFonts w:ascii="Times New Roman" w:cs="Times New Roman" w:eastAsia="Times New Roman" w:hAnsi="Times New Roman"/>
          <w:sz w:val="17"/>
          <w:szCs w:val="17"/>
          <w:color w:val="auto"/>
        </w:rPr>
      </w:pPr>
    </w:p>
    <w:p>
      <w:pPr>
        <w:ind w:left="1220" w:hanging="612"/>
        <w:spacing w:after="0"/>
        <w:tabs>
          <w:tab w:leader="none" w:pos="1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 recommendation to the Board as to the appointment or removal of the Compliance Adviser;</w:t>
      </w:r>
    </w:p>
    <w:p>
      <w:pPr>
        <w:spacing w:after="0" w:line="200" w:lineRule="exact"/>
        <w:rPr>
          <w:sz w:val="20"/>
          <w:szCs w:val="20"/>
          <w:color w:val="auto"/>
        </w:rPr>
      </w:pPr>
    </w:p>
    <w:p>
      <w:pPr>
        <w:spacing w:after="0" w:line="2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060"/>
          </w:cols>
          <w:pgMar w:left="320" w:top="856" w:right="519" w:bottom="1440" w:gutter="0" w:footer="0" w:header="0"/>
        </w:sectPr>
      </w:pPr>
    </w:p>
    <w:bookmarkStart w:id="38" w:name="page39"/>
    <w:bookmarkEnd w:id="38"/>
    <w:p>
      <w:pPr>
        <w:ind w:left="1220" w:right="500" w:hanging="612"/>
        <w:spacing w:after="0" w:line="275" w:lineRule="auto"/>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to ensure effective and ongoing communication between the Company and its Members, particularly with regards to the requirements of Article 165;</w:t>
      </w:r>
    </w:p>
    <w:p>
      <w:pPr>
        <w:spacing w:after="0" w:line="158" w:lineRule="exact"/>
        <w:rPr>
          <w:rFonts w:ascii="Times New Roman" w:cs="Times New Roman" w:eastAsia="Times New Roman" w:hAnsi="Times New Roman"/>
          <w:sz w:val="17"/>
          <w:szCs w:val="17"/>
          <w:color w:val="auto"/>
        </w:rPr>
      </w:pPr>
    </w:p>
    <w:p>
      <w:pPr>
        <w:ind w:left="1220" w:right="820" w:hanging="612"/>
        <w:spacing w:after="0" w:line="275" w:lineRule="auto"/>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 on the work of the Corporate Governance Committee on at least a half-yearly and annual basis covering all areas of this Article 122G;</w:t>
      </w:r>
    </w:p>
    <w:p>
      <w:pPr>
        <w:spacing w:after="0" w:line="158" w:lineRule="exact"/>
        <w:rPr>
          <w:rFonts w:ascii="Times New Roman" w:cs="Times New Roman" w:eastAsia="Times New Roman" w:hAnsi="Times New Roman"/>
          <w:sz w:val="17"/>
          <w:szCs w:val="17"/>
          <w:color w:val="auto"/>
        </w:rPr>
      </w:pPr>
    </w:p>
    <w:p>
      <w:pPr>
        <w:ind w:left="1220" w:right="580" w:hanging="612"/>
        <w:spacing w:after="0" w:line="275" w:lineRule="auto"/>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 on a comply or explain basis, its recommendations to the Board in respect of matters in Articles 122G(i) to 122G(k)in the report referred to in Article 122G(m); and</w:t>
      </w:r>
    </w:p>
    <w:p>
      <w:pPr>
        <w:spacing w:after="0" w:line="158" w:lineRule="exact"/>
        <w:rPr>
          <w:rFonts w:ascii="Times New Roman" w:cs="Times New Roman" w:eastAsia="Times New Roman" w:hAnsi="Times New Roman"/>
          <w:sz w:val="17"/>
          <w:szCs w:val="17"/>
          <w:color w:val="auto"/>
        </w:rPr>
      </w:pPr>
    </w:p>
    <w:p>
      <w:pPr>
        <w:ind w:left="1220" w:hanging="612"/>
        <w:spacing w:after="0"/>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 the environmental, social and governance matters of the Company.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122H.</w:t>
            </w:r>
          </w:p>
        </w:tc>
        <w:tc>
          <w:tcPr>
            <w:tcW w:w="10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The Corporate Governance Committee shall comprise entirely of Independent Non-executive Directors, one of whom shall act as its chairman.</w:t>
            </w:r>
          </w:p>
        </w:tc>
        <w:tc>
          <w:tcPr>
            <w:tcW w:w="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Rule</w:t>
            </w:r>
          </w:p>
        </w:tc>
      </w:tr>
      <w:tr>
        <w:trPr>
          <w:trHeight w:val="218"/>
        </w:trPr>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5"/>
              </w:rPr>
              <w:t>8A.31</w:t>
            </w:r>
          </w:p>
        </w:tc>
      </w:tr>
      <w:tr>
        <w:trPr>
          <w:trHeight w:val="388"/>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122I.</w:t>
            </w:r>
          </w:p>
        </w:tc>
        <w:tc>
          <w:tcPr>
            <w:tcW w:w="10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The Corporate Governance Report produced by the Company pursuant to the Listing Rules shall include a summary of the work of the Corporate</w:t>
            </w:r>
          </w:p>
        </w:tc>
        <w:tc>
          <w:tcPr>
            <w:tcW w:w="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Rule</w:t>
            </w:r>
          </w:p>
        </w:tc>
      </w:tr>
      <w:tr>
        <w:trPr>
          <w:trHeight w:val="202"/>
        </w:trPr>
        <w:tc>
          <w:tcPr>
            <w:tcW w:w="520" w:type="dxa"/>
            <w:vAlign w:val="bottom"/>
          </w:tcPr>
          <w:p>
            <w:pPr>
              <w:spacing w:after="0"/>
              <w:rPr>
                <w:sz w:val="17"/>
                <w:szCs w:val="17"/>
                <w:color w:val="auto"/>
              </w:rPr>
            </w:pPr>
          </w:p>
        </w:tc>
        <w:tc>
          <w:tcPr>
            <w:tcW w:w="10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99"/>
              </w:rPr>
              <w:t>Governance Committee, with regards to its duties as set out in Article 122G, for the accounting period covered by both the half-yearly and annual</w:t>
            </w:r>
          </w:p>
        </w:tc>
        <w:tc>
          <w:tcPr>
            <w:tcW w:w="52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5"/>
              </w:rPr>
              <w:t>8A.32</w:t>
            </w:r>
          </w:p>
        </w:tc>
      </w:tr>
      <w:tr>
        <w:trPr>
          <w:trHeight w:val="202"/>
        </w:trPr>
        <w:tc>
          <w:tcPr>
            <w:tcW w:w="520" w:type="dxa"/>
            <w:vAlign w:val="bottom"/>
          </w:tcPr>
          <w:p>
            <w:pPr>
              <w:spacing w:after="0"/>
              <w:rPr>
                <w:sz w:val="17"/>
                <w:szCs w:val="17"/>
                <w:color w:val="auto"/>
              </w:rPr>
            </w:pPr>
          </w:p>
        </w:tc>
        <w:tc>
          <w:tcPr>
            <w:tcW w:w="10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report and disclose any significant subsequent events for the period up to the date of publication of the half-yearly and annual report, to the extent</w:t>
            </w:r>
          </w:p>
        </w:tc>
        <w:tc>
          <w:tcPr>
            <w:tcW w:w="520" w:type="dxa"/>
            <w:vAlign w:val="bottom"/>
          </w:tcPr>
          <w:p>
            <w:pPr>
              <w:spacing w:after="0"/>
              <w:rPr>
                <w:sz w:val="17"/>
                <w:szCs w:val="17"/>
                <w:color w:val="auto"/>
              </w:rPr>
            </w:pPr>
          </w:p>
        </w:tc>
      </w:tr>
      <w:tr>
        <w:trPr>
          <w:trHeight w:val="218"/>
        </w:trPr>
        <w:tc>
          <w:tcPr>
            <w:tcW w:w="52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6"/>
              </w:rPr>
              <w:t>possible.</w:t>
            </w:r>
          </w:p>
        </w:tc>
        <w:tc>
          <w:tcPr>
            <w:tcW w:w="93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404"/>
        </w:trPr>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340" w:type="dxa"/>
            <w:vAlign w:val="bottom"/>
          </w:tcPr>
          <w:p>
            <w:pPr>
              <w:ind w:left="3440"/>
              <w:spacing w:after="0"/>
              <w:rPr>
                <w:sz w:val="20"/>
                <w:szCs w:val="20"/>
                <w:color w:val="auto"/>
              </w:rPr>
            </w:pPr>
            <w:r>
              <w:rPr>
                <w:rFonts w:ascii="Times New Roman" w:cs="Times New Roman" w:eastAsia="Times New Roman" w:hAnsi="Times New Roman"/>
                <w:sz w:val="17"/>
                <w:szCs w:val="17"/>
                <w:b w:val="1"/>
                <w:bCs w:val="1"/>
                <w:color w:val="auto"/>
              </w:rPr>
              <w:t>COMPLIANCE ADVISER</w:t>
            </w:r>
          </w:p>
        </w:tc>
        <w:tc>
          <w:tcPr>
            <w:tcW w:w="520" w:type="dxa"/>
            <w:vAlign w:val="bottom"/>
          </w:tcPr>
          <w:p>
            <w:pPr>
              <w:spacing w:after="0"/>
              <w:rPr>
                <w:sz w:val="24"/>
                <w:szCs w:val="24"/>
                <w:color w:val="auto"/>
              </w:rPr>
            </w:pPr>
          </w:p>
        </w:tc>
      </w:tr>
      <w:tr>
        <w:trPr>
          <w:trHeight w:val="388"/>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122J.</w:t>
            </w:r>
          </w:p>
        </w:tc>
        <w:tc>
          <w:tcPr>
            <w:tcW w:w="10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The Company shall appoint a Compliance Adviser on a permanent basis. The Board shall consult with and, if necessary, seek advice from the</w:t>
            </w:r>
          </w:p>
        </w:tc>
        <w:tc>
          <w:tcPr>
            <w:tcW w:w="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Rule</w:t>
            </w:r>
          </w:p>
        </w:tc>
      </w:tr>
      <w:tr>
        <w:trPr>
          <w:trHeight w:val="218"/>
        </w:trPr>
        <w:tc>
          <w:tcPr>
            <w:tcW w:w="520" w:type="dxa"/>
            <w:vAlign w:val="bottom"/>
          </w:tcPr>
          <w:p>
            <w:pPr>
              <w:spacing w:after="0"/>
              <w:rPr>
                <w:sz w:val="18"/>
                <w:szCs w:val="18"/>
                <w:color w:val="auto"/>
              </w:rPr>
            </w:pPr>
          </w:p>
        </w:tc>
        <w:tc>
          <w:tcPr>
            <w:tcW w:w="10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Compliance Adviser, on a timely and ongoing basis, in the following circumstances:</w:t>
            </w:r>
          </w:p>
        </w:tc>
        <w:tc>
          <w:tcPr>
            <w:tcW w:w="52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5"/>
              </w:rPr>
              <w:t>8A.33</w:t>
            </w:r>
          </w:p>
        </w:tc>
      </w:tr>
      <w:tr>
        <w:trPr>
          <w:trHeight w:val="404"/>
        </w:trPr>
        <w:tc>
          <w:tcPr>
            <w:tcW w:w="52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w:t>
            </w:r>
          </w:p>
        </w:tc>
        <w:tc>
          <w:tcPr>
            <w:tcW w:w="9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before the publication of any regulatory announcement, circular or financial report by the Company;</w:t>
            </w:r>
          </w:p>
        </w:tc>
        <w:tc>
          <w:tcPr>
            <w:tcW w:w="520" w:type="dxa"/>
            <w:vAlign w:val="bottom"/>
          </w:tcPr>
          <w:p>
            <w:pPr>
              <w:spacing w:after="0"/>
              <w:rPr>
                <w:sz w:val="24"/>
                <w:szCs w:val="24"/>
                <w:color w:val="auto"/>
              </w:rPr>
            </w:pPr>
          </w:p>
        </w:tc>
      </w:tr>
      <w:tr>
        <w:trPr>
          <w:trHeight w:val="388"/>
        </w:trPr>
        <w:tc>
          <w:tcPr>
            <w:tcW w:w="52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w:t>
            </w:r>
          </w:p>
        </w:tc>
        <w:tc>
          <w:tcPr>
            <w:tcW w:w="9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where a transaction, which might be a notifiable or connected transaction (as defined in the Listing Rules), is contemplated by the</w:t>
            </w:r>
          </w:p>
        </w:tc>
        <w:tc>
          <w:tcPr>
            <w:tcW w:w="520" w:type="dxa"/>
            <w:vAlign w:val="bottom"/>
          </w:tcPr>
          <w:p>
            <w:pPr>
              <w:spacing w:after="0"/>
              <w:rPr>
                <w:sz w:val="24"/>
                <w:szCs w:val="24"/>
                <w:color w:val="auto"/>
              </w:rPr>
            </w:pPr>
          </w:p>
        </w:tc>
      </w:tr>
      <w:tr>
        <w:trPr>
          <w:trHeight w:val="218"/>
        </w:trPr>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Company including share issues and share repurchases;</w:t>
            </w:r>
          </w:p>
        </w:tc>
        <w:tc>
          <w:tcPr>
            <w:tcW w:w="520" w:type="dxa"/>
            <w:vAlign w:val="bottom"/>
          </w:tcPr>
          <w:p>
            <w:pPr>
              <w:spacing w:after="0"/>
              <w:rPr>
                <w:sz w:val="18"/>
                <w:szCs w:val="18"/>
                <w:color w:val="auto"/>
              </w:rPr>
            </w:pPr>
          </w:p>
        </w:tc>
      </w:tr>
      <w:tr>
        <w:trPr>
          <w:trHeight w:val="388"/>
        </w:trPr>
        <w:tc>
          <w:tcPr>
            <w:tcW w:w="52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w:t>
            </w:r>
          </w:p>
        </w:tc>
        <w:tc>
          <w:tcPr>
            <w:tcW w:w="9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where the Company proposes to use the proceeds of its initial public offering on the HK Stock Exchange in a manner different from that</w:t>
            </w:r>
          </w:p>
        </w:tc>
        <w:tc>
          <w:tcPr>
            <w:tcW w:w="520" w:type="dxa"/>
            <w:vAlign w:val="bottom"/>
          </w:tcPr>
          <w:p>
            <w:pPr>
              <w:spacing w:after="0"/>
              <w:rPr>
                <w:sz w:val="24"/>
                <w:szCs w:val="24"/>
                <w:color w:val="auto"/>
              </w:rPr>
            </w:pPr>
          </w:p>
        </w:tc>
      </w:tr>
      <w:tr>
        <w:trPr>
          <w:trHeight w:val="202"/>
        </w:trPr>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details in the listing document in respect of such initial public offering, or where the business activities, developments or results of the</w:t>
            </w:r>
          </w:p>
        </w:tc>
        <w:tc>
          <w:tcPr>
            <w:tcW w:w="520" w:type="dxa"/>
            <w:vAlign w:val="bottom"/>
          </w:tcPr>
          <w:p>
            <w:pPr>
              <w:spacing w:after="0"/>
              <w:rPr>
                <w:sz w:val="17"/>
                <w:szCs w:val="17"/>
                <w:color w:val="auto"/>
              </w:rPr>
            </w:pPr>
          </w:p>
        </w:tc>
      </w:tr>
      <w:tr>
        <w:trPr>
          <w:trHeight w:val="218"/>
        </w:trPr>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Company deviate from any forecast, estimate or other information set out in such listing document; and</w:t>
            </w:r>
          </w:p>
        </w:tc>
        <w:tc>
          <w:tcPr>
            <w:tcW w:w="520" w:type="dxa"/>
            <w:vAlign w:val="bottom"/>
          </w:tcPr>
          <w:p>
            <w:pPr>
              <w:spacing w:after="0"/>
              <w:rPr>
                <w:sz w:val="18"/>
                <w:szCs w:val="18"/>
                <w:color w:val="auto"/>
              </w:rPr>
            </w:pPr>
          </w:p>
        </w:tc>
      </w:tr>
      <w:tr>
        <w:trPr>
          <w:trHeight w:val="404"/>
        </w:trPr>
        <w:tc>
          <w:tcPr>
            <w:tcW w:w="52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w:t>
            </w:r>
          </w:p>
        </w:tc>
        <w:tc>
          <w:tcPr>
            <w:tcW w:w="9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where the HK Stock Exchange makes an inquiry of the Company under the Listing Rules.</w:t>
            </w:r>
          </w:p>
        </w:tc>
        <w:tc>
          <w:tcPr>
            <w:tcW w:w="520" w:type="dxa"/>
            <w:vAlign w:val="bottom"/>
          </w:tcPr>
          <w:p>
            <w:pPr>
              <w:spacing w:after="0"/>
              <w:rPr>
                <w:sz w:val="24"/>
                <w:szCs w:val="24"/>
                <w:color w:val="auto"/>
              </w:rPr>
            </w:pPr>
          </w:p>
        </w:tc>
      </w:tr>
    </w:tbl>
    <w:p>
      <w:pPr>
        <w:spacing w:after="0" w:line="18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6"/>
          <w:szCs w:val="16"/>
          <w:color w:val="auto"/>
        </w:rPr>
        <w:t>122K.</w:t>
        <w:tab/>
        <w:t>The Board shall also consult with and, if necessary, seek advice from the Compliance Adviser, on a timely and ongoing basis, on any matters related Rule</w:t>
      </w:r>
    </w:p>
    <w:p>
      <w:pPr>
        <w:spacing w:after="0" w:line="34" w:lineRule="exact"/>
        <w:rPr>
          <w:sz w:val="20"/>
          <w:szCs w:val="20"/>
          <w:color w:val="auto"/>
        </w:rPr>
      </w:pPr>
    </w:p>
    <w:tbl>
      <w:tblPr>
        <w:tblLayout w:type="fixed"/>
        <w:tblInd w:w="600" w:type="dxa"/>
        <w:tblCellMar>
          <w:top w:w="0" w:type="dxa"/>
          <w:left w:w="0" w:type="dxa"/>
          <w:bottom w:w="0" w:type="dxa"/>
          <w:right w:w="0" w:type="dxa"/>
        </w:tblCellMar>
      </w:tblPr>
      <w:tr>
        <w:trPr>
          <w:trHeight w:val="218"/>
        </w:trPr>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to:</w:t>
            </w:r>
          </w:p>
        </w:tc>
        <w:tc>
          <w:tcPr>
            <w:tcW w:w="5340" w:type="dxa"/>
            <w:vAlign w:val="bottom"/>
          </w:tcPr>
          <w:p>
            <w:pPr>
              <w:ind w:left="4920"/>
              <w:spacing w:after="0"/>
              <w:rPr>
                <w:sz w:val="20"/>
                <w:szCs w:val="20"/>
                <w:color w:val="auto"/>
              </w:rPr>
            </w:pPr>
            <w:r>
              <w:rPr>
                <w:rFonts w:ascii="Times New Roman" w:cs="Times New Roman" w:eastAsia="Times New Roman" w:hAnsi="Times New Roman"/>
                <w:sz w:val="17"/>
                <w:szCs w:val="17"/>
                <w:color w:val="auto"/>
                <w:w w:val="95"/>
              </w:rPr>
              <w:t>8A.34</w:t>
            </w:r>
          </w:p>
        </w:tc>
      </w:tr>
    </w:tbl>
    <w:p>
      <w:pPr>
        <w:spacing w:after="0" w:line="196" w:lineRule="exact"/>
        <w:rPr>
          <w:sz w:val="20"/>
          <w:szCs w:val="20"/>
          <w:color w:val="auto"/>
        </w:rPr>
      </w:pPr>
    </w:p>
    <w:p>
      <w:pPr>
        <w:ind w:left="1220" w:hanging="612"/>
        <w:spacing w:after="0"/>
        <w:tabs>
          <w:tab w:leader="none" w:pos="12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 voting rights structure of the Company;</w:t>
      </w:r>
    </w:p>
    <w:p>
      <w:pPr>
        <w:spacing w:after="0" w:line="208" w:lineRule="exact"/>
        <w:rPr>
          <w:rFonts w:ascii="Times New Roman" w:cs="Times New Roman" w:eastAsia="Times New Roman" w:hAnsi="Times New Roman"/>
          <w:sz w:val="17"/>
          <w:szCs w:val="17"/>
          <w:color w:val="auto"/>
        </w:rPr>
      </w:pPr>
    </w:p>
    <w:p>
      <w:pPr>
        <w:ind w:left="1220" w:hanging="612"/>
        <w:spacing w:after="0"/>
        <w:tabs>
          <w:tab w:leader="none" w:pos="12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in which the holder of Class C Ordinary Shares has an interest; and</w:t>
      </w:r>
    </w:p>
    <w:p>
      <w:pPr>
        <w:spacing w:after="0" w:line="208" w:lineRule="exact"/>
        <w:rPr>
          <w:rFonts w:ascii="Times New Roman" w:cs="Times New Roman" w:eastAsia="Times New Roman" w:hAnsi="Times New Roman"/>
          <w:sz w:val="17"/>
          <w:szCs w:val="17"/>
          <w:color w:val="auto"/>
        </w:rPr>
      </w:pPr>
    </w:p>
    <w:p>
      <w:pPr>
        <w:ind w:left="1220" w:right="900" w:hanging="612"/>
        <w:spacing w:after="0" w:line="275" w:lineRule="auto"/>
        <w:tabs>
          <w:tab w:leader="none" w:pos="12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there is a potential conflict of interest between the Company, a subsidiary of the Company and/or holders of Class A Ordinary Shares (considered as a group) on the one hand, and any holder of Class C Ordinary Shares on the other.</w:t>
      </w:r>
    </w:p>
    <w:p>
      <w:pPr>
        <w:spacing w:after="0" w:line="15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PRESUMPTION OF ASSENT</w:t>
      </w:r>
    </w:p>
    <w:p>
      <w:pPr>
        <w:spacing w:after="0" w:line="213" w:lineRule="exact"/>
        <w:rPr>
          <w:sz w:val="20"/>
          <w:szCs w:val="20"/>
          <w:color w:val="auto"/>
        </w:rPr>
      </w:pPr>
    </w:p>
    <w:p>
      <w:pPr>
        <w:ind w:left="600" w:right="540" w:hanging="599"/>
        <w:spacing w:after="0" w:line="255" w:lineRule="auto"/>
        <w:tabs>
          <w:tab w:leader="none" w:pos="6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Director who is Present at a meeting of the Board of Directors at which an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37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060"/>
          </w:cols>
          <w:pgMar w:left="320" w:top="856" w:right="519" w:bottom="1440" w:gutter="0" w:footer="0" w:header="0"/>
        </w:sectPr>
      </w:pPr>
    </w:p>
    <w:bookmarkStart w:id="39" w:name="page40"/>
    <w:bookmarkEnd w:id="39"/>
    <w:p>
      <w:pPr>
        <w:ind w:left="5159"/>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13" w:lineRule="exact"/>
        <w:rPr>
          <w:sz w:val="20"/>
          <w:szCs w:val="20"/>
          <w:color w:val="auto"/>
        </w:rPr>
      </w:pPr>
    </w:p>
    <w:p>
      <w:pPr>
        <w:ind w:left="599" w:right="40" w:hanging="599"/>
        <w:spacing w:after="0" w:line="262" w:lineRule="auto"/>
        <w:tabs>
          <w:tab w:leader="none" w:pos="599"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any rights and restrictions for the time being attached to any Shares, the Directors may from time to time declare dividends (including interim dividends) and other distributions on Shares in issue and authorise payment of the same out of the funds of the Company lawfully available therefor.</w:t>
      </w:r>
    </w:p>
    <w:p>
      <w:pPr>
        <w:spacing w:after="0" w:line="168" w:lineRule="exact"/>
        <w:rPr>
          <w:rFonts w:ascii="Times New Roman" w:cs="Times New Roman" w:eastAsia="Times New Roman" w:hAnsi="Times New Roman"/>
          <w:sz w:val="17"/>
          <w:szCs w:val="17"/>
          <w:color w:val="auto"/>
        </w:rPr>
      </w:pPr>
    </w:p>
    <w:p>
      <w:pPr>
        <w:ind w:left="599" w:hanging="599"/>
        <w:spacing w:after="0" w:line="275" w:lineRule="auto"/>
        <w:tabs>
          <w:tab w:leader="none" w:pos="599"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any rights and restrictions for the time being attached to any Shares, the Company by Ordinary Resolution may declare dividends, but no dividend shall exceed the amount recommended by the Directors.</w:t>
      </w:r>
    </w:p>
    <w:p>
      <w:pPr>
        <w:spacing w:after="0" w:line="158" w:lineRule="exact"/>
        <w:rPr>
          <w:rFonts w:ascii="Times New Roman" w:cs="Times New Roman" w:eastAsia="Times New Roman" w:hAnsi="Times New Roman"/>
          <w:sz w:val="17"/>
          <w:szCs w:val="17"/>
          <w:color w:val="auto"/>
        </w:rPr>
      </w:pPr>
    </w:p>
    <w:p>
      <w:pPr>
        <w:ind w:left="599" w:right="140" w:hanging="599"/>
        <w:spacing w:after="0" w:line="255" w:lineRule="auto"/>
        <w:tabs>
          <w:tab w:leader="none" w:pos="599"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equalising dividends or for any other purpose to which those funds may be properly applied, and pending such application may in the absolute discretion of the Directors, either be employed in the business of the Company or be invested in such investments (other than Shares of the Company) as the Directors may from time to time think fit.</w:t>
      </w:r>
    </w:p>
    <w:p>
      <w:pPr>
        <w:spacing w:after="0" w:line="174" w:lineRule="exact"/>
        <w:rPr>
          <w:rFonts w:ascii="Times New Roman" w:cs="Times New Roman" w:eastAsia="Times New Roman" w:hAnsi="Times New Roman"/>
          <w:sz w:val="17"/>
          <w:szCs w:val="17"/>
          <w:color w:val="auto"/>
        </w:rPr>
      </w:pPr>
    </w:p>
    <w:p>
      <w:pPr>
        <w:ind w:left="599" w:right="160" w:hanging="599"/>
        <w:spacing w:after="0" w:line="255" w:lineRule="auto"/>
        <w:tabs>
          <w:tab w:leader="none" w:pos="599"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dividend payable in cash to the holder of Shares may be paid in any manner determined by the Directors. If paid by cheque it will be sent by mail addressed to the holder at his address in the Register, or addressed to such person and at such addresses as the holder may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w:t>
      </w:r>
    </w:p>
    <w:p>
      <w:pPr>
        <w:spacing w:after="0" w:line="174" w:lineRule="exact"/>
        <w:rPr>
          <w:rFonts w:ascii="Times New Roman" w:cs="Times New Roman" w:eastAsia="Times New Roman" w:hAnsi="Times New Roman"/>
          <w:sz w:val="17"/>
          <w:szCs w:val="17"/>
          <w:color w:val="auto"/>
        </w:rPr>
      </w:pPr>
    </w:p>
    <w:p>
      <w:pPr>
        <w:ind w:left="599" w:right="20" w:hanging="599"/>
        <w:spacing w:after="0" w:line="257" w:lineRule="auto"/>
        <w:tabs>
          <w:tab w:leader="none" w:pos="599"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determine that a dividend shall be paid wholly or partly by the distribution of specific assets (which may consist of the shares or securities of any other company) and may settle all questions concerning such distribution. Without limiting the generality of the foregoing, the Directors may fix the value of such specific assets, may determine that cash payment shall be made to some Shareholders in lieu of specific assets and may vest any such specific assets in trustees on such terms as the Directors think fit.</w:t>
      </w:r>
    </w:p>
    <w:p>
      <w:pPr>
        <w:spacing w:after="0" w:line="173" w:lineRule="exact"/>
        <w:rPr>
          <w:rFonts w:ascii="Times New Roman" w:cs="Times New Roman" w:eastAsia="Times New Roman" w:hAnsi="Times New Roman"/>
          <w:sz w:val="17"/>
          <w:szCs w:val="17"/>
          <w:color w:val="auto"/>
        </w:rPr>
      </w:pPr>
    </w:p>
    <w:p>
      <w:pPr>
        <w:ind w:left="599" w:right="120" w:hanging="599"/>
        <w:spacing w:after="0" w:line="257" w:lineRule="auto"/>
        <w:tabs>
          <w:tab w:leader="none" w:pos="599"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No amount paid on a Share in advance of calls shall, while carrying interest, be treated for the purposes of this Article as paid on the Share.</w:t>
      </w:r>
    </w:p>
    <w:p>
      <w:pPr>
        <w:spacing w:after="0" w:line="173" w:lineRule="exact"/>
        <w:rPr>
          <w:rFonts w:ascii="Times New Roman" w:cs="Times New Roman" w:eastAsia="Times New Roman" w:hAnsi="Times New Roman"/>
          <w:sz w:val="17"/>
          <w:szCs w:val="17"/>
          <w:color w:val="auto"/>
        </w:rPr>
      </w:pPr>
    </w:p>
    <w:p>
      <w:pPr>
        <w:ind w:left="599" w:right="20" w:hanging="599"/>
        <w:spacing w:after="0" w:line="275" w:lineRule="auto"/>
        <w:tabs>
          <w:tab w:leader="none" w:pos="599"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several Persons are registered as joint holders of any Share, any of them may give effective receipts for any dividend or other moneys payable on or in respect of the Share.</w:t>
      </w:r>
    </w:p>
    <w:p>
      <w:pPr>
        <w:spacing w:after="0" w:line="158" w:lineRule="exact"/>
        <w:rPr>
          <w:rFonts w:ascii="Times New Roman" w:cs="Times New Roman" w:eastAsia="Times New Roman" w:hAnsi="Times New Roman"/>
          <w:sz w:val="17"/>
          <w:szCs w:val="17"/>
          <w:color w:val="auto"/>
        </w:rPr>
      </w:pPr>
    </w:p>
    <w:p>
      <w:pPr>
        <w:ind w:left="599" w:hanging="599"/>
        <w:spacing w:after="0"/>
        <w:tabs>
          <w:tab w:leader="none" w:pos="599"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dividend shall bear interest against the Company.</w:t>
      </w:r>
    </w:p>
    <w:p>
      <w:pPr>
        <w:spacing w:after="0" w:line="208" w:lineRule="exact"/>
        <w:rPr>
          <w:rFonts w:ascii="Times New Roman" w:cs="Times New Roman" w:eastAsia="Times New Roman" w:hAnsi="Times New Roman"/>
          <w:sz w:val="17"/>
          <w:szCs w:val="17"/>
          <w:color w:val="auto"/>
        </w:rPr>
      </w:pPr>
    </w:p>
    <w:p>
      <w:pPr>
        <w:ind w:left="599" w:right="600" w:hanging="599"/>
        <w:spacing w:after="0" w:line="275" w:lineRule="auto"/>
        <w:tabs>
          <w:tab w:leader="none" w:pos="599"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dividend unclaimed after a period of six calendar years from the date of declaration of such dividend may be forfeited by the Board of Directors and, if so forfeited, shall revert to the Company.</w:t>
      </w:r>
    </w:p>
    <w:p>
      <w:pPr>
        <w:spacing w:after="0" w:line="155" w:lineRule="exact"/>
        <w:rPr>
          <w:sz w:val="20"/>
          <w:szCs w:val="20"/>
          <w:color w:val="auto"/>
        </w:rPr>
      </w:pPr>
    </w:p>
    <w:p>
      <w:pPr>
        <w:ind w:left="3019"/>
        <w:spacing w:after="0"/>
        <w:rPr>
          <w:sz w:val="20"/>
          <w:szCs w:val="20"/>
          <w:color w:val="auto"/>
        </w:rPr>
      </w:pPr>
      <w:r>
        <w:rPr>
          <w:rFonts w:ascii="Times New Roman" w:cs="Times New Roman" w:eastAsia="Times New Roman" w:hAnsi="Times New Roman"/>
          <w:sz w:val="17"/>
          <w:szCs w:val="17"/>
          <w:b w:val="1"/>
          <w:bCs w:val="1"/>
          <w:color w:val="auto"/>
        </w:rPr>
        <w:t>ACCOUNTS, AUDIT AND ANNUAL RETURN AND DECLARATION</w:t>
      </w:r>
    </w:p>
    <w:p>
      <w:pPr>
        <w:spacing w:after="0" w:line="213" w:lineRule="exact"/>
        <w:rPr>
          <w:sz w:val="20"/>
          <w:szCs w:val="20"/>
          <w:color w:val="auto"/>
        </w:rPr>
      </w:pPr>
    </w:p>
    <w:p>
      <w:pPr>
        <w:ind w:left="599" w:hanging="599"/>
        <w:spacing w:after="0"/>
        <w:tabs>
          <w:tab w:leader="none" w:pos="59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books of account relating to the Company's affairs shall be kept in such manner as may be determined from time to time by the Directors.</w:t>
      </w:r>
    </w:p>
    <w:p>
      <w:pPr>
        <w:spacing w:after="0" w:line="208" w:lineRule="exact"/>
        <w:rPr>
          <w:rFonts w:ascii="Times New Roman" w:cs="Times New Roman" w:eastAsia="Times New Roman" w:hAnsi="Times New Roman"/>
          <w:sz w:val="17"/>
          <w:szCs w:val="17"/>
          <w:color w:val="auto"/>
        </w:rPr>
      </w:pPr>
    </w:p>
    <w:p>
      <w:pPr>
        <w:ind w:left="599" w:right="180" w:hanging="599"/>
        <w:spacing w:after="0" w:line="275" w:lineRule="auto"/>
        <w:tabs>
          <w:tab w:leader="none" w:pos="59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books of account shall be kept at the Registered Office, or at such other place or places as the Directors think fit, and shall always be open to the inspection of the Directors.</w:t>
      </w:r>
    </w:p>
    <w:p>
      <w:pPr>
        <w:spacing w:after="0" w:line="158" w:lineRule="exact"/>
        <w:rPr>
          <w:rFonts w:ascii="Times New Roman" w:cs="Times New Roman" w:eastAsia="Times New Roman" w:hAnsi="Times New Roman"/>
          <w:sz w:val="17"/>
          <w:szCs w:val="17"/>
          <w:color w:val="auto"/>
        </w:rPr>
      </w:pPr>
    </w:p>
    <w:p>
      <w:pPr>
        <w:ind w:left="599" w:right="20" w:hanging="599"/>
        <w:spacing w:after="0" w:line="257" w:lineRule="auto"/>
        <w:tabs>
          <w:tab w:leader="none" w:pos="59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to inspect any account or book or document of the Company except as conferred by law or authorised by the Directors or by Ordinary Resolution.</w:t>
      </w:r>
    </w:p>
    <w:p>
      <w:pPr>
        <w:spacing w:after="0" w:line="376" w:lineRule="exact"/>
        <w:rPr>
          <w:sz w:val="20"/>
          <w:szCs w:val="20"/>
          <w:color w:val="auto"/>
        </w:rPr>
      </w:pPr>
    </w:p>
    <w:p>
      <w:pPr>
        <w:ind w:left="553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559"/>
          </w:cols>
          <w:pgMar w:left="321" w:top="852" w:right="1019" w:bottom="1440" w:gutter="0" w:footer="0" w:header="0"/>
        </w:sectPr>
      </w:pPr>
    </w:p>
    <w:bookmarkStart w:id="40" w:name="page41"/>
    <w:bookmarkEnd w:id="40"/>
    <w:p>
      <w:pPr>
        <w:ind w:left="599" w:right="520" w:hanging="599"/>
        <w:spacing w:after="0" w:line="275" w:lineRule="auto"/>
        <w:tabs>
          <w:tab w:leader="none" w:pos="599"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accounts relating to the Company's affairs shall be audited in such manner and with such financial year end as may be determined from time to time by the Directors or failing any determination as aforesaid shall not be audited.</w:t>
      </w:r>
    </w:p>
    <w:p>
      <w:pPr>
        <w:spacing w:after="0" w:line="158" w:lineRule="exact"/>
        <w:rPr>
          <w:rFonts w:ascii="Times New Roman" w:cs="Times New Roman" w:eastAsia="Times New Roman" w:hAnsi="Times New Roman"/>
          <w:sz w:val="17"/>
          <w:szCs w:val="17"/>
          <w:color w:val="auto"/>
        </w:rPr>
      </w:pPr>
    </w:p>
    <w:p>
      <w:pPr>
        <w:ind w:left="599" w:hanging="599"/>
        <w:spacing w:after="0"/>
        <w:tabs>
          <w:tab w:leader="none" w:pos="599"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at every annual general meeting by Ordinary Resolution appoint an auditor of the Company who shall hold office until the next App 3</w:t>
      </w:r>
    </w:p>
    <w:p>
      <w:pPr>
        <w:spacing w:after="0" w:line="34" w:lineRule="exact"/>
        <w:rPr>
          <w:sz w:val="20"/>
          <w:szCs w:val="20"/>
          <w:color w:val="auto"/>
        </w:rPr>
      </w:pPr>
    </w:p>
    <w:p>
      <w:pPr>
        <w:ind w:left="599" w:right="160"/>
        <w:spacing w:after="0" w:line="248" w:lineRule="auto"/>
        <w:rPr>
          <w:sz w:val="20"/>
          <w:szCs w:val="20"/>
          <w:color w:val="auto"/>
        </w:rPr>
      </w:pPr>
      <w:r>
        <w:rPr>
          <w:rFonts w:ascii="Times New Roman" w:cs="Times New Roman" w:eastAsia="Times New Roman" w:hAnsi="Times New Roman"/>
          <w:sz w:val="17"/>
          <w:szCs w:val="17"/>
          <w:color w:val="auto"/>
        </w:rPr>
        <w:t>annual general meeting of the Company. The Company may by Ordinary Resolution remove an auditor before the expiration of such auditor's term r.17 of office. No person may be appointed as an auditor unless such person is independent of the Company. The remuneration of the auditors shall be fixed by the Company at the annual general meeting at which they are appointed by Ordinary Resolution, provided that in respect of any particular year the Company in general meeting may delegate the fixing of such remuneration to the Directors or any committee of the Directors. If the office</w:t>
      </w:r>
    </w:p>
    <w:p>
      <w:pPr>
        <w:spacing w:after="0" w:line="1" w:lineRule="exact"/>
        <w:rPr>
          <w:sz w:val="20"/>
          <w:szCs w:val="20"/>
          <w:color w:val="auto"/>
        </w:rPr>
      </w:pPr>
    </w:p>
    <w:p>
      <w:pPr>
        <w:ind w:left="599" w:right="760"/>
        <w:spacing w:after="0" w:line="256" w:lineRule="auto"/>
        <w:rPr>
          <w:sz w:val="20"/>
          <w:szCs w:val="20"/>
          <w:color w:val="auto"/>
        </w:rPr>
      </w:pPr>
      <w:r>
        <w:rPr>
          <w:rFonts w:ascii="Times New Roman" w:cs="Times New Roman" w:eastAsia="Times New Roman" w:hAnsi="Times New Roman"/>
          <w:sz w:val="17"/>
          <w:szCs w:val="17"/>
          <w:color w:val="auto"/>
        </w:rPr>
        <w:t>of auditor becomes vacant by the resignation or death of the auditor, or by the auditor becoming incapable of acting by reason of illness or other disability, the Directors may fill the casual vacancy in the office of Auditor and fix the remuneration of the Auditor so appointed.</w:t>
      </w:r>
    </w:p>
    <w:p>
      <w:pPr>
        <w:spacing w:after="0" w:line="174" w:lineRule="exact"/>
        <w:rPr>
          <w:sz w:val="20"/>
          <w:szCs w:val="20"/>
          <w:color w:val="auto"/>
        </w:rPr>
      </w:pPr>
    </w:p>
    <w:p>
      <w:pPr>
        <w:ind w:left="599" w:right="540" w:hanging="599"/>
        <w:spacing w:after="0" w:line="257" w:lineRule="auto"/>
        <w:tabs>
          <w:tab w:leader="none" w:pos="599"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his or their duties, and the auditors shall audit every balance sheet and profit and loss account of the Company in each year and prepare an auditors' report thereon to be annexed thereto. Such report shall be laid before the Company in the annual general meeting.</w:t>
      </w:r>
    </w:p>
    <w:p>
      <w:pPr>
        <w:spacing w:after="0" w:line="173" w:lineRule="exact"/>
        <w:rPr>
          <w:rFonts w:ascii="Times New Roman" w:cs="Times New Roman" w:eastAsia="Times New Roman" w:hAnsi="Times New Roman"/>
          <w:sz w:val="17"/>
          <w:szCs w:val="17"/>
          <w:color w:val="auto"/>
        </w:rPr>
      </w:pPr>
    </w:p>
    <w:p>
      <w:pPr>
        <w:ind w:left="599" w:right="700" w:hanging="599"/>
        <w:spacing w:after="0" w:line="262" w:lineRule="auto"/>
        <w:tabs>
          <w:tab w:leader="none" w:pos="599"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Members.</w:t>
      </w:r>
    </w:p>
    <w:p>
      <w:pPr>
        <w:spacing w:after="0" w:line="168" w:lineRule="exact"/>
        <w:rPr>
          <w:rFonts w:ascii="Times New Roman" w:cs="Times New Roman" w:eastAsia="Times New Roman" w:hAnsi="Times New Roman"/>
          <w:sz w:val="17"/>
          <w:szCs w:val="17"/>
          <w:color w:val="auto"/>
        </w:rPr>
      </w:pPr>
    </w:p>
    <w:p>
      <w:pPr>
        <w:ind w:left="599" w:right="580" w:hanging="599"/>
        <w:spacing w:after="0" w:line="275" w:lineRule="auto"/>
        <w:tabs>
          <w:tab w:leader="none" w:pos="599"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in each calendar year shall prepare, or cause to be prepared, an annual return and declaration setting forth the particulars required by the Companies Act and deliver a copy thereof to the Registrar of Companies in the Cayman Islands.</w:t>
      </w:r>
    </w:p>
    <w:p>
      <w:pPr>
        <w:spacing w:after="0" w:line="155" w:lineRule="exact"/>
        <w:rPr>
          <w:sz w:val="20"/>
          <w:szCs w:val="20"/>
          <w:color w:val="auto"/>
        </w:rPr>
      </w:pPr>
    </w:p>
    <w:p>
      <w:pPr>
        <w:jc w:val="center"/>
        <w:ind w:right="-198"/>
        <w:spacing w:after="0"/>
        <w:rPr>
          <w:sz w:val="20"/>
          <w:szCs w:val="20"/>
          <w:color w:val="auto"/>
        </w:rPr>
      </w:pPr>
      <w:r>
        <w:rPr>
          <w:rFonts w:ascii="Times New Roman" w:cs="Times New Roman" w:eastAsia="Times New Roman" w:hAnsi="Times New Roman"/>
          <w:sz w:val="17"/>
          <w:szCs w:val="17"/>
          <w:b w:val="1"/>
          <w:bCs w:val="1"/>
          <w:color w:val="auto"/>
        </w:rPr>
        <w:t>CAPITALISATION OF RESERVES</w:t>
      </w:r>
    </w:p>
    <w:p>
      <w:pPr>
        <w:spacing w:after="0" w:line="213" w:lineRule="exact"/>
        <w:rPr>
          <w:sz w:val="20"/>
          <w:szCs w:val="20"/>
          <w:color w:val="auto"/>
        </w:rPr>
      </w:pPr>
    </w:p>
    <w:p>
      <w:pPr>
        <w:ind w:left="599" w:hanging="599"/>
        <w:spacing w:after="0"/>
        <w:tabs>
          <w:tab w:leader="none" w:pos="599"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Companies Act, the Directors may:</w:t>
      </w:r>
    </w:p>
    <w:p>
      <w:pPr>
        <w:spacing w:after="0" w:line="208" w:lineRule="exact"/>
        <w:rPr>
          <w:rFonts w:ascii="Times New Roman" w:cs="Times New Roman" w:eastAsia="Times New Roman" w:hAnsi="Times New Roman"/>
          <w:sz w:val="17"/>
          <w:szCs w:val="17"/>
          <w:color w:val="auto"/>
        </w:rPr>
      </w:pPr>
    </w:p>
    <w:p>
      <w:pPr>
        <w:ind w:left="1219" w:right="820" w:hanging="612"/>
        <w:spacing w:after="0" w:line="275" w:lineRule="auto"/>
        <w:tabs>
          <w:tab w:leader="none" w:pos="1219"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resolve to capitalise an amount standing to the credit of reserves (including a Share Premium Account, capital redemption reserve and profit and loss account), which is available for distribution;</w:t>
      </w:r>
    </w:p>
    <w:p>
      <w:pPr>
        <w:spacing w:after="0" w:line="158" w:lineRule="exact"/>
        <w:rPr>
          <w:rFonts w:ascii="Times New Roman" w:cs="Times New Roman" w:eastAsia="Times New Roman" w:hAnsi="Times New Roman"/>
          <w:sz w:val="17"/>
          <w:szCs w:val="17"/>
          <w:color w:val="auto"/>
        </w:rPr>
      </w:pPr>
    </w:p>
    <w:p>
      <w:pPr>
        <w:ind w:left="1219" w:right="820" w:hanging="612"/>
        <w:spacing w:after="0" w:line="275" w:lineRule="auto"/>
        <w:tabs>
          <w:tab w:leader="none" w:pos="1219"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 the sum resolved to be capitalised to the Shareholders in proportion to the nominal amount of Shares (whether or not fully paid) held by them respectively and apply that sum on their behalf in or towards:</w:t>
      </w:r>
    </w:p>
    <w:p>
      <w:pPr>
        <w:spacing w:after="0" w:line="158" w:lineRule="exact"/>
        <w:rPr>
          <w:rFonts w:ascii="Times New Roman" w:cs="Times New Roman" w:eastAsia="Times New Roman" w:hAnsi="Times New Roman"/>
          <w:sz w:val="17"/>
          <w:szCs w:val="17"/>
          <w:color w:val="auto"/>
        </w:rPr>
      </w:pPr>
    </w:p>
    <w:p>
      <w:pPr>
        <w:ind w:left="1819" w:hanging="606"/>
        <w:spacing w:after="0"/>
        <w:tabs>
          <w:tab w:leader="none" w:pos="1819" w:val="left"/>
        </w:tabs>
        <w:numPr>
          <w:ilvl w:val="2"/>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paying up the amounts (if any) for the time being unpaid on Shares held by them respectively, or</w:t>
      </w:r>
    </w:p>
    <w:p>
      <w:pPr>
        <w:spacing w:after="0" w:line="208" w:lineRule="exact"/>
        <w:rPr>
          <w:rFonts w:ascii="Times New Roman" w:cs="Times New Roman" w:eastAsia="Times New Roman" w:hAnsi="Times New Roman"/>
          <w:sz w:val="17"/>
          <w:szCs w:val="17"/>
          <w:color w:val="auto"/>
        </w:rPr>
      </w:pPr>
    </w:p>
    <w:p>
      <w:pPr>
        <w:ind w:left="1819" w:hanging="606"/>
        <w:spacing w:after="0"/>
        <w:tabs>
          <w:tab w:leader="none" w:pos="1819" w:val="left"/>
        </w:tabs>
        <w:numPr>
          <w:ilvl w:val="2"/>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paying up in full unissued Shares or debentures of a nominal amount equal to that sum,</w:t>
      </w:r>
    </w:p>
    <w:p>
      <w:pPr>
        <w:spacing w:after="0" w:line="209" w:lineRule="exact"/>
        <w:rPr>
          <w:sz w:val="20"/>
          <w:szCs w:val="20"/>
          <w:color w:val="auto"/>
        </w:rPr>
      </w:pPr>
    </w:p>
    <w:p>
      <w:pPr>
        <w:jc w:val="both"/>
        <w:ind w:left="599" w:right="600"/>
        <w:spacing w:after="0" w:line="262" w:lineRule="auto"/>
        <w:rPr>
          <w:sz w:val="20"/>
          <w:szCs w:val="20"/>
          <w:color w:val="auto"/>
        </w:rPr>
      </w:pPr>
      <w:r>
        <w:rPr>
          <w:rFonts w:ascii="Times New Roman" w:cs="Times New Roman" w:eastAsia="Times New Roman" w:hAnsi="Times New Roman"/>
          <w:sz w:val="17"/>
          <w:szCs w:val="17"/>
          <w:color w:val="auto"/>
        </w:rPr>
        <w:t>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Shareholders credited as fully paid;</w:t>
      </w:r>
    </w:p>
    <w:p>
      <w:pPr>
        <w:spacing w:after="0" w:line="168" w:lineRule="exact"/>
        <w:rPr>
          <w:sz w:val="20"/>
          <w:szCs w:val="20"/>
          <w:color w:val="auto"/>
        </w:rPr>
      </w:pPr>
    </w:p>
    <w:p>
      <w:pPr>
        <w:ind w:left="1219" w:right="780" w:hanging="612"/>
        <w:spacing w:after="0" w:line="308" w:lineRule="auto"/>
        <w:tabs>
          <w:tab w:leader="none" w:pos="1219"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arrangements they think fit to resolve a difficulty arising in the distribution of a capitalised reserve and in particular, without limitation, where Shares or debentures become distributable in fractions the Directors may deal with the fractions as they think fit;</w:t>
      </w:r>
    </w:p>
    <w:p>
      <w:pPr>
        <w:spacing w:after="0" w:line="134" w:lineRule="exact"/>
        <w:rPr>
          <w:rFonts w:ascii="Times New Roman" w:cs="Times New Roman" w:eastAsia="Times New Roman" w:hAnsi="Times New Roman"/>
          <w:sz w:val="16"/>
          <w:szCs w:val="16"/>
          <w:color w:val="auto"/>
        </w:rPr>
      </w:pPr>
    </w:p>
    <w:p>
      <w:pPr>
        <w:ind w:left="1219" w:hanging="612"/>
        <w:spacing w:after="0"/>
        <w:tabs>
          <w:tab w:leader="none" w:pos="1219"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authorise a Person to enter (on behalf of all the Shareholders concerned) into an agreement with the Company providing for either:</w:t>
      </w:r>
    </w:p>
    <w:p>
      <w:pPr>
        <w:spacing w:after="0" w:line="200" w:lineRule="exact"/>
        <w:rPr>
          <w:sz w:val="20"/>
          <w:szCs w:val="20"/>
          <w:color w:val="auto"/>
        </w:rPr>
      </w:pPr>
    </w:p>
    <w:p>
      <w:pPr>
        <w:spacing w:after="0" w:line="211" w:lineRule="exact"/>
        <w:rPr>
          <w:sz w:val="20"/>
          <w:szCs w:val="20"/>
          <w:color w:val="auto"/>
        </w:rPr>
      </w:pPr>
    </w:p>
    <w:p>
      <w:pPr>
        <w:jc w:val="center"/>
        <w:ind w:right="-198"/>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059"/>
          </w:cols>
          <w:pgMar w:left="321" w:top="856" w:right="519" w:bottom="1440" w:gutter="0" w:footer="0" w:header="0"/>
        </w:sectPr>
      </w:pPr>
    </w:p>
    <w:bookmarkStart w:id="41" w:name="page42"/>
    <w:bookmarkEnd w:id="41"/>
    <w:p>
      <w:pPr>
        <w:ind w:left="1819" w:hanging="606"/>
        <w:spacing w:after="0" w:line="275" w:lineRule="auto"/>
        <w:tabs>
          <w:tab w:leader="none" w:pos="1819"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allotment to the Shareholders respectively, credited as fully paid, of Shares or debentures to which they may be entitled on the capitalisation, or</w:t>
      </w:r>
    </w:p>
    <w:p>
      <w:pPr>
        <w:spacing w:after="0" w:line="158" w:lineRule="exact"/>
        <w:rPr>
          <w:rFonts w:ascii="Times New Roman" w:cs="Times New Roman" w:eastAsia="Times New Roman" w:hAnsi="Times New Roman"/>
          <w:sz w:val="17"/>
          <w:szCs w:val="17"/>
          <w:color w:val="auto"/>
        </w:rPr>
      </w:pPr>
    </w:p>
    <w:p>
      <w:pPr>
        <w:ind w:left="1819" w:right="320" w:hanging="606"/>
        <w:spacing w:after="0" w:line="275" w:lineRule="auto"/>
        <w:tabs>
          <w:tab w:leader="none" w:pos="1819"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by the Company on behalf of the Shareholders (by the application of their respective proportions of the reserves resolved to be capitalised) of the amounts or part of the amounts remaining unpaid on their existing Shares,</w:t>
      </w:r>
    </w:p>
    <w:p>
      <w:pPr>
        <w:spacing w:after="0" w:line="159" w:lineRule="exact"/>
        <w:rPr>
          <w:sz w:val="20"/>
          <w:szCs w:val="20"/>
          <w:color w:val="auto"/>
        </w:rPr>
      </w:pPr>
    </w:p>
    <w:p>
      <w:pPr>
        <w:ind w:left="599"/>
        <w:spacing w:after="0"/>
        <w:rPr>
          <w:sz w:val="20"/>
          <w:szCs w:val="20"/>
          <w:color w:val="auto"/>
        </w:rPr>
      </w:pPr>
      <w:r>
        <w:rPr>
          <w:rFonts w:ascii="Times New Roman" w:cs="Times New Roman" w:eastAsia="Times New Roman" w:hAnsi="Times New Roman"/>
          <w:sz w:val="17"/>
          <w:szCs w:val="17"/>
          <w:color w:val="auto"/>
        </w:rPr>
        <w:t>and any such agreement made under this authority being effective and binding on all those Shareholders; and</w:t>
      </w:r>
    </w:p>
    <w:p>
      <w:pPr>
        <w:spacing w:after="0" w:line="209" w:lineRule="exact"/>
        <w:rPr>
          <w:sz w:val="20"/>
          <w:szCs w:val="20"/>
          <w:color w:val="auto"/>
        </w:rPr>
      </w:pPr>
    </w:p>
    <w:p>
      <w:pPr>
        <w:ind w:left="1219" w:hanging="612"/>
        <w:spacing w:after="0"/>
        <w:tabs>
          <w:tab w:leader="none" w:pos="1219"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do all acts and things required to give effect to the resolution.</w:t>
      </w:r>
    </w:p>
    <w:p>
      <w:pPr>
        <w:spacing w:after="0" w:line="208" w:lineRule="exact"/>
        <w:rPr>
          <w:rFonts w:ascii="Times New Roman" w:cs="Times New Roman" w:eastAsia="Times New Roman" w:hAnsi="Times New Roman"/>
          <w:sz w:val="17"/>
          <w:szCs w:val="17"/>
          <w:color w:val="auto"/>
        </w:rPr>
      </w:pPr>
    </w:p>
    <w:p>
      <w:pPr>
        <w:ind w:left="599" w:right="20" w:hanging="599"/>
        <w:spacing w:after="0" w:line="262" w:lineRule="auto"/>
        <w:tabs>
          <w:tab w:leader="none" w:pos="599"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provisions in these Articles, the Directors may resolve to capitalise an amount standing to the credit of reserves (including the share premium account, capital redemption reserve and profit and loss account) or otherwise available for distribution by applying such sum in paying up in full unissued Shares to be allotted and issued to:</w:t>
      </w:r>
    </w:p>
    <w:p>
      <w:pPr>
        <w:spacing w:after="0" w:line="168" w:lineRule="exact"/>
        <w:rPr>
          <w:rFonts w:ascii="Times New Roman" w:cs="Times New Roman" w:eastAsia="Times New Roman" w:hAnsi="Times New Roman"/>
          <w:sz w:val="17"/>
          <w:szCs w:val="17"/>
          <w:color w:val="auto"/>
        </w:rPr>
      </w:pPr>
    </w:p>
    <w:p>
      <w:pPr>
        <w:jc w:val="both"/>
        <w:ind w:left="1219" w:right="200" w:hanging="612"/>
        <w:spacing w:after="0" w:line="262" w:lineRule="auto"/>
        <w:tabs>
          <w:tab w:leader="none" w:pos="1219"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68" w:lineRule="exact"/>
        <w:rPr>
          <w:rFonts w:ascii="Times New Roman" w:cs="Times New Roman" w:eastAsia="Times New Roman" w:hAnsi="Times New Roman"/>
          <w:sz w:val="17"/>
          <w:szCs w:val="17"/>
          <w:color w:val="auto"/>
        </w:rPr>
      </w:pPr>
    </w:p>
    <w:p>
      <w:pPr>
        <w:jc w:val="both"/>
        <w:ind w:left="1219" w:right="80" w:hanging="612"/>
        <w:spacing w:after="0" w:line="262" w:lineRule="auto"/>
        <w:tabs>
          <w:tab w:leader="none" w:pos="1219"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 or</w:t>
      </w:r>
    </w:p>
    <w:p>
      <w:pPr>
        <w:spacing w:after="0" w:line="168" w:lineRule="exact"/>
        <w:rPr>
          <w:rFonts w:ascii="Times New Roman" w:cs="Times New Roman" w:eastAsia="Times New Roman" w:hAnsi="Times New Roman"/>
          <w:sz w:val="17"/>
          <w:szCs w:val="17"/>
          <w:color w:val="auto"/>
        </w:rPr>
      </w:pPr>
    </w:p>
    <w:p>
      <w:pPr>
        <w:ind w:left="1219" w:right="60" w:hanging="612"/>
        <w:spacing w:after="0" w:line="257" w:lineRule="auto"/>
        <w:tabs>
          <w:tab w:leader="none" w:pos="1219"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depositary of the Company for the purposes of the issue, allotment and delivery by the depositary of ADSs to 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70"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7"/>
          <w:szCs w:val="17"/>
          <w:b w:val="1"/>
          <w:bCs w:val="1"/>
          <w:color w:val="auto"/>
        </w:rPr>
        <w:t>SHARE PREMIUM ACCOUNT</w:t>
      </w:r>
    </w:p>
    <w:p>
      <w:pPr>
        <w:spacing w:after="0" w:line="213" w:lineRule="exact"/>
        <w:rPr>
          <w:sz w:val="20"/>
          <w:szCs w:val="20"/>
          <w:color w:val="auto"/>
        </w:rPr>
      </w:pPr>
    </w:p>
    <w:p>
      <w:pPr>
        <w:ind w:left="599" w:right="220" w:hanging="599"/>
        <w:spacing w:after="0" w:line="275" w:lineRule="auto"/>
        <w:tabs>
          <w:tab w:leader="none" w:pos="599"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shall in accordance with the Companies Act establish a Share Premium Account and shall carry to the credit of such account from time to time a sum equal to the amount or value of the premium paid on the issue of any Share.</w:t>
      </w:r>
    </w:p>
    <w:p>
      <w:pPr>
        <w:spacing w:after="0" w:line="158" w:lineRule="exact"/>
        <w:rPr>
          <w:rFonts w:ascii="Times New Roman" w:cs="Times New Roman" w:eastAsia="Times New Roman" w:hAnsi="Times New Roman"/>
          <w:sz w:val="17"/>
          <w:szCs w:val="17"/>
          <w:color w:val="auto"/>
        </w:rPr>
      </w:pPr>
    </w:p>
    <w:p>
      <w:pPr>
        <w:ind w:left="599" w:right="140" w:hanging="599"/>
        <w:spacing w:after="0" w:line="262" w:lineRule="auto"/>
        <w:tabs>
          <w:tab w:leader="none" w:pos="599"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the Companies Act, out of capital.</w:t>
      </w:r>
    </w:p>
    <w:p>
      <w:pPr>
        <w:spacing w:after="0" w:line="164" w:lineRule="exact"/>
        <w:rPr>
          <w:sz w:val="20"/>
          <w:szCs w:val="20"/>
          <w:color w:val="auto"/>
        </w:rPr>
      </w:pPr>
    </w:p>
    <w:p>
      <w:pPr>
        <w:ind w:left="5239"/>
        <w:spacing w:after="0"/>
        <w:rPr>
          <w:sz w:val="20"/>
          <w:szCs w:val="20"/>
          <w:color w:val="auto"/>
        </w:rPr>
      </w:pPr>
      <w:r>
        <w:rPr>
          <w:rFonts w:ascii="Times New Roman" w:cs="Times New Roman" w:eastAsia="Times New Roman" w:hAnsi="Times New Roman"/>
          <w:sz w:val="17"/>
          <w:szCs w:val="17"/>
          <w:b w:val="1"/>
          <w:bCs w:val="1"/>
          <w:color w:val="auto"/>
        </w:rPr>
        <w:t>NOTICES</w:t>
      </w:r>
    </w:p>
    <w:p>
      <w:pPr>
        <w:spacing w:after="0" w:line="213" w:lineRule="exact"/>
        <w:rPr>
          <w:sz w:val="20"/>
          <w:szCs w:val="20"/>
          <w:color w:val="auto"/>
        </w:rPr>
      </w:pPr>
    </w:p>
    <w:p>
      <w:pPr>
        <w:ind w:left="599" w:right="20" w:hanging="599"/>
        <w:spacing w:after="0" w:line="252" w:lineRule="auto"/>
        <w:tabs>
          <w:tab w:leader="none" w:pos="599"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in these Articles, any notice or document may be served by the Company or by the Person entitled to give notice to any Shareholder either personally, or by posting it by airmail or a recognized courier service in a prepaid letter addressed to such Shareholder at his address as appearing in the Register, or by electronic mail to any electronic mail address such Shareholder may have specified in writing for the purpose of such service of notices, or by facsimile to any facsimile number such Shareholder may have specified in writing for the purpose of such service of notices, or by placing it on the Company's Website should the Directors deem it appropriate. In the case of joint holders of a Share, all notices shall be given to that one of the joint holders whose name stands first in the Register in respect of the joint holding, and notice so given shall be sufficient notice to all the joint holders.</w:t>
      </w:r>
    </w:p>
    <w:p>
      <w:pPr>
        <w:spacing w:after="0" w:line="180" w:lineRule="exact"/>
        <w:rPr>
          <w:rFonts w:ascii="Times New Roman" w:cs="Times New Roman" w:eastAsia="Times New Roman" w:hAnsi="Times New Roman"/>
          <w:sz w:val="17"/>
          <w:szCs w:val="17"/>
          <w:color w:val="auto"/>
        </w:rPr>
      </w:pPr>
    </w:p>
    <w:p>
      <w:pPr>
        <w:ind w:left="599" w:hanging="599"/>
        <w:spacing w:after="0"/>
        <w:tabs>
          <w:tab w:leader="none" w:pos="599"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Notices sent from one country to another shall be sent or forwarded by prepaid airmail or a recognized courier service.</w:t>
      </w:r>
    </w:p>
    <w:p>
      <w:pPr>
        <w:spacing w:after="0" w:line="200" w:lineRule="exact"/>
        <w:rPr>
          <w:sz w:val="20"/>
          <w:szCs w:val="20"/>
          <w:color w:val="auto"/>
        </w:rPr>
      </w:pPr>
    </w:p>
    <w:p>
      <w:pPr>
        <w:spacing w:after="0" w:line="211" w:lineRule="exact"/>
        <w:rPr>
          <w:sz w:val="20"/>
          <w:szCs w:val="20"/>
          <w:color w:val="auto"/>
        </w:rPr>
      </w:pPr>
    </w:p>
    <w:p>
      <w:pPr>
        <w:ind w:left="553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559"/>
          </w:cols>
          <w:pgMar w:left="321" w:top="856" w:right="1019" w:bottom="1440" w:gutter="0" w:footer="0" w:header="0"/>
        </w:sectPr>
      </w:pPr>
    </w:p>
    <w:bookmarkStart w:id="42" w:name="page43"/>
    <w:bookmarkEnd w:id="42"/>
    <w:p>
      <w:pPr>
        <w:ind w:left="599" w:right="400" w:hanging="599"/>
        <w:spacing w:after="0" w:line="275" w:lineRule="auto"/>
        <w:tabs>
          <w:tab w:leader="none" w:pos="599"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Shareholder Present, either personally or by proxy, at any meeting of the Company shall for all purposes be deemed to have received due notice of such meeting and, where requisite, of the purposes for which such meeting was convened.</w:t>
      </w:r>
    </w:p>
    <w:p>
      <w:pPr>
        <w:spacing w:after="0" w:line="158" w:lineRule="exact"/>
        <w:rPr>
          <w:rFonts w:ascii="Times New Roman" w:cs="Times New Roman" w:eastAsia="Times New Roman" w:hAnsi="Times New Roman"/>
          <w:sz w:val="17"/>
          <w:szCs w:val="17"/>
          <w:color w:val="auto"/>
        </w:rPr>
      </w:pPr>
    </w:p>
    <w:p>
      <w:pPr>
        <w:ind w:left="599" w:hanging="599"/>
        <w:spacing w:after="0"/>
        <w:tabs>
          <w:tab w:leader="none" w:pos="599"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 or other document, if served by:</w:t>
      </w:r>
    </w:p>
    <w:p>
      <w:pPr>
        <w:spacing w:after="0" w:line="208" w:lineRule="exact"/>
        <w:rPr>
          <w:rFonts w:ascii="Times New Roman" w:cs="Times New Roman" w:eastAsia="Times New Roman" w:hAnsi="Times New Roman"/>
          <w:sz w:val="17"/>
          <w:szCs w:val="17"/>
          <w:color w:val="auto"/>
        </w:rPr>
      </w:pPr>
    </w:p>
    <w:p>
      <w:pPr>
        <w:ind w:left="1219" w:hanging="612"/>
        <w:spacing w:after="0"/>
        <w:tabs>
          <w:tab w:leader="none" w:pos="1219"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 shall be deemed to have been served five calendar days after the time when the letter containing the same is posted;</w:t>
      </w:r>
    </w:p>
    <w:p>
      <w:pPr>
        <w:spacing w:after="0" w:line="208" w:lineRule="exact"/>
        <w:rPr>
          <w:rFonts w:ascii="Times New Roman" w:cs="Times New Roman" w:eastAsia="Times New Roman" w:hAnsi="Times New Roman"/>
          <w:sz w:val="17"/>
          <w:szCs w:val="17"/>
          <w:color w:val="auto"/>
        </w:rPr>
      </w:pPr>
    </w:p>
    <w:p>
      <w:pPr>
        <w:ind w:left="1219" w:right="20" w:hanging="612"/>
        <w:spacing w:after="0" w:line="275" w:lineRule="auto"/>
        <w:tabs>
          <w:tab w:leader="none" w:pos="1219"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facsimile, shall be deemed to have been served upon production by the transmitting facsimile machine of a report confirming transmission of the facsimile in full to the facsimile number of the recipient;</w:t>
      </w:r>
    </w:p>
    <w:p>
      <w:pPr>
        <w:spacing w:after="0" w:line="158" w:lineRule="exact"/>
        <w:rPr>
          <w:rFonts w:ascii="Times New Roman" w:cs="Times New Roman" w:eastAsia="Times New Roman" w:hAnsi="Times New Roman"/>
          <w:sz w:val="17"/>
          <w:szCs w:val="17"/>
          <w:color w:val="auto"/>
        </w:rPr>
      </w:pPr>
    </w:p>
    <w:p>
      <w:pPr>
        <w:ind w:left="1219" w:right="40" w:hanging="612"/>
        <w:spacing w:after="0" w:line="275" w:lineRule="auto"/>
        <w:tabs>
          <w:tab w:leader="none" w:pos="1219"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recognized courier service, shall be deemed to have been served 48 hours after the time when the letter containing the same is delivered to the courier service; or</w:t>
      </w:r>
    </w:p>
    <w:p>
      <w:pPr>
        <w:spacing w:after="0" w:line="158" w:lineRule="exact"/>
        <w:rPr>
          <w:rFonts w:ascii="Times New Roman" w:cs="Times New Roman" w:eastAsia="Times New Roman" w:hAnsi="Times New Roman"/>
          <w:sz w:val="17"/>
          <w:szCs w:val="17"/>
          <w:color w:val="auto"/>
        </w:rPr>
      </w:pPr>
    </w:p>
    <w:p>
      <w:pPr>
        <w:ind w:left="1219" w:right="280" w:hanging="612"/>
        <w:spacing w:after="0" w:line="275" w:lineRule="auto"/>
        <w:tabs>
          <w:tab w:leader="none" w:pos="1219"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electronic means, shall be deemed to have been served immediately (i) upon the time of the transmission to the electronic mail address supplied by the Shareholder to the Company or (ii) upon the time of its placement on the Company's Website.</w:t>
      </w:r>
    </w:p>
    <w:p>
      <w:pPr>
        <w:spacing w:after="0" w:line="159" w:lineRule="exact"/>
        <w:rPr>
          <w:sz w:val="20"/>
          <w:szCs w:val="20"/>
          <w:color w:val="auto"/>
        </w:rPr>
      </w:pPr>
    </w:p>
    <w:p>
      <w:pPr>
        <w:ind w:left="599" w:right="40"/>
        <w:spacing w:after="0" w:line="275" w:lineRule="auto"/>
        <w:rPr>
          <w:sz w:val="20"/>
          <w:szCs w:val="20"/>
          <w:color w:val="auto"/>
        </w:rPr>
      </w:pPr>
      <w:r>
        <w:rPr>
          <w:rFonts w:ascii="Times New Roman" w:cs="Times New Roman" w:eastAsia="Times New Roman" w:hAnsi="Times New Roman"/>
          <w:sz w:val="17"/>
          <w:szCs w:val="17"/>
          <w:color w:val="auto"/>
        </w:rPr>
        <w:t>In proving service by post or courier service it shall be sufficient to prove that the letter containing the notice or documents was properly addressed and duly posted or delivered to the courier service.</w:t>
      </w:r>
    </w:p>
    <w:p>
      <w:pPr>
        <w:spacing w:after="0" w:line="159" w:lineRule="exact"/>
        <w:rPr>
          <w:sz w:val="20"/>
          <w:szCs w:val="20"/>
          <w:color w:val="auto"/>
        </w:rPr>
      </w:pPr>
    </w:p>
    <w:p>
      <w:pPr>
        <w:ind w:left="599" w:right="180" w:hanging="599"/>
        <w:spacing w:after="0" w:line="253" w:lineRule="auto"/>
        <w:tabs>
          <w:tab w:leader="none" w:pos="599"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 or document delivered or sent by post to or left at the registered address of any Shareholder in accordance with the terms of these Articles shall notwithstanding that such Shareholder be then dead or bankrupt, and whether or not the Company has notice of his death or bankruptcy, be deemed to have been duly served in respect of any Share registered in the name of such Shareholder as sole or joint holder, unless his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in the Share.</w:t>
      </w:r>
    </w:p>
    <w:p>
      <w:pPr>
        <w:spacing w:after="0" w:line="178" w:lineRule="exact"/>
        <w:rPr>
          <w:rFonts w:ascii="Times New Roman" w:cs="Times New Roman" w:eastAsia="Times New Roman" w:hAnsi="Times New Roman"/>
          <w:sz w:val="17"/>
          <w:szCs w:val="17"/>
          <w:color w:val="auto"/>
        </w:rPr>
      </w:pPr>
    </w:p>
    <w:p>
      <w:pPr>
        <w:ind w:left="599" w:hanging="599"/>
        <w:spacing w:after="0"/>
        <w:tabs>
          <w:tab w:leader="none" w:pos="599"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of every general meeting of the Company shall be given to:</w:t>
      </w:r>
    </w:p>
    <w:p>
      <w:pPr>
        <w:spacing w:after="0" w:line="208" w:lineRule="exact"/>
        <w:rPr>
          <w:rFonts w:ascii="Times New Roman" w:cs="Times New Roman" w:eastAsia="Times New Roman" w:hAnsi="Times New Roman"/>
          <w:sz w:val="17"/>
          <w:szCs w:val="17"/>
          <w:color w:val="auto"/>
        </w:rPr>
      </w:pPr>
    </w:p>
    <w:p>
      <w:pPr>
        <w:ind w:left="1219" w:right="500" w:hanging="612"/>
        <w:spacing w:after="0" w:line="275" w:lineRule="auto"/>
        <w:tabs>
          <w:tab w:leader="none" w:pos="1219"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Shareholders holding Shares with the right to receive notice and who have supplied to the Company an address for the giving of notices to them; and</w:t>
      </w:r>
    </w:p>
    <w:p>
      <w:pPr>
        <w:spacing w:after="0" w:line="158" w:lineRule="exact"/>
        <w:rPr>
          <w:rFonts w:ascii="Times New Roman" w:cs="Times New Roman" w:eastAsia="Times New Roman" w:hAnsi="Times New Roman"/>
          <w:sz w:val="17"/>
          <w:szCs w:val="17"/>
          <w:color w:val="auto"/>
        </w:rPr>
      </w:pPr>
    </w:p>
    <w:p>
      <w:pPr>
        <w:ind w:left="1219" w:hanging="612"/>
        <w:spacing w:after="0" w:line="275" w:lineRule="auto"/>
        <w:tabs>
          <w:tab w:leader="none" w:pos="1219"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Person entitled to a Share in consequence of the death or bankruptcy of a Shareholder, who but for his death or bankruptcy would be entitled to receive notice of the meeting.</w:t>
      </w:r>
    </w:p>
    <w:p>
      <w:pPr>
        <w:spacing w:after="0" w:line="159" w:lineRule="exact"/>
        <w:rPr>
          <w:sz w:val="20"/>
          <w:szCs w:val="20"/>
          <w:color w:val="auto"/>
        </w:rPr>
      </w:pPr>
    </w:p>
    <w:p>
      <w:pPr>
        <w:ind w:left="599"/>
        <w:spacing w:after="0"/>
        <w:rPr>
          <w:sz w:val="20"/>
          <w:szCs w:val="20"/>
          <w:color w:val="auto"/>
        </w:rPr>
      </w:pPr>
      <w:r>
        <w:rPr>
          <w:rFonts w:ascii="Times New Roman" w:cs="Times New Roman" w:eastAsia="Times New Roman" w:hAnsi="Times New Roman"/>
          <w:sz w:val="17"/>
          <w:szCs w:val="17"/>
          <w:color w:val="auto"/>
        </w:rPr>
        <w:t>No other Person shall be entitled to receive notices of general meetings.</w:t>
      </w:r>
    </w:p>
    <w:p>
      <w:pPr>
        <w:spacing w:after="0" w:line="205" w:lineRule="exact"/>
        <w:rPr>
          <w:sz w:val="20"/>
          <w:szCs w:val="20"/>
          <w:color w:val="auto"/>
        </w:rPr>
      </w:pPr>
    </w:p>
    <w:p>
      <w:pPr>
        <w:ind w:left="4999"/>
        <w:spacing w:after="0"/>
        <w:rPr>
          <w:sz w:val="20"/>
          <w:szCs w:val="20"/>
          <w:color w:val="auto"/>
        </w:rPr>
      </w:pPr>
      <w:r>
        <w:rPr>
          <w:rFonts w:ascii="Times New Roman" w:cs="Times New Roman" w:eastAsia="Times New Roman" w:hAnsi="Times New Roman"/>
          <w:sz w:val="17"/>
          <w:szCs w:val="17"/>
          <w:b w:val="1"/>
          <w:bCs w:val="1"/>
          <w:color w:val="auto"/>
        </w:rPr>
        <w:t>INFORMATION</w:t>
      </w:r>
    </w:p>
    <w:p>
      <w:pPr>
        <w:spacing w:after="0" w:line="213" w:lineRule="exact"/>
        <w:rPr>
          <w:sz w:val="20"/>
          <w:szCs w:val="20"/>
          <w:color w:val="auto"/>
        </w:rPr>
      </w:pPr>
    </w:p>
    <w:p>
      <w:pPr>
        <w:ind w:left="599" w:right="40" w:hanging="599"/>
        <w:spacing w:after="0" w:line="262" w:lineRule="auto"/>
        <w:tabs>
          <w:tab w:leader="none" w:pos="599"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168" w:lineRule="exact"/>
        <w:rPr>
          <w:rFonts w:ascii="Times New Roman" w:cs="Times New Roman" w:eastAsia="Times New Roman" w:hAnsi="Times New Roman"/>
          <w:sz w:val="17"/>
          <w:szCs w:val="17"/>
          <w:color w:val="auto"/>
        </w:rPr>
      </w:pPr>
    </w:p>
    <w:p>
      <w:pPr>
        <w:ind w:left="599" w:right="160" w:hanging="599"/>
        <w:spacing w:after="0" w:line="275" w:lineRule="auto"/>
        <w:tabs>
          <w:tab w:leader="none" w:pos="599"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shall be entitled to release or disclose any information in its possession, custody or control regarding the Company or its affairs to any of its Members including, without limitation, information contained in the Register and transfer books of the Company.</w:t>
      </w:r>
    </w:p>
    <w:p>
      <w:pPr>
        <w:spacing w:after="0" w:line="155" w:lineRule="exact"/>
        <w:rPr>
          <w:sz w:val="20"/>
          <w:szCs w:val="20"/>
          <w:color w:val="auto"/>
        </w:rPr>
      </w:pPr>
    </w:p>
    <w:p>
      <w:pPr>
        <w:ind w:left="5119"/>
        <w:spacing w:after="0"/>
        <w:rPr>
          <w:sz w:val="20"/>
          <w:szCs w:val="20"/>
          <w:color w:val="auto"/>
        </w:rPr>
      </w:pPr>
      <w:r>
        <w:rPr>
          <w:rFonts w:ascii="Times New Roman" w:cs="Times New Roman" w:eastAsia="Times New Roman" w:hAnsi="Times New Roman"/>
          <w:sz w:val="17"/>
          <w:szCs w:val="17"/>
          <w:b w:val="1"/>
          <w:bCs w:val="1"/>
          <w:color w:val="auto"/>
        </w:rPr>
        <w:t>INDEMNITY</w:t>
      </w:r>
    </w:p>
    <w:p>
      <w:pPr>
        <w:spacing w:after="0" w:line="213" w:lineRule="exact"/>
        <w:rPr>
          <w:sz w:val="20"/>
          <w:szCs w:val="20"/>
          <w:color w:val="auto"/>
        </w:rPr>
      </w:pPr>
    </w:p>
    <w:p>
      <w:pPr>
        <w:ind w:left="599" w:right="80" w:hanging="599"/>
        <w:spacing w:after="0" w:line="270" w:lineRule="auto"/>
        <w:tabs>
          <w:tab w:leader="none" w:pos="599"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spacing w:after="0" w:line="366" w:lineRule="exact"/>
        <w:rPr>
          <w:sz w:val="20"/>
          <w:szCs w:val="20"/>
          <w:color w:val="auto"/>
        </w:rPr>
      </w:pPr>
    </w:p>
    <w:p>
      <w:pPr>
        <w:ind w:left="553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559"/>
          </w:cols>
          <w:pgMar w:left="321" w:top="856" w:right="1019" w:bottom="1440" w:gutter="0" w:footer="0" w:header="0"/>
        </w:sectPr>
      </w:pPr>
    </w:p>
    <w:bookmarkStart w:id="43" w:name="page44"/>
    <w:bookmarkEnd w:id="43"/>
    <w:p>
      <w:pPr>
        <w:ind w:left="599" w:hanging="599"/>
        <w:spacing w:after="0"/>
        <w:tabs>
          <w:tab w:leader="none" w:pos="599"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Indemnified Person shall be liable:</w:t>
      </w:r>
    </w:p>
    <w:p>
      <w:pPr>
        <w:spacing w:after="0" w:line="208" w:lineRule="exact"/>
        <w:rPr>
          <w:rFonts w:ascii="Times New Roman" w:cs="Times New Roman" w:eastAsia="Times New Roman" w:hAnsi="Times New Roman"/>
          <w:sz w:val="17"/>
          <w:szCs w:val="17"/>
          <w:color w:val="auto"/>
        </w:rPr>
      </w:pPr>
    </w:p>
    <w:p>
      <w:pPr>
        <w:ind w:left="1219" w:hanging="612"/>
        <w:spacing w:after="0"/>
        <w:tabs>
          <w:tab w:leader="none" w:pos="1219"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acts, receipts, neglects, defaults or omissions of any other Director or officer or agent of the Company; or</w:t>
      </w:r>
    </w:p>
    <w:p>
      <w:pPr>
        <w:spacing w:after="0" w:line="208" w:lineRule="exact"/>
        <w:rPr>
          <w:rFonts w:ascii="Times New Roman" w:cs="Times New Roman" w:eastAsia="Times New Roman" w:hAnsi="Times New Roman"/>
          <w:sz w:val="17"/>
          <w:szCs w:val="17"/>
          <w:color w:val="auto"/>
        </w:rPr>
      </w:pPr>
    </w:p>
    <w:p>
      <w:pPr>
        <w:ind w:left="1219" w:hanging="612"/>
        <w:spacing w:after="0"/>
        <w:tabs>
          <w:tab w:leader="none" w:pos="1219"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loss on account of defect of title to any property of the Company; or</w:t>
      </w:r>
    </w:p>
    <w:p>
      <w:pPr>
        <w:spacing w:after="0" w:line="208" w:lineRule="exact"/>
        <w:rPr>
          <w:rFonts w:ascii="Times New Roman" w:cs="Times New Roman" w:eastAsia="Times New Roman" w:hAnsi="Times New Roman"/>
          <w:sz w:val="17"/>
          <w:szCs w:val="17"/>
          <w:color w:val="auto"/>
        </w:rPr>
      </w:pPr>
    </w:p>
    <w:p>
      <w:pPr>
        <w:ind w:left="1219" w:hanging="612"/>
        <w:spacing w:after="0"/>
        <w:tabs>
          <w:tab w:leader="none" w:pos="1219"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account of the insufficiency of any security in or upon which any money of the Company shall be invested; or</w:t>
      </w:r>
    </w:p>
    <w:p>
      <w:pPr>
        <w:spacing w:after="0" w:line="208" w:lineRule="exact"/>
        <w:rPr>
          <w:rFonts w:ascii="Times New Roman" w:cs="Times New Roman" w:eastAsia="Times New Roman" w:hAnsi="Times New Roman"/>
          <w:sz w:val="17"/>
          <w:szCs w:val="17"/>
          <w:color w:val="auto"/>
        </w:rPr>
      </w:pPr>
    </w:p>
    <w:p>
      <w:pPr>
        <w:ind w:left="1219" w:hanging="612"/>
        <w:spacing w:after="0"/>
        <w:tabs>
          <w:tab w:leader="none" w:pos="1219"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loss incurred through any bank, broker or other similar Person; or</w:t>
      </w:r>
    </w:p>
    <w:p>
      <w:pPr>
        <w:spacing w:after="0" w:line="208" w:lineRule="exact"/>
        <w:rPr>
          <w:rFonts w:ascii="Times New Roman" w:cs="Times New Roman" w:eastAsia="Times New Roman" w:hAnsi="Times New Roman"/>
          <w:sz w:val="17"/>
          <w:szCs w:val="17"/>
          <w:color w:val="auto"/>
        </w:rPr>
      </w:pPr>
    </w:p>
    <w:p>
      <w:pPr>
        <w:ind w:left="1219" w:right="720" w:hanging="612"/>
        <w:spacing w:after="0" w:line="275" w:lineRule="auto"/>
        <w:tabs>
          <w:tab w:leader="none" w:pos="1219"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loss occasioned by any negligence, default, breach of duty, breach of trust, error of judgement or oversight on such Indemnified Person's part; or</w:t>
      </w:r>
    </w:p>
    <w:p>
      <w:pPr>
        <w:spacing w:after="0" w:line="158" w:lineRule="exact"/>
        <w:rPr>
          <w:rFonts w:ascii="Times New Roman" w:cs="Times New Roman" w:eastAsia="Times New Roman" w:hAnsi="Times New Roman"/>
          <w:sz w:val="17"/>
          <w:szCs w:val="17"/>
          <w:color w:val="auto"/>
        </w:rPr>
      </w:pPr>
    </w:p>
    <w:p>
      <w:pPr>
        <w:ind w:left="1219" w:right="1000" w:hanging="612"/>
        <w:spacing w:after="0" w:line="275" w:lineRule="auto"/>
        <w:tabs>
          <w:tab w:leader="none" w:pos="1219"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loss, damage or misfortune whatsoever which may happen in or arise from the execution or discharge of the duties, powers, authorities, or discretions of such Indemnified Person's office or in relation thereto;</w:t>
      </w:r>
    </w:p>
    <w:p>
      <w:pPr>
        <w:spacing w:after="0" w:line="159" w:lineRule="exact"/>
        <w:rPr>
          <w:sz w:val="20"/>
          <w:szCs w:val="20"/>
          <w:color w:val="auto"/>
        </w:rPr>
      </w:pPr>
    </w:p>
    <w:p>
      <w:pPr>
        <w:ind w:left="599"/>
        <w:spacing w:after="0"/>
        <w:rPr>
          <w:sz w:val="20"/>
          <w:szCs w:val="20"/>
          <w:color w:val="auto"/>
        </w:rPr>
      </w:pPr>
      <w:r>
        <w:rPr>
          <w:rFonts w:ascii="Times New Roman" w:cs="Times New Roman" w:eastAsia="Times New Roman" w:hAnsi="Times New Roman"/>
          <w:sz w:val="17"/>
          <w:szCs w:val="17"/>
          <w:color w:val="auto"/>
        </w:rPr>
        <w:t>unless the same shall happen through such Indemnified Person's own dishonesty, willful default, or fraud.</w:t>
      </w:r>
    </w:p>
    <w:p>
      <w:pPr>
        <w:spacing w:after="0" w:line="205" w:lineRule="exact"/>
        <w:rPr>
          <w:sz w:val="20"/>
          <w:szCs w:val="20"/>
          <w:color w:val="auto"/>
        </w:rPr>
      </w:pPr>
    </w:p>
    <w:p>
      <w:pPr>
        <w:jc w:val="center"/>
        <w:ind w:right="-198"/>
        <w:spacing w:after="0"/>
        <w:rPr>
          <w:sz w:val="20"/>
          <w:szCs w:val="20"/>
          <w:color w:val="auto"/>
        </w:rPr>
      </w:pPr>
      <w:r>
        <w:rPr>
          <w:rFonts w:ascii="Times New Roman" w:cs="Times New Roman" w:eastAsia="Times New Roman" w:hAnsi="Times New Roman"/>
          <w:sz w:val="17"/>
          <w:szCs w:val="17"/>
          <w:b w:val="1"/>
          <w:bCs w:val="1"/>
          <w:color w:val="auto"/>
        </w:rPr>
        <w:t>FINANCIAL YEAR</w:t>
      </w:r>
    </w:p>
    <w:p>
      <w:pPr>
        <w:spacing w:after="0" w:line="215" w:lineRule="exact"/>
        <w:rPr>
          <w:sz w:val="20"/>
          <w:szCs w:val="20"/>
          <w:color w:val="auto"/>
        </w:rPr>
      </w:pPr>
    </w:p>
    <w:p>
      <w:pPr>
        <w:ind w:left="599" w:right="700" w:hanging="599"/>
        <w:spacing w:after="0" w:line="186" w:lineRule="auto"/>
        <w:tabs>
          <w:tab w:leader="none" w:pos="599" w:val="left"/>
        </w:tabs>
        <w:numPr>
          <w:ilvl w:val="0"/>
          <w:numId w:val="92"/>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Unless the Directors otherwise prescribe, the financial year of the Company shall end on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in each calendar year and shall begin on January 1st in each calendar year.</w:t>
      </w:r>
    </w:p>
    <w:p>
      <w:pPr>
        <w:spacing w:after="0" w:line="184" w:lineRule="exact"/>
        <w:rPr>
          <w:sz w:val="20"/>
          <w:szCs w:val="20"/>
          <w:color w:val="auto"/>
        </w:rPr>
      </w:pPr>
    </w:p>
    <w:p>
      <w:pPr>
        <w:jc w:val="center"/>
        <w:ind w:right="-198"/>
        <w:spacing w:after="0"/>
        <w:rPr>
          <w:sz w:val="20"/>
          <w:szCs w:val="20"/>
          <w:color w:val="auto"/>
        </w:rPr>
      </w:pPr>
      <w:r>
        <w:rPr>
          <w:rFonts w:ascii="Times New Roman" w:cs="Times New Roman" w:eastAsia="Times New Roman" w:hAnsi="Times New Roman"/>
          <w:sz w:val="17"/>
          <w:szCs w:val="17"/>
          <w:b w:val="1"/>
          <w:bCs w:val="1"/>
          <w:color w:val="auto"/>
        </w:rPr>
        <w:t>NON-RECOGNITION OF TRUSTS</w:t>
      </w:r>
    </w:p>
    <w:p>
      <w:pPr>
        <w:spacing w:after="0" w:line="213" w:lineRule="exact"/>
        <w:rPr>
          <w:sz w:val="20"/>
          <w:szCs w:val="20"/>
          <w:color w:val="auto"/>
        </w:rPr>
      </w:pPr>
    </w:p>
    <w:p>
      <w:pPr>
        <w:jc w:val="both"/>
        <w:ind w:left="599" w:right="660" w:hanging="599"/>
        <w:spacing w:after="0" w:line="257" w:lineRule="auto"/>
        <w:tabs>
          <w:tab w:leader="none" w:pos="599"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Person shall be recognised by the Company as holding any Share upon any trust and the Company shall not, unless required by law, be bound by or be compelled in any way to recognise (even when having notice thereof) any equitable, contingent, future or partial interest in any Share or (except only as otherwise provided by these Articles or as the Companies Act requires) any other right in respect of any Share except an absolute right to the entirety thereof in each Shareholder registered in the Register.</w:t>
      </w:r>
    </w:p>
    <w:p>
      <w:pPr>
        <w:spacing w:after="0" w:line="170" w:lineRule="exact"/>
        <w:rPr>
          <w:sz w:val="20"/>
          <w:szCs w:val="20"/>
          <w:color w:val="auto"/>
        </w:rPr>
      </w:pPr>
    </w:p>
    <w:p>
      <w:pPr>
        <w:jc w:val="center"/>
        <w:ind w:right="-198"/>
        <w:spacing w:after="0"/>
        <w:rPr>
          <w:sz w:val="20"/>
          <w:szCs w:val="20"/>
          <w:color w:val="auto"/>
        </w:rPr>
      </w:pPr>
      <w:r>
        <w:rPr>
          <w:rFonts w:ascii="Times New Roman" w:cs="Times New Roman" w:eastAsia="Times New Roman" w:hAnsi="Times New Roman"/>
          <w:sz w:val="17"/>
          <w:szCs w:val="17"/>
          <w:b w:val="1"/>
          <w:bCs w:val="1"/>
          <w:color w:val="auto"/>
        </w:rPr>
        <w:t>WINDING UP</w:t>
      </w:r>
    </w:p>
    <w:p>
      <w:pPr>
        <w:spacing w:after="0" w:line="213" w:lineRule="exact"/>
        <w:rPr>
          <w:sz w:val="20"/>
          <w:szCs w:val="20"/>
          <w:color w:val="auto"/>
        </w:rPr>
      </w:pPr>
    </w:p>
    <w:p>
      <w:pPr>
        <w:ind w:left="599" w:hanging="599"/>
        <w:spacing w:after="0"/>
        <w:tabs>
          <w:tab w:leader="none" w:pos="599"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shall be wound up the liquidator may, with the sanction of a Special Resolution of the Company and any other sanction required by App 3</w:t>
      </w:r>
    </w:p>
    <w:p>
      <w:pPr>
        <w:spacing w:after="0" w:line="34" w:lineRule="exact"/>
        <w:rPr>
          <w:sz w:val="20"/>
          <w:szCs w:val="20"/>
          <w:color w:val="auto"/>
        </w:rPr>
      </w:pPr>
    </w:p>
    <w:tbl>
      <w:tblPr>
        <w:tblLayout w:type="fixed"/>
        <w:tblInd w:w="599" w:type="dxa"/>
        <w:tblCellMar>
          <w:top w:w="0" w:type="dxa"/>
          <w:left w:w="0" w:type="dxa"/>
          <w:bottom w:w="0" w:type="dxa"/>
          <w:right w:w="0" w:type="dxa"/>
        </w:tblCellMar>
      </w:tblPr>
      <w:tr>
        <w:trPr>
          <w:trHeight w:val="204"/>
        </w:trPr>
        <w:tc>
          <w:tcPr>
            <w:tcW w:w="9780" w:type="dxa"/>
            <w:vAlign w:val="bottom"/>
          </w:tcPr>
          <w:p>
            <w:pPr>
              <w:spacing w:after="0"/>
              <w:rPr>
                <w:sz w:val="20"/>
                <w:szCs w:val="20"/>
                <w:color w:val="auto"/>
              </w:rPr>
            </w:pPr>
            <w:r>
              <w:rPr>
                <w:rFonts w:ascii="Times New Roman" w:cs="Times New Roman" w:eastAsia="Times New Roman" w:hAnsi="Times New Roman"/>
                <w:sz w:val="17"/>
                <w:szCs w:val="17"/>
                <w:color w:val="auto"/>
              </w:rPr>
              <w:t>the Companies Act, divide amongst the Members in species or in kind the whole or any part of the assets of the Company (whether they shall</w:t>
            </w:r>
          </w:p>
        </w:tc>
        <w:tc>
          <w:tcPr>
            <w:tcW w:w="520" w:type="dxa"/>
            <w:vAlign w:val="bottom"/>
          </w:tcPr>
          <w:p>
            <w:pPr>
              <w:ind w:left="260"/>
              <w:spacing w:after="0"/>
              <w:rPr>
                <w:sz w:val="20"/>
                <w:szCs w:val="20"/>
                <w:color w:val="auto"/>
              </w:rPr>
            </w:pPr>
            <w:r>
              <w:rPr>
                <w:rFonts w:ascii="Times New Roman" w:cs="Times New Roman" w:eastAsia="Times New Roman" w:hAnsi="Times New Roman"/>
                <w:sz w:val="17"/>
                <w:szCs w:val="17"/>
                <w:color w:val="auto"/>
                <w:w w:val="88"/>
              </w:rPr>
              <w:t>r.21</w:t>
            </w:r>
          </w:p>
        </w:tc>
      </w:tr>
    </w:tbl>
    <w:p>
      <w:pPr>
        <w:jc w:val="both"/>
        <w:ind w:left="599" w:right="900"/>
        <w:spacing w:after="0" w:line="250" w:lineRule="auto"/>
        <w:rPr>
          <w:sz w:val="20"/>
          <w:szCs w:val="20"/>
          <w:color w:val="auto"/>
        </w:rPr>
      </w:pPr>
      <w:r>
        <w:rPr>
          <w:rFonts w:ascii="Times New Roman" w:cs="Times New Roman" w:eastAsia="Times New Roman" w:hAnsi="Times New Roman"/>
          <w:sz w:val="17"/>
          <w:szCs w:val="17"/>
          <w:color w:val="auto"/>
        </w:rPr>
        <w:t>consist of property of the same kind or not) and may for that purpose value any assets and determine how the division shall be carried out as between the Members or different classes of Members. The liquidator may, with the like sanction, vest the whole or any part of such assets in trustees upon such trusts for the benefit of the Members as the liquidator, with the like sanction, shall think fit, but so that no Member shall be compelled to accept any asset upon which there is a liability.</w:t>
      </w:r>
    </w:p>
    <w:p>
      <w:pPr>
        <w:spacing w:after="0" w:line="178" w:lineRule="exact"/>
        <w:rPr>
          <w:sz w:val="20"/>
          <w:szCs w:val="20"/>
          <w:color w:val="auto"/>
        </w:rPr>
      </w:pPr>
    </w:p>
    <w:p>
      <w:pPr>
        <w:ind w:left="599" w:right="520" w:hanging="599"/>
        <w:spacing w:after="0" w:line="252" w:lineRule="auto"/>
        <w:tabs>
          <w:tab w:leader="none" w:pos="599"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pacing w:after="0" w:line="383" w:lineRule="exact"/>
        <w:rPr>
          <w:sz w:val="20"/>
          <w:szCs w:val="20"/>
          <w:color w:val="auto"/>
        </w:rPr>
      </w:pPr>
    </w:p>
    <w:p>
      <w:pPr>
        <w:jc w:val="center"/>
        <w:ind w:right="-198"/>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059"/>
          </w:cols>
          <w:pgMar w:left="321" w:top="856" w:right="519" w:bottom="1440" w:gutter="0" w:footer="0" w:header="0"/>
        </w:sectPr>
      </w:pPr>
    </w:p>
    <w:bookmarkStart w:id="44" w:name="page45"/>
    <w:bookmarkEnd w:id="44"/>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AMENDMENT OF ARTICLES OF ASSOCIATION</w:t>
      </w:r>
    </w:p>
    <w:p>
      <w:pPr>
        <w:spacing w:after="0" w:line="213" w:lineRule="exact"/>
        <w:rPr>
          <w:sz w:val="20"/>
          <w:szCs w:val="20"/>
          <w:color w:val="auto"/>
        </w:rPr>
      </w:pPr>
    </w:p>
    <w:p>
      <w:pPr>
        <w:ind w:left="600" w:hanging="599"/>
        <w:spacing w:after="0"/>
        <w:tabs>
          <w:tab w:leader="none" w:pos="6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Companies Act, the Company may at any time and from time to time by Special Resolution alter or amend these Articles in whole or App</w:t>
      </w:r>
    </w:p>
    <w:p>
      <w:pPr>
        <w:spacing w:after="0" w:line="23" w:lineRule="exact"/>
        <w:rPr>
          <w:sz w:val="20"/>
          <w:szCs w:val="20"/>
          <w:color w:val="auto"/>
        </w:rPr>
      </w:pPr>
    </w:p>
    <w:tbl>
      <w:tblPr>
        <w:tblLayout w:type="fixed"/>
        <w:tblInd w:w="600" w:type="dxa"/>
        <w:tblCellMar>
          <w:top w:w="0" w:type="dxa"/>
          <w:left w:w="0" w:type="dxa"/>
          <w:bottom w:w="0" w:type="dxa"/>
          <w:right w:w="0" w:type="dxa"/>
        </w:tblCellMar>
      </w:tblPr>
      <w:tr>
        <w:trPr>
          <w:trHeight w:val="218"/>
        </w:trPr>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in part.</w:t>
            </w:r>
          </w:p>
        </w:tc>
        <w:tc>
          <w:tcPr>
            <w:tcW w:w="5120" w:type="dxa"/>
            <w:vAlign w:val="bottom"/>
          </w:tcPr>
          <w:p>
            <w:pPr>
              <w:ind w:left="4780"/>
              <w:spacing w:after="0"/>
              <w:rPr>
                <w:sz w:val="20"/>
                <w:szCs w:val="20"/>
                <w:color w:val="auto"/>
              </w:rPr>
            </w:pPr>
            <w:r>
              <w:rPr>
                <w:rFonts w:ascii="Times New Roman" w:cs="Times New Roman" w:eastAsia="Times New Roman" w:hAnsi="Times New Roman"/>
                <w:sz w:val="17"/>
                <w:szCs w:val="17"/>
                <w:color w:val="auto"/>
                <w:w w:val="90"/>
              </w:rPr>
              <w:t>3r.16</w:t>
            </w:r>
          </w:p>
        </w:tc>
      </w:tr>
    </w:tbl>
    <w:p>
      <w:pPr>
        <w:spacing w:after="0" w:line="16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CLOSING OF REGISTER OR FIXING RECORD DATE</w:t>
      </w:r>
    </w:p>
    <w:p>
      <w:pPr>
        <w:spacing w:after="0" w:line="213" w:lineRule="exact"/>
        <w:rPr>
          <w:sz w:val="20"/>
          <w:szCs w:val="20"/>
          <w:color w:val="auto"/>
        </w:rPr>
      </w:pPr>
    </w:p>
    <w:p>
      <w:pPr>
        <w:ind w:left="600" w:right="600" w:hanging="599"/>
        <w:spacing w:after="0" w:line="257" w:lineRule="auto"/>
        <w:tabs>
          <w:tab w:leader="none" w:pos="6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those Shareholders that are entitled to receive notice of, attend or vote at any meeting of Shareholders or any adjournment thereof, or those Shareholders that are entitled to receive payment of any dividend, or in order to make a determination as to who is a Shareholder for any other purpose, the Directors may provide that the Register shall be closed for transfers for a stated period which shall not exceed in any case thirty calendar days in any calendar year.</w:t>
      </w:r>
    </w:p>
    <w:p>
      <w:pPr>
        <w:spacing w:after="0" w:line="173" w:lineRule="exact"/>
        <w:rPr>
          <w:rFonts w:ascii="Times New Roman" w:cs="Times New Roman" w:eastAsia="Times New Roman" w:hAnsi="Times New Roman"/>
          <w:sz w:val="17"/>
          <w:szCs w:val="17"/>
          <w:color w:val="auto"/>
        </w:rPr>
      </w:pPr>
    </w:p>
    <w:p>
      <w:pPr>
        <w:ind w:left="600" w:right="1140" w:hanging="599"/>
        <w:spacing w:after="0" w:line="257" w:lineRule="auto"/>
        <w:tabs>
          <w:tab w:leader="none" w:pos="6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lieu of or apart from closing the Register, 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dividend the Directors may, at or within ninety calendar days prior to the date of declaration of such dividend, fix a subsequent date as the record date for such determination.</w:t>
      </w:r>
    </w:p>
    <w:p>
      <w:pPr>
        <w:spacing w:after="0" w:line="173" w:lineRule="exact"/>
        <w:rPr>
          <w:rFonts w:ascii="Times New Roman" w:cs="Times New Roman" w:eastAsia="Times New Roman" w:hAnsi="Times New Roman"/>
          <w:sz w:val="17"/>
          <w:szCs w:val="17"/>
          <w:color w:val="auto"/>
        </w:rPr>
      </w:pPr>
    </w:p>
    <w:p>
      <w:pPr>
        <w:ind w:left="600" w:right="560" w:hanging="599"/>
        <w:spacing w:after="0" w:line="255" w:lineRule="auto"/>
        <w:tabs>
          <w:tab w:leader="none" w:pos="6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Register is not so closed and no record date is fixed for the determination of those Shareholders entitled to receive notice of, attend or vote at a meeting of Shareholders or those Shareholders that are entitled to receive payment of a dividend, the date on which notice of the meeting is posted or the date on which the resolution of the Directors declaring such dividend is adopted, as the case may be, shall be the record date for such determination of Shareholders. When a determination of those Shareholders that are entitled to receive notice of, attend or vote at a meeting of Shareholders has been made as provided in this Article, such determination shall apply to any adjournment thereof.</w:t>
      </w:r>
    </w:p>
    <w:p>
      <w:pPr>
        <w:spacing w:after="0" w:line="1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REGISTRATION BY WAY OF CONTINUATION</w:t>
      </w:r>
    </w:p>
    <w:p>
      <w:pPr>
        <w:spacing w:after="0" w:line="213" w:lineRule="exact"/>
        <w:rPr>
          <w:sz w:val="20"/>
          <w:szCs w:val="20"/>
          <w:color w:val="auto"/>
        </w:rPr>
      </w:pPr>
    </w:p>
    <w:p>
      <w:pPr>
        <w:ind w:left="600" w:right="520" w:hanging="599"/>
        <w:spacing w:after="0" w:line="255" w:lineRule="auto"/>
        <w:tabs>
          <w:tab w:leader="none" w:pos="6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1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DISCLOSURE</w:t>
      </w:r>
    </w:p>
    <w:p>
      <w:pPr>
        <w:spacing w:after="0" w:line="213" w:lineRule="exact"/>
        <w:rPr>
          <w:sz w:val="20"/>
          <w:szCs w:val="20"/>
          <w:color w:val="auto"/>
        </w:rPr>
      </w:pPr>
    </w:p>
    <w:p>
      <w:pPr>
        <w:ind w:left="600" w:right="520" w:hanging="599"/>
        <w:spacing w:after="0" w:line="257" w:lineRule="auto"/>
        <w:tabs>
          <w:tab w:leader="none" w:pos="6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or any service providers (including the officers, the Secretary and the registered office agent of the Company) specifically authorised by the Directors, shall be entitled to disclose to any regulatory or judicial authority or to any stock exchange on which securities of the Company may from time to time be listed any information regarding the affairs of the Company including without limitation information contained in the Register and books of the Company.</w:t>
      </w:r>
    </w:p>
    <w:p>
      <w:pPr>
        <w:spacing w:after="0" w:line="1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COMMUNICATION WITH MEMBERS AND DISCLOSURE</w:t>
      </w:r>
    </w:p>
    <w:p>
      <w:pPr>
        <w:spacing w:after="0" w:line="213" w:lineRule="exact"/>
        <w:rPr>
          <w:sz w:val="20"/>
          <w:szCs w:val="20"/>
          <w:color w:val="auto"/>
        </w:rPr>
      </w:pPr>
    </w:p>
    <w:p>
      <w:pPr>
        <w:ind w:left="600" w:hanging="599"/>
        <w:spacing w:after="0"/>
        <w:tabs>
          <w:tab w:leader="none" w:pos="60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comply with the provisions of Appendix 14 of the Listing Rules regarding communication with Shareholders or Members of the Rule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0" w:type="dxa"/>
            <w:vAlign w:val="bottom"/>
          </w:tcPr>
          <w:p>
            <w:pPr>
              <w:spacing w:after="0"/>
              <w:rPr>
                <w:sz w:val="18"/>
                <w:szCs w:val="18"/>
                <w:color w:val="auto"/>
              </w:rPr>
            </w:pPr>
          </w:p>
        </w:tc>
        <w:tc>
          <w:tcPr>
            <w:tcW w:w="10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Company.</w:t>
            </w:r>
          </w:p>
        </w:tc>
        <w:tc>
          <w:tcPr>
            <w:tcW w:w="60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95"/>
              </w:rPr>
              <w:t>8A.35</w:t>
            </w:r>
          </w:p>
        </w:tc>
      </w:tr>
      <w:tr>
        <w:trPr>
          <w:trHeight w:val="373"/>
        </w:trPr>
        <w:tc>
          <w:tcPr>
            <w:tcW w:w="4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93"/>
              </w:rPr>
              <w:t>166.</w:t>
            </w:r>
          </w:p>
        </w:tc>
        <w:tc>
          <w:tcPr>
            <w:tcW w:w="10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Company shall include the words "A company controlled through weighted voting rights" or such language as may be specified by the HK</w:t>
            </w:r>
          </w:p>
        </w:tc>
        <w:tc>
          <w:tcPr>
            <w:tcW w:w="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Rule</w:t>
            </w:r>
          </w:p>
        </w:tc>
      </w:tr>
      <w:tr>
        <w:trPr>
          <w:trHeight w:val="218"/>
        </w:trPr>
        <w:tc>
          <w:tcPr>
            <w:tcW w:w="460" w:type="dxa"/>
            <w:vAlign w:val="bottom"/>
          </w:tcPr>
          <w:p>
            <w:pPr>
              <w:spacing w:after="0"/>
              <w:rPr>
                <w:sz w:val="18"/>
                <w:szCs w:val="18"/>
                <w:color w:val="auto"/>
              </w:rPr>
            </w:pPr>
          </w:p>
        </w:tc>
        <w:tc>
          <w:tcPr>
            <w:tcW w:w="10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 Exchange from time to time on the front page of all its listing documents, periodic financial reports, circulars, notifications and</w:t>
            </w:r>
          </w:p>
        </w:tc>
        <w:tc>
          <w:tcPr>
            <w:tcW w:w="60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95"/>
              </w:rPr>
              <w:t>8A.37</w:t>
            </w:r>
          </w:p>
        </w:tc>
      </w:tr>
    </w:tbl>
    <w:p>
      <w:pPr>
        <w:jc w:val="both"/>
        <w:ind w:left="600" w:right="640"/>
        <w:spacing w:after="0" w:line="252" w:lineRule="auto"/>
        <w:rPr>
          <w:sz w:val="20"/>
          <w:szCs w:val="20"/>
          <w:color w:val="auto"/>
        </w:rPr>
      </w:pPr>
      <w:r>
        <w:rPr>
          <w:rFonts w:ascii="Times New Roman" w:cs="Times New Roman" w:eastAsia="Times New Roman" w:hAnsi="Times New Roman"/>
          <w:sz w:val="17"/>
          <w:szCs w:val="17"/>
          <w:color w:val="auto"/>
        </w:rPr>
        <w:t>announcements required by the Listing Rules, and describe its weighted voting rights structure, the rationale of such structure, and the associated risks for the Members prominently in its listing documents and periodic financial reports. This statement shall inform prospective investors of the potential risks of investing in the Company and that they should make the decision only after due and careful consideration.</w:t>
      </w:r>
    </w:p>
    <w:p>
      <w:pPr>
        <w:spacing w:after="0" w:line="3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060"/>
          </w:cols>
          <w:pgMar w:left="320" w:top="852" w:right="519" w:bottom="1440" w:gutter="0" w:footer="0" w:header="0"/>
        </w:sectPr>
      </w:pPr>
    </w:p>
    <w:bookmarkStart w:id="45" w:name="page46"/>
    <w:bookmarkEnd w:id="45"/>
    <w:p>
      <w:pPr>
        <w:ind w:left="600" w:hanging="599"/>
        <w:spacing w:after="0"/>
        <w:tabs>
          <w:tab w:leader="none" w:pos="6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in its listing documents and its interim and annual reports: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1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w:t>
            </w:r>
          </w:p>
        </w:tc>
        <w:tc>
          <w:tcPr>
            <w:tcW w:w="91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identify the holders of Class C Ordinary Shares;</w:t>
            </w:r>
          </w:p>
        </w:tc>
        <w:tc>
          <w:tcPr>
            <w:tcW w:w="9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Rule</w:t>
            </w:r>
          </w:p>
        </w:tc>
      </w:tr>
      <w:tr>
        <w:trPr>
          <w:trHeight w:val="218"/>
        </w:trPr>
        <w:tc>
          <w:tcPr>
            <w:tcW w:w="112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8A.39</w:t>
            </w:r>
          </w:p>
        </w:tc>
      </w:tr>
      <w:tr>
        <w:trPr>
          <w:trHeight w:val="388"/>
        </w:trPr>
        <w:tc>
          <w:tcPr>
            <w:tcW w:w="11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(b)</w:t>
            </w:r>
          </w:p>
        </w:tc>
        <w:tc>
          <w:tcPr>
            <w:tcW w:w="91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disclose the impact of a potential conversion of Class C Ordinary Shares into Class A Ordinary Shares on its share capital; and</w:t>
            </w:r>
          </w:p>
        </w:tc>
        <w:tc>
          <w:tcPr>
            <w:tcW w:w="9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Rule</w:t>
            </w:r>
          </w:p>
        </w:tc>
      </w:tr>
      <w:tr>
        <w:trPr>
          <w:trHeight w:val="218"/>
        </w:trPr>
        <w:tc>
          <w:tcPr>
            <w:tcW w:w="112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8A.40</w:t>
            </w:r>
          </w:p>
        </w:tc>
      </w:tr>
      <w:tr>
        <w:trPr>
          <w:trHeight w:val="388"/>
        </w:trPr>
        <w:tc>
          <w:tcPr>
            <w:tcW w:w="11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(c)</w:t>
            </w:r>
          </w:p>
        </w:tc>
        <w:tc>
          <w:tcPr>
            <w:tcW w:w="91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disclose all circumstances in which the weighted voting rights attached to the Class C Ordinary Shares shall cease.</w:t>
            </w:r>
          </w:p>
        </w:tc>
        <w:tc>
          <w:tcPr>
            <w:tcW w:w="9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Rule</w:t>
            </w:r>
          </w:p>
        </w:tc>
      </w:tr>
      <w:tr>
        <w:trPr>
          <w:trHeight w:val="218"/>
        </w:trPr>
        <w:tc>
          <w:tcPr>
            <w:tcW w:w="112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8A.41</w:t>
            </w:r>
          </w:p>
        </w:tc>
      </w:tr>
      <w:tr>
        <w:trPr>
          <w:trHeight w:val="607"/>
        </w:trPr>
        <w:tc>
          <w:tcPr>
            <w:tcW w:w="112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jc w:val="right"/>
              <w:ind w:right="4516"/>
              <w:spacing w:after="0"/>
              <w:rPr>
                <w:sz w:val="20"/>
                <w:szCs w:val="20"/>
                <w:color w:val="auto"/>
              </w:rPr>
            </w:pPr>
            <w:r>
              <w:rPr>
                <w:rFonts w:ascii="Times New Roman" w:cs="Times New Roman" w:eastAsia="Times New Roman" w:hAnsi="Times New Roman"/>
                <w:sz w:val="17"/>
                <w:szCs w:val="17"/>
                <w:color w:val="auto"/>
              </w:rPr>
              <w:t>36</w:t>
            </w: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6"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NIO Inc.</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i w:val="1"/>
          <w:iCs w:val="1"/>
          <w:color w:val="auto"/>
        </w:rPr>
        <w:t>(A company controlled through weighted voting rights and</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i w:val="1"/>
          <w:iCs w:val="1"/>
          <w:color w:val="auto"/>
        </w:rPr>
        <w:t>incorporated in the Cayman Islands with limited liability)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(NYSE: NIO; HKEX: 9866; SGX: NIO)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Class C Meeting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held on August 25,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(or any adjournment(s) or postponement(s) thereof)</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NOTICE IS HEREBY GIVEN </w:t>
      </w:r>
      <w:r>
        <w:rPr>
          <w:rFonts w:ascii="Times New Roman" w:cs="Times New Roman" w:eastAsia="Times New Roman" w:hAnsi="Times New Roman"/>
          <w:sz w:val="17"/>
          <w:szCs w:val="17"/>
          <w:color w:val="auto"/>
        </w:rPr>
        <w:t>that a class meeting (the “</w:t>
      </w:r>
      <w:r>
        <w:rPr>
          <w:rFonts w:ascii="Times New Roman" w:cs="Times New Roman" w:eastAsia="Times New Roman" w:hAnsi="Times New Roman"/>
          <w:sz w:val="17"/>
          <w:szCs w:val="17"/>
          <w:b w:val="1"/>
          <w:bCs w:val="1"/>
          <w:color w:val="auto"/>
        </w:rPr>
        <w:t>Class C Meeting</w:t>
      </w:r>
      <w:r>
        <w:rPr>
          <w:rFonts w:ascii="Times New Roman" w:cs="Times New Roman" w:eastAsia="Times New Roman" w:hAnsi="Times New Roman"/>
          <w:sz w:val="17"/>
          <w:szCs w:val="17"/>
          <w:color w:val="auto"/>
        </w:rPr>
        <w:t>”) of holders of Class C ordinary shares with a par value of US$0.00025 each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Class C Ordinary Shares</w:t>
      </w:r>
      <w:r>
        <w:rPr>
          <w:rFonts w:ascii="Times New Roman" w:cs="Times New Roman" w:eastAsia="Times New Roman" w:hAnsi="Times New Roman"/>
          <w:sz w:val="17"/>
          <w:szCs w:val="17"/>
          <w:color w:val="auto"/>
        </w:rPr>
        <w:t>”) of NIO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will be held at 10 am, Beijing time, on August 25, 2022 at August 25, 2022 at Building 16, No. 56 AnTuo Road, Anting Town, Jiading District, Shanghai 201804, People’s Republic of China, for the purposes of considering and, if thought fit, passing each of the following resolution (the “</w:t>
      </w:r>
      <w:r>
        <w:rPr>
          <w:rFonts w:ascii="Times New Roman" w:cs="Times New Roman" w:eastAsia="Times New Roman" w:hAnsi="Times New Roman"/>
          <w:sz w:val="17"/>
          <w:szCs w:val="17"/>
          <w:b w:val="1"/>
          <w:bCs w:val="1"/>
          <w:color w:val="auto"/>
        </w:rPr>
        <w:t>Class-based Resolution</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both"/>
        <w:ind w:left="300" w:hanging="299"/>
        <w:spacing w:after="0" w:line="253" w:lineRule="auto"/>
        <w:tabs>
          <w:tab w:leader="none" w:pos="3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special resolution, THAT subject to the passing of the Class-based Resolution at each of the class meeting of holders of Class A ordinary shares with a par value of US$0.00025 each and the annual general meeting of the Company convened on the same date and at the same place as the Class C Meeting, the Company’s Twelfth Amended and Restated Memorandum of Association and Articles of Association in effect be amended and restated by the deletion in their entirety and the substitution in their place of the Thirteenth Amended and Restated Memorandum and Articles of Association annexed to this notice, as more particularly disclosed on pages 141 to 152 of the Company’s Hong Kong listing document dated February 28, 2022, by incorporating the following requirements under the Hong Kong Listing Rules: paragraph 15 of Appendix 3 and Rules 8A.09, 8A.13 to 8A.19, 8A.21 to 8A.24.</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passing of the above resolution requires approval by holders of two-thirds of the voting rights of those present and voting in person or by proxy for Class C Ordinary Shares, on a one share one vote basis. The quorum of the Class C Meeting shall be one or more members holding at least one-third of the issued Class C Ordinary Shares.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SHARES RECORD DATE</w:t>
      </w:r>
    </w:p>
    <w:p>
      <w:pPr>
        <w:spacing w:after="0" w:line="209" w:lineRule="exact"/>
        <w:rPr>
          <w:sz w:val="20"/>
          <w:szCs w:val="20"/>
          <w:color w:val="auto"/>
        </w:rPr>
      </w:pPr>
    </w:p>
    <w:p>
      <w:pPr>
        <w:jc w:val="both"/>
        <w:ind w:firstLine="607"/>
        <w:spacing w:after="0" w:line="264" w:lineRule="auto"/>
        <w:rPr>
          <w:sz w:val="20"/>
          <w:szCs w:val="20"/>
          <w:color w:val="auto"/>
        </w:rPr>
      </w:pPr>
      <w:r>
        <w:rPr>
          <w:rFonts w:ascii="Times New Roman" w:cs="Times New Roman" w:eastAsia="Times New Roman" w:hAnsi="Times New Roman"/>
          <w:sz w:val="17"/>
          <w:szCs w:val="17"/>
          <w:color w:val="auto"/>
        </w:rPr>
        <w:t>The board of directors of the Company has fixed the close of business on July 22, 2022, Hong Kong time, as the record date (the “</w:t>
      </w:r>
      <w:r>
        <w:rPr>
          <w:rFonts w:ascii="Times New Roman" w:cs="Times New Roman" w:eastAsia="Times New Roman" w:hAnsi="Times New Roman"/>
          <w:sz w:val="17"/>
          <w:szCs w:val="17"/>
          <w:b w:val="1"/>
          <w:bCs w:val="1"/>
          <w:color w:val="auto"/>
        </w:rPr>
        <w:t>Shares Record Date</w:t>
      </w:r>
      <w:r>
        <w:rPr>
          <w:rFonts w:ascii="Times New Roman" w:cs="Times New Roman" w:eastAsia="Times New Roman" w:hAnsi="Times New Roman"/>
          <w:sz w:val="17"/>
          <w:szCs w:val="17"/>
          <w:color w:val="auto"/>
        </w:rPr>
        <w:t>”) of Class C Ordinary Shares . Holders of record of the Class C Ordinary Shares (as of the Shares Record Date) are entitled to attend and vote at the Class C Meeting and any adjourned meeting thereof.</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ATTENDING THE CLASS C MEETING</w:t>
      </w: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Only holders of record of Class C Ordinary Shares as of the Shares Record Date are entitled to attend and vote at the Class C Meeting.</w:t>
      </w:r>
    </w:p>
    <w:p>
      <w:pPr>
        <w:spacing w:after="0" w:line="209" w:lineRule="exact"/>
        <w:rPr>
          <w:sz w:val="20"/>
          <w:szCs w:val="20"/>
          <w:color w:val="auto"/>
        </w:rPr>
      </w:pPr>
    </w:p>
    <w:p>
      <w:pPr>
        <w:jc w:val="both"/>
        <w:ind w:firstLine="607"/>
        <w:spacing w:after="0" w:line="255" w:lineRule="auto"/>
        <w:rPr>
          <w:sz w:val="20"/>
          <w:szCs w:val="20"/>
          <w:color w:val="auto"/>
        </w:rPr>
      </w:pPr>
      <w:r>
        <w:rPr>
          <w:rFonts w:ascii="Times New Roman" w:cs="Times New Roman" w:eastAsia="Times New Roman" w:hAnsi="Times New Roman"/>
          <w:sz w:val="17"/>
          <w:szCs w:val="17"/>
          <w:color w:val="auto"/>
        </w:rPr>
        <w:t>In order to prevent the spread of COVID-19 and to safeguard the health and safety of shareholders, the Company may implement certain precautionary measures at the Class C Meeting. All officers and agents of the Company reserve the right to refuse any person entry to the Class C Meeting venue, or to instruct any person to leave the Class C Meeting venue, where such officer or agent reasonably considers that such refusal or instruction is or may be required for the Company or any other person to be able to comply with applicable laws and regulations. The exercise of such right to refuse entry or instruct to leave shall not invalidate the proceedings at the Class C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538480</wp:posOffset>
            </wp:positionV>
            <wp:extent cx="7141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color w:val="auto"/>
        </w:rPr>
        <w:t>PROXY FORMS</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 holder of Class C Ordinary Shares as of the Shares Record Date may attend in person or appoint a proxy to exercise his or her rights at the Class C Meeting.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Please refer to the proxy form (for holders of Class C Ordinary Shares), which is available on our website at </w:t>
      </w:r>
      <w:r>
        <w:rPr>
          <w:rFonts w:ascii="Times New Roman" w:cs="Times New Roman" w:eastAsia="Times New Roman" w:hAnsi="Times New Roman"/>
          <w:sz w:val="17"/>
          <w:szCs w:val="17"/>
          <w:b w:val="1"/>
          <w:bCs w:val="1"/>
          <w:u w:val="single" w:color="auto"/>
          <w:color w:val="auto"/>
        </w:rPr>
        <w:t>ir.nio.com</w:t>
      </w:r>
      <w:r>
        <w:rPr>
          <w:rFonts w:ascii="Times New Roman" w:cs="Times New Roman" w:eastAsia="Times New Roman" w:hAnsi="Times New Roman"/>
          <w:sz w:val="17"/>
          <w:szCs w:val="17"/>
          <w:color w:val="auto"/>
        </w:rPr>
        <w:t>.</w:t>
      </w:r>
    </w:p>
    <w:p>
      <w:pPr>
        <w:spacing w:after="0" w:line="193" w:lineRule="exact"/>
        <w:rPr>
          <w:sz w:val="20"/>
          <w:szCs w:val="20"/>
          <w:color w:val="auto"/>
        </w:rPr>
      </w:pPr>
    </w:p>
    <w:p>
      <w:pPr>
        <w:jc w:val="both"/>
        <w:ind w:firstLine="303"/>
        <w:spacing w:after="0" w:line="262" w:lineRule="auto"/>
        <w:rPr>
          <w:sz w:val="20"/>
          <w:szCs w:val="20"/>
          <w:color w:val="auto"/>
        </w:rPr>
      </w:pPr>
      <w:r>
        <w:rPr>
          <w:rFonts w:ascii="Times New Roman" w:cs="Times New Roman" w:eastAsia="Times New Roman" w:hAnsi="Times New Roman"/>
          <w:sz w:val="17"/>
          <w:szCs w:val="17"/>
          <w:color w:val="auto"/>
        </w:rPr>
        <w:t>You are urged to complete, sign, date and return the accompanying proxy form to the Company as promptly as possible and before the prescribed deadline if you wish to exercise your voting rights. We must receive the proxy form by no later than 10 am, Beijing time, on August 23, 2022 at Building 20, No. 56 AnTuo Road, Jiading District, Shanghai, 201804, People’s Republic of China, or by email at ir@nio.com, to ensure your representation at the Class C Meeting.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REPORT</w:t>
      </w:r>
    </w:p>
    <w:p>
      <w:pPr>
        <w:spacing w:after="0" w:line="213" w:lineRule="exact"/>
        <w:rPr>
          <w:sz w:val="20"/>
          <w:szCs w:val="20"/>
          <w:color w:val="auto"/>
        </w:rPr>
      </w:pPr>
    </w:p>
    <w:p>
      <w:pPr>
        <w:jc w:val="both"/>
        <w:ind w:firstLine="596"/>
        <w:spacing w:after="0" w:line="262" w:lineRule="auto"/>
        <w:rPr>
          <w:sz w:val="20"/>
          <w:szCs w:val="20"/>
          <w:color w:val="auto"/>
        </w:rPr>
      </w:pPr>
      <w:r>
        <w:rPr>
          <w:rFonts w:ascii="Times New Roman" w:cs="Times New Roman" w:eastAsia="Times New Roman" w:hAnsi="Times New Roman"/>
          <w:sz w:val="17"/>
          <w:szCs w:val="17"/>
          <w:color w:val="auto"/>
        </w:rPr>
        <w:t>Shareholders may obtain a copy of the Company’s annual report, free of charge, from the Company’s website at ir.nio.com, the HKEX’s website at www.hkexnews.hk or from the SEC’s website at www.sec.gov, or by contacting Investor Relations Department, NIO Inc., Building 20, No. 56 AnTuo Road, Jiading District, Shanghai, 201804, People’s Republic of China, or by email to ir@nio.com.</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564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By Order of the Board of Directors,</w:t>
            </w:r>
          </w:p>
        </w:tc>
      </w:tr>
      <w:tr>
        <w:trPr>
          <w:trHeight w:val="222"/>
        </w:trPr>
        <w:tc>
          <w:tcPr>
            <w:tcW w:w="564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NIO Inc.</w:t>
            </w:r>
          </w:p>
        </w:tc>
      </w:tr>
      <w:tr>
        <w:trPr>
          <w:trHeight w:val="405"/>
        </w:trPr>
        <w:tc>
          <w:tcPr>
            <w:tcW w:w="564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Bin Li</w:t>
            </w:r>
          </w:p>
        </w:tc>
      </w:tr>
      <w:tr>
        <w:trPr>
          <w:trHeight w:val="175"/>
        </w:trPr>
        <w:tc>
          <w:tcPr>
            <w:tcW w:w="5640" w:type="dxa"/>
            <w:vAlign w:val="bottom"/>
          </w:tcPr>
          <w:p>
            <w:pPr>
              <w:spacing w:after="0"/>
              <w:rPr>
                <w:sz w:val="15"/>
                <w:szCs w:val="15"/>
                <w:color w:val="auto"/>
              </w:rPr>
            </w:pPr>
          </w:p>
        </w:tc>
        <w:tc>
          <w:tcPr>
            <w:tcW w:w="5620" w:type="dxa"/>
            <w:vAlign w:val="bottom"/>
          </w:tcPr>
          <w:p>
            <w:pPr>
              <w:spacing w:after="0" w:line="175" w:lineRule="exact"/>
              <w:rPr>
                <w:sz w:val="20"/>
                <w:szCs w:val="20"/>
                <w:color w:val="auto"/>
              </w:rPr>
            </w:pPr>
            <w:r>
              <w:rPr>
                <w:rFonts w:ascii="Times New Roman" w:cs="Times New Roman" w:eastAsia="Times New Roman" w:hAnsi="Times New Roman"/>
                <w:sz w:val="17"/>
                <w:szCs w:val="17"/>
                <w:b w:val="1"/>
                <w:bCs w:val="1"/>
                <w:color w:val="auto"/>
              </w:rPr>
              <w:t>Bin Li</w:t>
            </w:r>
          </w:p>
        </w:tc>
      </w:tr>
      <w:tr>
        <w:trPr>
          <w:trHeight w:val="222"/>
        </w:trPr>
        <w:tc>
          <w:tcPr>
            <w:tcW w:w="564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Chairman of the Board</w:t>
            </w:r>
          </w:p>
        </w:tc>
      </w:tr>
      <w:tr>
        <w:trPr>
          <w:trHeight w:val="203"/>
        </w:trPr>
        <w:tc>
          <w:tcPr>
            <w:tcW w:w="5640" w:type="dxa"/>
            <w:vAlign w:val="bottom"/>
            <w:tcBorders>
              <w:bottom w:val="single" w:sz="8" w:color="auto"/>
            </w:tcBorders>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r>
      <w:tr>
        <w:trPr>
          <w:trHeight w:val="178"/>
        </w:trPr>
        <w:tc>
          <w:tcPr>
            <w:tcW w:w="5640" w:type="dxa"/>
            <w:vAlign w:val="bottom"/>
            <w:tcBorders>
              <w:left w:val="single" w:sz="8" w:color="auto"/>
              <w:right w:val="single" w:sz="8" w:color="auto"/>
            </w:tcBorders>
          </w:tcPr>
          <w:p>
            <w:pPr>
              <w:ind w:left="100"/>
              <w:spacing w:after="0" w:line="178" w:lineRule="exact"/>
              <w:rPr>
                <w:sz w:val="20"/>
                <w:szCs w:val="20"/>
                <w:color w:val="auto"/>
              </w:rPr>
            </w:pPr>
            <w:r>
              <w:rPr>
                <w:rFonts w:ascii="Times New Roman" w:cs="Times New Roman" w:eastAsia="Times New Roman" w:hAnsi="Times New Roman"/>
                <w:sz w:val="17"/>
                <w:szCs w:val="17"/>
                <w:i w:val="1"/>
                <w:iCs w:val="1"/>
                <w:color w:val="auto"/>
              </w:rPr>
              <w:t>Executive Office</w:t>
            </w:r>
            <w:r>
              <w:rPr>
                <w:rFonts w:ascii="Times New Roman" w:cs="Times New Roman" w:eastAsia="Times New Roman" w:hAnsi="Times New Roman"/>
                <w:sz w:val="17"/>
                <w:szCs w:val="17"/>
                <w:color w:val="auto"/>
              </w:rPr>
              <w:t>:</w:t>
            </w:r>
          </w:p>
        </w:tc>
        <w:tc>
          <w:tcPr>
            <w:tcW w:w="5620" w:type="dxa"/>
            <w:vAlign w:val="bottom"/>
            <w:tcBorders>
              <w:right w:val="single" w:sz="8" w:color="auto"/>
            </w:tcBorders>
          </w:tcPr>
          <w:p>
            <w:pPr>
              <w:ind w:left="80"/>
              <w:spacing w:after="0" w:line="178" w:lineRule="exact"/>
              <w:rPr>
                <w:sz w:val="20"/>
                <w:szCs w:val="20"/>
                <w:color w:val="auto"/>
              </w:rPr>
            </w:pPr>
            <w:r>
              <w:rPr>
                <w:rFonts w:ascii="Times New Roman" w:cs="Times New Roman" w:eastAsia="Times New Roman" w:hAnsi="Times New Roman"/>
                <w:sz w:val="17"/>
                <w:szCs w:val="17"/>
                <w:i w:val="1"/>
                <w:iCs w:val="1"/>
                <w:color w:val="auto"/>
              </w:rPr>
              <w:t>Registered Office</w:t>
            </w:r>
            <w:r>
              <w:rPr>
                <w:rFonts w:ascii="Times New Roman" w:cs="Times New Roman" w:eastAsia="Times New Roman" w:hAnsi="Times New Roman"/>
                <w:sz w:val="17"/>
                <w:szCs w:val="17"/>
                <w:color w:val="auto"/>
              </w:rPr>
              <w:t>:</w:t>
            </w:r>
          </w:p>
        </w:tc>
      </w:tr>
      <w:tr>
        <w:trPr>
          <w:trHeight w:val="202"/>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Building 20, No. 56 AnTuo Road, Anting Town,</w:t>
            </w: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PO Box 309, Ugland House, Grand Cayman,</w:t>
            </w:r>
          </w:p>
        </w:tc>
      </w:tr>
      <w:tr>
        <w:trPr>
          <w:trHeight w:val="202"/>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Jiading District, Shanghai 201804</w:t>
            </w: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KY1-1104, Cayman Islands</w:t>
            </w:r>
          </w:p>
        </w:tc>
      </w:tr>
      <w:tr>
        <w:trPr>
          <w:trHeight w:val="218"/>
        </w:trPr>
        <w:tc>
          <w:tcPr>
            <w:tcW w:w="5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People’s Republic of China</w:t>
            </w:r>
          </w:p>
        </w:tc>
        <w:tc>
          <w:tcPr>
            <w:tcW w:w="5620" w:type="dxa"/>
            <w:vAlign w:val="bottom"/>
            <w:tcBorders>
              <w:bottom w:val="single" w:sz="8" w:color="auto"/>
              <w:right w:val="single" w:sz="8" w:color="auto"/>
            </w:tcBorders>
          </w:tcPr>
          <w:p>
            <w:pPr>
              <w:spacing w:after="0"/>
              <w:rPr>
                <w:sz w:val="18"/>
                <w:szCs w:val="18"/>
                <w:color w:val="auto"/>
              </w:rPr>
            </w:pPr>
          </w:p>
        </w:tc>
      </w:tr>
      <w:tr>
        <w:trPr>
          <w:trHeight w:val="397"/>
        </w:trPr>
        <w:tc>
          <w:tcPr>
            <w:tcW w:w="56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July 26, 2022</w:t>
            </w:r>
          </w:p>
        </w:tc>
        <w:tc>
          <w:tcPr>
            <w:tcW w:w="5620" w:type="dxa"/>
            <w:vAlign w:val="bottom"/>
          </w:tcPr>
          <w:p>
            <w:pPr>
              <w:spacing w:after="0"/>
              <w:rPr>
                <w:sz w:val="24"/>
                <w:szCs w:val="24"/>
                <w:color w:val="auto"/>
              </w:rPr>
            </w:pPr>
          </w:p>
        </w:tc>
      </w:tr>
      <w:tr>
        <w:trPr>
          <w:trHeight w:val="860"/>
        </w:trPr>
        <w:tc>
          <w:tcPr>
            <w:tcW w:w="56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2"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b w:val="1"/>
          <w:bCs w:val="1"/>
          <w:color w:val="auto"/>
        </w:rPr>
        <w:t>Exhibit 99.4</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NIO Inc.</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i w:val="1"/>
          <w:iCs w:val="1"/>
          <w:color w:val="auto"/>
        </w:rPr>
        <w:t>(A company controlled through weighted voting rights and</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i w:val="1"/>
          <w:iCs w:val="1"/>
          <w:color w:val="auto"/>
        </w:rPr>
        <w:t>incorporated in the Cayman Islands with limited liability)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(NYSE: NIO; HKEX: 9866; SGX: NIO)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Class A Meeting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held on August 25,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(or any adjournment(s) or postponement(s) thereof)</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NOTICE IS HEREBY GIVEN </w:t>
      </w:r>
      <w:r>
        <w:rPr>
          <w:rFonts w:ascii="Times New Roman" w:cs="Times New Roman" w:eastAsia="Times New Roman" w:hAnsi="Times New Roman"/>
          <w:sz w:val="17"/>
          <w:szCs w:val="17"/>
          <w:color w:val="auto"/>
        </w:rPr>
        <w:t>that a class meeting (the “</w:t>
      </w:r>
      <w:r>
        <w:rPr>
          <w:rFonts w:ascii="Times New Roman" w:cs="Times New Roman" w:eastAsia="Times New Roman" w:hAnsi="Times New Roman"/>
          <w:sz w:val="17"/>
          <w:szCs w:val="17"/>
          <w:b w:val="1"/>
          <w:bCs w:val="1"/>
          <w:color w:val="auto"/>
        </w:rPr>
        <w:t>Class A Meeting</w:t>
      </w:r>
      <w:r>
        <w:rPr>
          <w:rFonts w:ascii="Times New Roman" w:cs="Times New Roman" w:eastAsia="Times New Roman" w:hAnsi="Times New Roman"/>
          <w:sz w:val="17"/>
          <w:szCs w:val="17"/>
          <w:color w:val="auto"/>
        </w:rPr>
        <w:t>”) of holders of Class A ordinary shares with a par value of US$0.00025 each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Class A Ordinary Shares</w:t>
      </w:r>
      <w:r>
        <w:rPr>
          <w:rFonts w:ascii="Times New Roman" w:cs="Times New Roman" w:eastAsia="Times New Roman" w:hAnsi="Times New Roman"/>
          <w:sz w:val="17"/>
          <w:szCs w:val="17"/>
          <w:color w:val="auto"/>
        </w:rPr>
        <w:t>”) of NIO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will be held at 10:15 am (or soon after the class meeting of holders of the Class C ordinary shares of the Company convened on the same date and at the same place as the Class A Meeting), Beijing time, on August 25, 2022 at Building 16, No. 56 AnTuo Road, Anting Town, Jiading District, Shanghai 201804, People’s Republic of China, for the purposes of considering and, if thought fit, passing each of the following resolution (the “</w:t>
      </w:r>
      <w:r>
        <w:rPr>
          <w:rFonts w:ascii="Times New Roman" w:cs="Times New Roman" w:eastAsia="Times New Roman" w:hAnsi="Times New Roman"/>
          <w:sz w:val="17"/>
          <w:szCs w:val="17"/>
          <w:b w:val="1"/>
          <w:bCs w:val="1"/>
          <w:color w:val="auto"/>
        </w:rPr>
        <w:t>Class-based Resolution</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jc w:val="both"/>
        <w:ind w:left="300" w:hanging="299"/>
        <w:spacing w:after="0" w:line="253" w:lineRule="auto"/>
        <w:tabs>
          <w:tab w:leader="none" w:pos="3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special resolution, THAT subject to the passing of the Class-based Resolution at each of the class meeting of holders of Class C ordinary shares with a par value of US$0.00025 each and the annual general meeting of the Company convened on the same date and at the same place as the Class A Meeting, the Company’s Twelfth Amended and Restated Memorandum of Association and Articles of Association in effect be amended and restated by the deletion in their entirety and the substitution in their place of the Thirteenth Amended and Restated Memorandum and Articles of Association annexed to this notice, as more particularly disclosed on pages 141 to 152 of the Company’s Hong Kong listing document dated February 28, 2022, by incorporating the following requirements under the Hong Kong Listing Rules: paragraph 15 of Appendix 3 and Rules 8A.09, 8A.13 to 8A.19, 8A.21 to 8A.24.</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passing of the above resolution requires approval by holders of two-thirds of the voting rights of those present and voting in person or by proxy for Class A Ordinary Shares, on a one share one vote basis. The quorum of the Class A Meeting shall be one or more members holding at least one-third of the issued Class A Ordinary Shares .</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SHARES RECORD DATE AND ADS RECORD DATE</w:t>
      </w:r>
    </w:p>
    <w:p>
      <w:pPr>
        <w:spacing w:after="0" w:line="209" w:lineRule="exact"/>
        <w:rPr>
          <w:sz w:val="20"/>
          <w:szCs w:val="20"/>
          <w:color w:val="auto"/>
        </w:rPr>
      </w:pPr>
    </w:p>
    <w:p>
      <w:pPr>
        <w:jc w:val="both"/>
        <w:ind w:firstLine="607"/>
        <w:spacing w:after="0" w:line="264" w:lineRule="auto"/>
        <w:rPr>
          <w:sz w:val="20"/>
          <w:szCs w:val="20"/>
          <w:color w:val="auto"/>
        </w:rPr>
      </w:pPr>
      <w:r>
        <w:rPr>
          <w:rFonts w:ascii="Times New Roman" w:cs="Times New Roman" w:eastAsia="Times New Roman" w:hAnsi="Times New Roman"/>
          <w:sz w:val="17"/>
          <w:szCs w:val="17"/>
          <w:color w:val="auto"/>
        </w:rPr>
        <w:t>The board of directors of the Company has fixed the close of business on July 22, 2022, Hong Kong time, as the record date (the “</w:t>
      </w:r>
      <w:r>
        <w:rPr>
          <w:rFonts w:ascii="Times New Roman" w:cs="Times New Roman" w:eastAsia="Times New Roman" w:hAnsi="Times New Roman"/>
          <w:sz w:val="17"/>
          <w:szCs w:val="17"/>
          <w:b w:val="1"/>
          <w:bCs w:val="1"/>
          <w:color w:val="auto"/>
        </w:rPr>
        <w:t>Shares Record Date</w:t>
      </w:r>
      <w:r>
        <w:rPr>
          <w:rFonts w:ascii="Times New Roman" w:cs="Times New Roman" w:eastAsia="Times New Roman" w:hAnsi="Times New Roman"/>
          <w:sz w:val="17"/>
          <w:szCs w:val="17"/>
          <w:color w:val="auto"/>
        </w:rPr>
        <w:t>”) of Class A Ordinary Shares. Holders of record of the Class A Ordinary Shares (as of the Shares Record Date) are entitled to attend and vote at the Class A Meeting and any adjourned meeting thereof.</w:t>
      </w:r>
    </w:p>
    <w:p>
      <w:pPr>
        <w:spacing w:after="0" w:line="164" w:lineRule="exact"/>
        <w:rPr>
          <w:sz w:val="20"/>
          <w:szCs w:val="20"/>
          <w:color w:val="auto"/>
        </w:rPr>
      </w:pPr>
    </w:p>
    <w:p>
      <w:pPr>
        <w:jc w:val="both"/>
        <w:ind w:firstLine="607"/>
        <w:spacing w:after="0" w:line="264" w:lineRule="auto"/>
        <w:rPr>
          <w:sz w:val="20"/>
          <w:szCs w:val="20"/>
          <w:color w:val="auto"/>
        </w:rPr>
      </w:pPr>
      <w:r>
        <w:rPr>
          <w:rFonts w:ascii="Times New Roman" w:cs="Times New Roman" w:eastAsia="Times New Roman" w:hAnsi="Times New Roman"/>
          <w:sz w:val="17"/>
          <w:szCs w:val="17"/>
          <w:color w:val="auto"/>
        </w:rPr>
        <w:t>Holders of record of American Depositary Shares (the “</w:t>
      </w:r>
      <w:r>
        <w:rPr>
          <w:rFonts w:ascii="Times New Roman" w:cs="Times New Roman" w:eastAsia="Times New Roman" w:hAnsi="Times New Roman"/>
          <w:sz w:val="17"/>
          <w:szCs w:val="17"/>
          <w:b w:val="1"/>
          <w:bCs w:val="1"/>
          <w:color w:val="auto"/>
        </w:rPr>
        <w:t>ADSs</w:t>
      </w:r>
      <w:r>
        <w:rPr>
          <w:rFonts w:ascii="Times New Roman" w:cs="Times New Roman" w:eastAsia="Times New Roman" w:hAnsi="Times New Roman"/>
          <w:sz w:val="17"/>
          <w:szCs w:val="17"/>
          <w:color w:val="auto"/>
        </w:rPr>
        <w:t>”) as of the close of business on July 22, 2022 (New York time) (the “</w:t>
      </w:r>
      <w:r>
        <w:rPr>
          <w:rFonts w:ascii="Times New Roman" w:cs="Times New Roman" w:eastAsia="Times New Roman" w:hAnsi="Times New Roman"/>
          <w:sz w:val="17"/>
          <w:szCs w:val="17"/>
          <w:b w:val="1"/>
          <w:bCs w:val="1"/>
          <w:color w:val="auto"/>
        </w:rPr>
        <w:t>ADS Record Date,</w:t>
      </w:r>
      <w:r>
        <w:rPr>
          <w:rFonts w:ascii="Times New Roman" w:cs="Times New Roman" w:eastAsia="Times New Roman" w:hAnsi="Times New Roman"/>
          <w:sz w:val="17"/>
          <w:szCs w:val="17"/>
          <w:color w:val="auto"/>
        </w:rPr>
        <w:t>” together with the Shares Record Date,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will be able to instruct Deutsche Bank Trust Company Americas, the depositary of the ADSs, as to how to vote the Class A Ordinary Shares represented by such ADSs at the Class A Meeting.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ATTENDING THE CLASS A MEETING</w:t>
      </w:r>
    </w:p>
    <w:p>
      <w:pPr>
        <w:spacing w:after="0" w:line="213" w:lineRule="exact"/>
        <w:rPr>
          <w:sz w:val="20"/>
          <w:szCs w:val="20"/>
          <w:color w:val="auto"/>
        </w:rPr>
      </w:pPr>
    </w:p>
    <w:p>
      <w:pPr>
        <w:jc w:val="both"/>
        <w:ind w:firstLine="607"/>
        <w:spacing w:after="0" w:line="275" w:lineRule="auto"/>
        <w:rPr>
          <w:sz w:val="20"/>
          <w:szCs w:val="20"/>
          <w:color w:val="auto"/>
        </w:rPr>
      </w:pPr>
      <w:r>
        <w:rPr>
          <w:rFonts w:ascii="Times New Roman" w:cs="Times New Roman" w:eastAsia="Times New Roman" w:hAnsi="Times New Roman"/>
          <w:sz w:val="17"/>
          <w:szCs w:val="17"/>
          <w:color w:val="auto"/>
        </w:rPr>
        <w:t>Only holders of record of Class A Ordinary Shares as of the Shares Record Date are entitled to attend and vote at the Class A Meeting. Holders of ADSs must give voting instructions to Deutsche Bank Trust Company Americas if they wish to exercise their voting rights for the underlying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384175</wp:posOffset>
            </wp:positionV>
            <wp:extent cx="714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49" w:name="page50"/>
    <w:bookmarkEnd w:id="49"/>
    <w:p>
      <w:pPr>
        <w:ind w:left="600"/>
        <w:spacing w:after="0"/>
        <w:rPr>
          <w:sz w:val="20"/>
          <w:szCs w:val="20"/>
          <w:color w:val="auto"/>
        </w:rPr>
      </w:pPr>
      <w:r>
        <w:rPr>
          <w:rFonts w:ascii="Times New Roman" w:cs="Times New Roman" w:eastAsia="Times New Roman" w:hAnsi="Times New Roman"/>
          <w:sz w:val="17"/>
          <w:szCs w:val="17"/>
          <w:color w:val="auto"/>
        </w:rPr>
        <w:t>Holders of Class A Ordinary Shares which are held through (either directly or through depository agents) securities accounts (the “</w:t>
      </w:r>
      <w:r>
        <w:rPr>
          <w:rFonts w:ascii="Times New Roman" w:cs="Times New Roman" w:eastAsia="Times New Roman" w:hAnsi="Times New Roman"/>
          <w:sz w:val="17"/>
          <w:szCs w:val="17"/>
          <w:b w:val="1"/>
          <w:bCs w:val="1"/>
          <w:color w:val="auto"/>
        </w:rPr>
        <w:t>NIO CDP Depositors</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maintained with The Central Depository (Pte) Limited (“</w:t>
      </w:r>
      <w:r>
        <w:rPr>
          <w:rFonts w:ascii="Times New Roman" w:cs="Times New Roman" w:eastAsia="Times New Roman" w:hAnsi="Times New Roman"/>
          <w:sz w:val="17"/>
          <w:szCs w:val="17"/>
          <w:b w:val="1"/>
          <w:bCs w:val="1"/>
          <w:color w:val="auto"/>
        </w:rPr>
        <w:t>CDP</w:t>
      </w:r>
      <w:r>
        <w:rPr>
          <w:rFonts w:ascii="Times New Roman" w:cs="Times New Roman" w:eastAsia="Times New Roman" w:hAnsi="Times New Roman"/>
          <w:sz w:val="17"/>
          <w:szCs w:val="17"/>
          <w:color w:val="auto"/>
        </w:rPr>
        <w:t>”) (Singapore) who:</w:t>
      </w:r>
    </w:p>
    <w:p>
      <w:pPr>
        <w:spacing w:after="0" w:line="193" w:lineRule="exact"/>
        <w:rPr>
          <w:sz w:val="20"/>
          <w:szCs w:val="20"/>
          <w:color w:val="auto"/>
        </w:rPr>
      </w:pPr>
    </w:p>
    <w:p>
      <w:pPr>
        <w:ind w:left="600" w:hanging="599"/>
        <w:spacing w:after="0"/>
        <w:tabs>
          <w:tab w:leader="none" w:pos="60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wish to be appointed as CDP’s proxy to attend and cast votes at the Class A Meeting as CDP’s proxy; or</w:t>
      </w:r>
    </w:p>
    <w:p>
      <w:pPr>
        <w:spacing w:after="0" w:line="208"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wish to attend the Class A Meeting as CDP’s proxy but wish to provide instructions as to voting, or abstentions from voting,</w:t>
      </w:r>
    </w:p>
    <w:p>
      <w:pPr>
        <w:spacing w:after="0" w:line="208" w:lineRule="exact"/>
        <w:rPr>
          <w:rFonts w:ascii="Times New Roman" w:cs="Times New Roman" w:eastAsia="Times New Roman" w:hAnsi="Times New Roman"/>
          <w:sz w:val="17"/>
          <w:szCs w:val="17"/>
          <w:color w:val="auto"/>
        </w:rPr>
      </w:pPr>
    </w:p>
    <w:p>
      <w:pPr>
        <w:jc w:val="both"/>
        <w:ind w:left="6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should complete and return the Class A Meeting Depositor Proxy Form, which will be mailed to the NIO CDP Depositors and is also available on our website at </w:t>
      </w:r>
      <w:r>
        <w:rPr>
          <w:rFonts w:ascii="Times New Roman" w:cs="Times New Roman" w:eastAsia="Times New Roman" w:hAnsi="Times New Roman"/>
          <w:sz w:val="17"/>
          <w:szCs w:val="17"/>
          <w:u w:val="single" w:color="auto"/>
          <w:color w:val="auto"/>
        </w:rPr>
        <w:t>https://ir.nio.com</w:t>
      </w:r>
      <w:r>
        <w:rPr>
          <w:rFonts w:ascii="Times New Roman" w:cs="Times New Roman" w:eastAsia="Times New Roman" w:hAnsi="Times New Roman"/>
          <w:sz w:val="17"/>
          <w:szCs w:val="17"/>
          <w:color w:val="auto"/>
        </w:rPr>
        <w:t xml:space="preserve">, to Boardroom Corporate &amp; Advisory Services Pte. Ltd. (“Boardroom”), the Singapore transfer agent of the Company, by 5 pm, Singapore time, on August 18, 2022. For the avoidance of doubt, NIO CDP Depositors who do not complete and return the Class A Meeting Depositor Proxy Form by 5 pm, Singapore time, on August 18, 2022, will </w:t>
      </w:r>
      <w:r>
        <w:rPr>
          <w:rFonts w:ascii="Times New Roman" w:cs="Times New Roman" w:eastAsia="Times New Roman" w:hAnsi="Times New Roman"/>
          <w:sz w:val="17"/>
          <w:szCs w:val="17"/>
          <w:b w:val="1"/>
          <w:bCs w:val="1"/>
          <w:u w:val="single" w:color="auto"/>
          <w:color w:val="auto"/>
        </w:rPr>
        <w:t>not</w:t>
      </w:r>
      <w:r>
        <w:rPr>
          <w:rFonts w:ascii="Times New Roman" w:cs="Times New Roman" w:eastAsia="Times New Roman" w:hAnsi="Times New Roman"/>
          <w:sz w:val="17"/>
          <w:szCs w:val="17"/>
          <w:color w:val="auto"/>
        </w:rPr>
        <w:t xml:space="preserve"> be able to attend or vote at the Class A Meeting, or provide instructions as to voting, or abstentions from voting.</w:t>
      </w:r>
    </w:p>
    <w:p>
      <w:pPr>
        <w:spacing w:after="0" w:line="174"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NIO CDP Depositors who have queries on the above instructions should contact Boardroom via the following for assistance:</w:t>
      </w:r>
    </w:p>
    <w:p>
      <w:pPr>
        <w:spacing w:after="0" w:line="204"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Boardroom Corporate &amp; Advisory Services Pte. Ltd.</w:t>
      </w:r>
    </w:p>
    <w:p>
      <w:pPr>
        <w:spacing w:after="0" w:line="212"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1 Harbourfront Avenue, #14-07 Keppel Bay Tower, Singapore 098632</w:t>
      </w:r>
    </w:p>
    <w:p>
      <w:pPr>
        <w:spacing w:after="0" w:line="208"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Telephone: (+65) 6536 5355</w:t>
      </w:r>
    </w:p>
    <w:p>
      <w:pPr>
        <w:spacing w:after="0" w:line="208"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E-mail: agm.teame@boardroomlimited.com</w:t>
      </w:r>
    </w:p>
    <w:p>
      <w:pPr>
        <w:spacing w:after="0" w:line="209" w:lineRule="exact"/>
        <w:rPr>
          <w:sz w:val="20"/>
          <w:szCs w:val="20"/>
          <w:color w:val="auto"/>
        </w:rPr>
      </w:pPr>
    </w:p>
    <w:p>
      <w:pPr>
        <w:jc w:val="both"/>
        <w:ind w:firstLine="607"/>
        <w:spacing w:after="0" w:line="262" w:lineRule="auto"/>
        <w:rPr>
          <w:sz w:val="20"/>
          <w:szCs w:val="20"/>
          <w:color w:val="auto"/>
        </w:rPr>
      </w:pPr>
      <w:r>
        <w:rPr>
          <w:rFonts w:ascii="Times New Roman" w:cs="Times New Roman" w:eastAsia="Times New Roman" w:hAnsi="Times New Roman"/>
          <w:sz w:val="17"/>
          <w:szCs w:val="17"/>
          <w:color w:val="auto"/>
        </w:rPr>
        <w:t>In relation to paragraphs (a) and (b) above, NIO CDP Depositors should further note that they will only be able to be appointed as CDP’s proxy and/or exercise their voting rights in respect of such number of Class A Ordinary Shares set out against their respective names in the depository register maintained by the CDP as at the Shares Record Date.</w:t>
      </w:r>
    </w:p>
    <w:p>
      <w:pPr>
        <w:spacing w:after="0" w:line="168" w:lineRule="exact"/>
        <w:rPr>
          <w:sz w:val="20"/>
          <w:szCs w:val="20"/>
          <w:color w:val="auto"/>
        </w:rPr>
      </w:pPr>
    </w:p>
    <w:p>
      <w:pPr>
        <w:jc w:val="both"/>
        <w:ind w:firstLine="607"/>
        <w:spacing w:after="0" w:line="255" w:lineRule="auto"/>
        <w:rPr>
          <w:sz w:val="20"/>
          <w:szCs w:val="20"/>
          <w:color w:val="auto"/>
        </w:rPr>
      </w:pPr>
      <w:r>
        <w:rPr>
          <w:rFonts w:ascii="Times New Roman" w:cs="Times New Roman" w:eastAsia="Times New Roman" w:hAnsi="Times New Roman"/>
          <w:sz w:val="17"/>
          <w:szCs w:val="17"/>
          <w:color w:val="auto"/>
        </w:rPr>
        <w:t>In order to prevent the spread of COVID-19 and to safeguard the health and safety of shareholders, the Company may implement certain precautionary measures at the Class A Meeting. All officers and agents of the Company reserve the right to refuse any person entry to the Class A Meeting venue, or to instruct any person to leave the Class A Meeting venue, where such officer or agent reasonably considers that such refusal or instruction is or may be required for the Company or any other person to be able to comply with applicable laws and regulations. The exercise of such right to refuse entry or instruct to leave shall not invalidate the proceedings at the Class A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PROXY FORMS, ADS VOTING CARDS AND DEPOSITOR PROXY FORMS</w:t>
      </w:r>
    </w:p>
    <w:p>
      <w:pPr>
        <w:spacing w:after="0" w:line="213"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7"/>
          <w:szCs w:val="17"/>
          <w:color w:val="auto"/>
        </w:rPr>
        <w:t>A holder of Class A Ordinary Shares as of the Shares Record Date may attend the Class A Meeting in person or appoint a proxy to exercise his or her rights at the Class A Meeting. A holder of ADSs as of the ADS Record Date will need to instruct Deutsche Bank Trust Company Americas, the depositary of the ADSs, as to how to vote the Class A Ordinary Shares represented by the ADSs. NIO CDP Depositors can exercise their voting rights in the manner set out in paragraphs (a) or</w:t>
      </w:r>
    </w:p>
    <w:p>
      <w:pPr>
        <w:spacing w:after="0" w:line="2" w:lineRule="exact"/>
        <w:rPr>
          <w:sz w:val="20"/>
          <w:szCs w:val="20"/>
          <w:color w:val="auto"/>
        </w:rPr>
      </w:pPr>
    </w:p>
    <w:p>
      <w:pPr>
        <w:ind w:firstLine="1"/>
        <w:spacing w:after="0" w:line="256" w:lineRule="auto"/>
        <w:tabs>
          <w:tab w:leader="none" w:pos="2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above by submitting the completed Class A Meeting Depositor Proxy Form to Boardroom. Please refer to the proxy form (for holders of Shares), ADS voting card (for holders of ADSs) or Class A Meeting Depositor Proxy Form (for NIO CDP Depositors), each of which is available on our website at </w:t>
      </w:r>
      <w:r>
        <w:rPr>
          <w:rFonts w:ascii="Times New Roman" w:cs="Times New Roman" w:eastAsia="Times New Roman" w:hAnsi="Times New Roman"/>
          <w:sz w:val="17"/>
          <w:szCs w:val="17"/>
          <w:u w:val="single" w:color="auto"/>
          <w:color w:val="auto"/>
        </w:rPr>
        <w:t>https://ir.nio.com</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jc w:val="both"/>
        <w:ind w:firstLine="596"/>
        <w:spacing w:after="0" w:line="251" w:lineRule="auto"/>
        <w:rPr>
          <w:sz w:val="20"/>
          <w:szCs w:val="20"/>
          <w:color w:val="auto"/>
        </w:rPr>
      </w:pPr>
      <w:r>
        <w:rPr>
          <w:rFonts w:ascii="Times New Roman" w:cs="Times New Roman" w:eastAsia="Times New Roman" w:hAnsi="Times New Roman"/>
          <w:sz w:val="17"/>
          <w:szCs w:val="17"/>
          <w:color w:val="auto"/>
        </w:rPr>
        <w:t>You are urged to complete, sign, date and return the accompanying proxy form to the Company’s Hong Kong branch share registrar and transfer office, Computershare Hong Kong Investor Services Limited (“</w:t>
      </w:r>
      <w:r>
        <w:rPr>
          <w:rFonts w:ascii="Times New Roman" w:cs="Times New Roman" w:eastAsia="Times New Roman" w:hAnsi="Times New Roman"/>
          <w:sz w:val="17"/>
          <w:szCs w:val="17"/>
          <w:b w:val="1"/>
          <w:bCs w:val="1"/>
          <w:color w:val="auto"/>
        </w:rPr>
        <w:t>Computershare</w:t>
      </w:r>
      <w:r>
        <w:rPr>
          <w:rFonts w:ascii="Times New Roman" w:cs="Times New Roman" w:eastAsia="Times New Roman" w:hAnsi="Times New Roman"/>
          <w:sz w:val="17"/>
          <w:szCs w:val="17"/>
          <w:color w:val="auto"/>
        </w:rPr>
        <w:t>”) (for holders of Shares), your voting instructions to Deutsche Bank Trust Company Americas (for holders of the ADSs), and the Class A Meeting Depositor Proxy Form to Boardroom (for NIO CDP Depositors) as promptly as possible and before the prescribed deadline if you wish to exercise your voting rights. Computershare must receive the proxy form by no later than 10:15 am, Hong Kong time, on August 23, 2022 at 17M Floor, Hopewell Centre, 183 Queen’s Road East, Wan Chai, Hong Kong, being not less than 48 hours before the time for holding the Class A Meeting, to ensure your representation at the Class A Meeting. Deutsche Bank Trust Company Americas must receive your voting instructions by no later than 10 am, New York time, on August 11, 2022 to enable the votes attaching to the Class A Ordinary Shares represented by your ADSs to be cast at the Class A Meeting. To exercise their voting rights in the manner set out at paragraphs (a) or (b) above under the section titled “Attending the Class A Meeting,” NIO CDP Depositors must return the completed Class A Meeting Depositor Proxy Form to Boardroom by no later than 5 pm, Singapore time, on August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398780</wp:posOffset>
            </wp:positionV>
            <wp:extent cx="7141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ANNUAL REPORT</w:t>
      </w:r>
    </w:p>
    <w:p>
      <w:pPr>
        <w:spacing w:after="0" w:line="213" w:lineRule="exact"/>
        <w:rPr>
          <w:sz w:val="20"/>
          <w:szCs w:val="20"/>
          <w:color w:val="auto"/>
        </w:rPr>
      </w:pPr>
    </w:p>
    <w:p>
      <w:pPr>
        <w:jc w:val="both"/>
        <w:ind w:firstLine="596"/>
        <w:spacing w:after="0" w:line="262" w:lineRule="auto"/>
        <w:rPr>
          <w:sz w:val="20"/>
          <w:szCs w:val="20"/>
          <w:color w:val="auto"/>
        </w:rPr>
      </w:pPr>
      <w:r>
        <w:rPr>
          <w:rFonts w:ascii="Times New Roman" w:cs="Times New Roman" w:eastAsia="Times New Roman" w:hAnsi="Times New Roman"/>
          <w:sz w:val="17"/>
          <w:szCs w:val="17"/>
          <w:color w:val="auto"/>
        </w:rPr>
        <w:t>Shareholders may obtain a copy of the Company’s annual report, free of charge, from the Company’s website at ir.nio.com, the HKEX’s website at www.hkexnews.hk or from the SEC’s website at www.sec.gov, or by contacting Investor Relations Department, NIO Inc., Building 20, No. 56 AnTuo Road, Jiading District, Shanghai, 201804, People’s Republic of China, or by email to ir@nio.com.</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564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By Order of the Board of Directors,</w:t>
            </w:r>
          </w:p>
        </w:tc>
      </w:tr>
      <w:tr>
        <w:trPr>
          <w:trHeight w:val="222"/>
        </w:trPr>
        <w:tc>
          <w:tcPr>
            <w:tcW w:w="564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NIO Inc.</w:t>
            </w:r>
          </w:p>
        </w:tc>
      </w:tr>
      <w:tr>
        <w:trPr>
          <w:trHeight w:val="405"/>
        </w:trPr>
        <w:tc>
          <w:tcPr>
            <w:tcW w:w="564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Bin Li</w:t>
            </w:r>
          </w:p>
        </w:tc>
      </w:tr>
      <w:tr>
        <w:trPr>
          <w:trHeight w:val="175"/>
        </w:trPr>
        <w:tc>
          <w:tcPr>
            <w:tcW w:w="5640" w:type="dxa"/>
            <w:vAlign w:val="bottom"/>
          </w:tcPr>
          <w:p>
            <w:pPr>
              <w:spacing w:after="0"/>
              <w:rPr>
                <w:sz w:val="15"/>
                <w:szCs w:val="15"/>
                <w:color w:val="auto"/>
              </w:rPr>
            </w:pPr>
          </w:p>
        </w:tc>
        <w:tc>
          <w:tcPr>
            <w:tcW w:w="5620" w:type="dxa"/>
            <w:vAlign w:val="bottom"/>
          </w:tcPr>
          <w:p>
            <w:pPr>
              <w:spacing w:after="0" w:line="175" w:lineRule="exact"/>
              <w:rPr>
                <w:sz w:val="20"/>
                <w:szCs w:val="20"/>
                <w:color w:val="auto"/>
              </w:rPr>
            </w:pPr>
            <w:r>
              <w:rPr>
                <w:rFonts w:ascii="Times New Roman" w:cs="Times New Roman" w:eastAsia="Times New Roman" w:hAnsi="Times New Roman"/>
                <w:sz w:val="17"/>
                <w:szCs w:val="17"/>
                <w:b w:val="1"/>
                <w:bCs w:val="1"/>
                <w:color w:val="auto"/>
              </w:rPr>
              <w:t>Bin Li</w:t>
            </w:r>
          </w:p>
        </w:tc>
      </w:tr>
      <w:tr>
        <w:trPr>
          <w:trHeight w:val="222"/>
        </w:trPr>
        <w:tc>
          <w:tcPr>
            <w:tcW w:w="564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Chairman of the Board</w:t>
            </w:r>
          </w:p>
        </w:tc>
      </w:tr>
      <w:tr>
        <w:trPr>
          <w:trHeight w:val="203"/>
        </w:trPr>
        <w:tc>
          <w:tcPr>
            <w:tcW w:w="5640" w:type="dxa"/>
            <w:vAlign w:val="bottom"/>
            <w:tcBorders>
              <w:bottom w:val="single" w:sz="8" w:color="auto"/>
            </w:tcBorders>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r>
      <w:tr>
        <w:trPr>
          <w:trHeight w:val="178"/>
        </w:trPr>
        <w:tc>
          <w:tcPr>
            <w:tcW w:w="5640" w:type="dxa"/>
            <w:vAlign w:val="bottom"/>
            <w:tcBorders>
              <w:left w:val="single" w:sz="8" w:color="auto"/>
              <w:right w:val="single" w:sz="8" w:color="auto"/>
            </w:tcBorders>
          </w:tcPr>
          <w:p>
            <w:pPr>
              <w:ind w:left="100"/>
              <w:spacing w:after="0" w:line="178" w:lineRule="exact"/>
              <w:rPr>
                <w:sz w:val="20"/>
                <w:szCs w:val="20"/>
                <w:color w:val="auto"/>
              </w:rPr>
            </w:pPr>
            <w:r>
              <w:rPr>
                <w:rFonts w:ascii="Times New Roman" w:cs="Times New Roman" w:eastAsia="Times New Roman" w:hAnsi="Times New Roman"/>
                <w:sz w:val="17"/>
                <w:szCs w:val="17"/>
                <w:i w:val="1"/>
                <w:iCs w:val="1"/>
                <w:color w:val="auto"/>
              </w:rPr>
              <w:t>Executive Office</w:t>
            </w:r>
            <w:r>
              <w:rPr>
                <w:rFonts w:ascii="Times New Roman" w:cs="Times New Roman" w:eastAsia="Times New Roman" w:hAnsi="Times New Roman"/>
                <w:sz w:val="17"/>
                <w:szCs w:val="17"/>
                <w:color w:val="auto"/>
              </w:rPr>
              <w:t>:</w:t>
            </w:r>
          </w:p>
        </w:tc>
        <w:tc>
          <w:tcPr>
            <w:tcW w:w="5620" w:type="dxa"/>
            <w:vAlign w:val="bottom"/>
            <w:tcBorders>
              <w:right w:val="single" w:sz="8" w:color="auto"/>
            </w:tcBorders>
          </w:tcPr>
          <w:p>
            <w:pPr>
              <w:ind w:left="80"/>
              <w:spacing w:after="0" w:line="178" w:lineRule="exact"/>
              <w:rPr>
                <w:sz w:val="20"/>
                <w:szCs w:val="20"/>
                <w:color w:val="auto"/>
              </w:rPr>
            </w:pPr>
            <w:r>
              <w:rPr>
                <w:rFonts w:ascii="Times New Roman" w:cs="Times New Roman" w:eastAsia="Times New Roman" w:hAnsi="Times New Roman"/>
                <w:sz w:val="17"/>
                <w:szCs w:val="17"/>
                <w:i w:val="1"/>
                <w:iCs w:val="1"/>
                <w:color w:val="auto"/>
              </w:rPr>
              <w:t>Registered Office</w:t>
            </w:r>
            <w:r>
              <w:rPr>
                <w:rFonts w:ascii="Times New Roman" w:cs="Times New Roman" w:eastAsia="Times New Roman" w:hAnsi="Times New Roman"/>
                <w:sz w:val="17"/>
                <w:szCs w:val="17"/>
                <w:color w:val="auto"/>
              </w:rPr>
              <w:t>:</w:t>
            </w:r>
          </w:p>
        </w:tc>
      </w:tr>
      <w:tr>
        <w:trPr>
          <w:trHeight w:val="202"/>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Building 20, No. 56 AnTuo Road, Anting Town,</w:t>
            </w: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PO Box 309, Ugland House, Grand Cayman,</w:t>
            </w:r>
          </w:p>
        </w:tc>
      </w:tr>
      <w:tr>
        <w:trPr>
          <w:trHeight w:val="202"/>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Jiading District, Shanghai 201804</w:t>
            </w: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KY1-1104, Cayman Islands</w:t>
            </w:r>
          </w:p>
        </w:tc>
      </w:tr>
      <w:tr>
        <w:trPr>
          <w:trHeight w:val="218"/>
        </w:trPr>
        <w:tc>
          <w:tcPr>
            <w:tcW w:w="5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People’s Republic of China</w:t>
            </w:r>
          </w:p>
        </w:tc>
        <w:tc>
          <w:tcPr>
            <w:tcW w:w="5620" w:type="dxa"/>
            <w:vAlign w:val="bottom"/>
            <w:tcBorders>
              <w:bottom w:val="single" w:sz="8" w:color="auto"/>
              <w:right w:val="single" w:sz="8" w:color="auto"/>
            </w:tcBorders>
          </w:tcPr>
          <w:p>
            <w:pPr>
              <w:spacing w:after="0"/>
              <w:rPr>
                <w:sz w:val="18"/>
                <w:szCs w:val="18"/>
                <w:color w:val="auto"/>
              </w:rPr>
            </w:pPr>
          </w:p>
        </w:tc>
      </w:tr>
      <w:tr>
        <w:trPr>
          <w:trHeight w:val="397"/>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July 26, 2022</w:t>
            </w:r>
          </w:p>
        </w:tc>
        <w:tc>
          <w:tcPr>
            <w:tcW w:w="5620" w:type="dxa"/>
            <w:vAlign w:val="bottom"/>
          </w:tcPr>
          <w:p>
            <w:pPr>
              <w:spacing w:after="0"/>
              <w:rPr>
                <w:sz w:val="24"/>
                <w:szCs w:val="24"/>
                <w:color w:val="auto"/>
              </w:rPr>
            </w:pPr>
          </w:p>
        </w:tc>
      </w:tr>
      <w:tr>
        <w:trPr>
          <w:trHeight w:val="632"/>
        </w:trPr>
        <w:tc>
          <w:tcPr>
            <w:tcW w:w="56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2"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0"/>
          <w:szCs w:val="20"/>
          <w:b w:val="1"/>
          <w:bCs w:val="1"/>
          <w:color w:val="auto"/>
        </w:rPr>
        <w:t>Exhibit 99.5</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NIO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 company controlled through weighted voting rights and incorporated in the Cayman Islands with limited liability)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(NYSE: NIO; HKEX: 9866; SGX: NIO)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Proxy for Annual General Meeting</w:t>
      </w:r>
      <w:r>
        <w:rPr>
          <w:rFonts w:ascii="Times New Roman" w:cs="Times New Roman" w:eastAsia="Times New Roman" w:hAnsi="Times New Roman"/>
          <w:sz w:val="28"/>
          <w:szCs w:val="28"/>
          <w:color w:val="auto"/>
          <w:vertAlign w:val="superscript"/>
        </w:rPr>
        <w:t>(Note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3"/>
          <w:szCs w:val="33"/>
          <w:color w:val="auto"/>
          <w:vertAlign w:val="superscript"/>
        </w:rPr>
        <w:t>1</w:t>
      </w:r>
      <w:r>
        <w:rPr>
          <w:rFonts w:ascii="Times New Roman" w:cs="Times New Roman" w:eastAsia="Times New Roman" w:hAnsi="Times New Roman"/>
          <w:sz w:val="28"/>
          <w:szCs w:val="28"/>
          <w:color w:val="auto"/>
          <w:vertAlign w:val="superscript"/>
        </w:rPr>
        <w:t>)</w:t>
      </w:r>
    </w:p>
    <w:p>
      <w:pPr>
        <w:jc w:val="center"/>
        <w:spacing w:after="0"/>
        <w:rPr>
          <w:sz w:val="20"/>
          <w:szCs w:val="20"/>
          <w:color w:val="auto"/>
        </w:rPr>
      </w:pPr>
      <w:r>
        <w:rPr>
          <w:rFonts w:ascii="Times New Roman" w:cs="Times New Roman" w:eastAsia="Times New Roman" w:hAnsi="Times New Roman"/>
          <w:sz w:val="17"/>
          <w:szCs w:val="17"/>
          <w:color w:val="auto"/>
        </w:rPr>
        <w:t>to be held on August 25, 2022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(or any adjournment(s) or postponement(s) thereof)</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w w:val="99"/>
              </w:rPr>
              <w:t>I/We</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of</w:t>
            </w:r>
          </w:p>
        </w:tc>
        <w:tc>
          <w:tcPr>
            <w:tcW w:w="45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8"/>
              </w:rPr>
              <w:t>, being the registered</w:t>
            </w:r>
          </w:p>
        </w:tc>
      </w:tr>
      <w:tr>
        <w:trPr>
          <w:trHeight w:val="245"/>
        </w:trPr>
        <w:tc>
          <w:tcPr>
            <w:tcW w:w="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holder of</w:t>
            </w:r>
          </w:p>
        </w:tc>
        <w:tc>
          <w:tcPr>
            <w:tcW w:w="1140" w:type="dxa"/>
            <w:vAlign w:val="bottom"/>
            <w:tcBorders>
              <w:bottom w:val="single" w:sz="8" w:color="auto"/>
            </w:tcBorders>
          </w:tcPr>
          <w:p>
            <w:pPr>
              <w:spacing w:after="0"/>
              <w:rPr>
                <w:sz w:val="21"/>
                <w:szCs w:val="21"/>
                <w:color w:val="auto"/>
              </w:rPr>
            </w:pPr>
          </w:p>
        </w:tc>
        <w:tc>
          <w:tcPr>
            <w:tcW w:w="9440" w:type="dxa"/>
            <w:vAlign w:val="bottom"/>
            <w:gridSpan w:val="8"/>
          </w:tcPr>
          <w:p>
            <w:pPr>
              <w:jc w:val="right"/>
              <w:spacing w:after="0" w:line="245" w:lineRule="exact"/>
              <w:rPr>
                <w:sz w:val="20"/>
                <w:szCs w:val="20"/>
                <w:color w:val="auto"/>
              </w:rPr>
            </w:pPr>
            <w:r>
              <w:rPr>
                <w:rFonts w:ascii="Times New Roman" w:cs="Times New Roman" w:eastAsia="Times New Roman" w:hAnsi="Times New Roman"/>
                <w:sz w:val="15"/>
                <w:szCs w:val="15"/>
                <w:color w:val="auto"/>
              </w:rPr>
              <w:t xml:space="preserve">Class A ordinary shares, </w:t>
            </w:r>
            <w:r>
              <w:rPr>
                <w:rFonts w:ascii="Times New Roman" w:cs="Times New Roman" w:eastAsia="Times New Roman" w:hAnsi="Times New Roman"/>
                <w:sz w:val="24"/>
                <w:szCs w:val="24"/>
                <w:color w:val="auto"/>
                <w:vertAlign w:val="superscript"/>
              </w:rPr>
              <w:t>(Note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5"/>
                <w:szCs w:val="15"/>
                <w:color w:val="auto"/>
              </w:rPr>
              <w:t xml:space="preserve"> par value US$0.00025 per share, and Class C ordinary shares, </w:t>
            </w:r>
            <w:r>
              <w:rPr>
                <w:rFonts w:ascii="Times New Roman" w:cs="Times New Roman" w:eastAsia="Times New Roman" w:hAnsi="Times New Roman"/>
                <w:sz w:val="24"/>
                <w:szCs w:val="24"/>
                <w:color w:val="auto"/>
                <w:vertAlign w:val="superscript"/>
              </w:rPr>
              <w:t>(Note 1)</w:t>
            </w:r>
            <w:r>
              <w:rPr>
                <w:rFonts w:ascii="Times New Roman" w:cs="Times New Roman" w:eastAsia="Times New Roman" w:hAnsi="Times New Roman"/>
                <w:sz w:val="15"/>
                <w:szCs w:val="15"/>
                <w:color w:val="auto"/>
              </w:rPr>
              <w:t xml:space="preserve"> par value US$0.00025 per share, of</w:t>
            </w:r>
          </w:p>
        </w:tc>
      </w:tr>
      <w:tr>
        <w:trPr>
          <w:trHeight w:val="245"/>
        </w:trPr>
        <w:tc>
          <w:tcPr>
            <w:tcW w:w="6740" w:type="dxa"/>
            <w:vAlign w:val="bottom"/>
            <w:gridSpan w:val="6"/>
          </w:tcPr>
          <w:p>
            <w:pPr>
              <w:spacing w:after="0" w:line="245" w:lineRule="exact"/>
              <w:rPr>
                <w:sz w:val="20"/>
                <w:szCs w:val="20"/>
                <w:color w:val="auto"/>
              </w:rPr>
            </w:pPr>
            <w:r>
              <w:rPr>
                <w:rFonts w:ascii="Times New Roman" w:cs="Times New Roman" w:eastAsia="Times New Roman" w:hAnsi="Times New Roman"/>
                <w:sz w:val="15"/>
                <w:szCs w:val="15"/>
                <w:color w:val="auto"/>
              </w:rPr>
              <w:t>NIO Inc. (the “Company”), hereby appoint the Chairman of the Annual General Meeting</w:t>
            </w:r>
            <w:r>
              <w:rPr>
                <w:rFonts w:ascii="Times New Roman" w:cs="Times New Roman" w:eastAsia="Times New Roman" w:hAnsi="Times New Roman"/>
                <w:sz w:val="24"/>
                <w:szCs w:val="24"/>
                <w:color w:val="auto"/>
                <w:vertAlign w:val="superscript"/>
              </w:rPr>
              <w:t>(Note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5"/>
                <w:szCs w:val="15"/>
                <w:color w:val="auto"/>
              </w:rPr>
              <w:t xml:space="preserve"> or</w:t>
            </w:r>
          </w:p>
        </w:tc>
        <w:tc>
          <w:tcPr>
            <w:tcW w:w="1560" w:type="dxa"/>
            <w:vAlign w:val="bottom"/>
            <w:tcBorders>
              <w:bottom w:val="single" w:sz="8" w:color="auto"/>
            </w:tcBorders>
          </w:tcPr>
          <w:p>
            <w:pPr>
              <w:spacing w:after="0"/>
              <w:rPr>
                <w:sz w:val="21"/>
                <w:szCs w:val="2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of</w:t>
            </w:r>
          </w:p>
        </w:tc>
        <w:tc>
          <w:tcPr>
            <w:tcW w:w="1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as</w:t>
            </w:r>
          </w:p>
        </w:tc>
      </w:tr>
    </w:tbl>
    <w:p>
      <w:pPr>
        <w:spacing w:after="0" w:line="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my/our proxy to attend and act for me/us at the Annual General Meeting (or at any adjournment(s) or postponement(s) thereof) of the Company to be held at Building 16, No. 56 AnTuo Road, Anting Town, Jiading District, Shanghai 201804, People’s Republic of China and at any adjournment(s) or postponement(s) thereof, and in the event of a poll, to vote for me/us as indicated below, or if no such indication is given, as my/our proxy thinks fit. </w:t>
      </w:r>
      <w:r>
        <w:rPr>
          <w:rFonts w:ascii="Times New Roman" w:cs="Times New Roman" w:eastAsia="Times New Roman" w:hAnsi="Times New Roman"/>
          <w:sz w:val="28"/>
          <w:szCs w:val="28"/>
          <w:color w:val="auto"/>
          <w:vertAlign w:val="superscript"/>
        </w:rPr>
        <w:t>(Note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perscript"/>
        </w:rPr>
        <w:t>4</w:t>
      </w:r>
      <w:r>
        <w:rPr>
          <w:rFonts w:ascii="Times New Roman" w:cs="Times New Roman" w:eastAsia="Times New Roman" w:hAnsi="Times New Roman"/>
          <w:sz w:val="28"/>
          <w:szCs w:val="28"/>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41210" cy="54559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5455920"/>
                    </a:xfrm>
                    <a:prstGeom prst="rect">
                      <a:avLst/>
                    </a:prstGeom>
                    <a:noFill/>
                  </pic:spPr>
                </pic:pic>
              </a:graphicData>
            </a:graphic>
          </wp:anchor>
        </w:drawing>
      </w:r>
    </w:p>
    <w:p>
      <w:pPr>
        <w:spacing w:after="0" w:line="2" w:lineRule="exact"/>
        <w:rPr>
          <w:sz w:val="20"/>
          <w:szCs w:val="20"/>
          <w:color w:val="auto"/>
        </w:rPr>
      </w:pPr>
    </w:p>
    <w:tbl>
      <w:tblPr>
        <w:tblLayout w:type="fixed"/>
        <w:tblInd w:w="2420" w:type="dxa"/>
        <w:tblCellMar>
          <w:top w:w="0" w:type="dxa"/>
          <w:left w:w="0" w:type="dxa"/>
          <w:bottom w:w="0" w:type="dxa"/>
          <w:right w:w="0" w:type="dxa"/>
        </w:tblCellMar>
      </w:tblPr>
      <w:tr>
        <w:trPr>
          <w:trHeight w:val="564"/>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RESOLUTION</w:t>
            </w:r>
            <w:r>
              <w:rPr>
                <w:rFonts w:ascii="Times New Roman" w:cs="Times New Roman" w:eastAsia="Times New Roman" w:hAnsi="Times New Roman"/>
                <w:sz w:val="28"/>
                <w:szCs w:val="28"/>
                <w:b w:val="1"/>
                <w:bCs w:val="1"/>
                <w:color w:val="auto"/>
                <w:vertAlign w:val="superscript"/>
              </w:rPr>
              <w:t>(Note 5)</w:t>
            </w:r>
          </w:p>
        </w:tc>
        <w:tc>
          <w:tcPr>
            <w:tcW w:w="2240" w:type="dxa"/>
            <w:vAlign w:val="bottom"/>
          </w:tcPr>
          <w:p>
            <w:pPr>
              <w:ind w:left="1100"/>
              <w:spacing w:after="0"/>
              <w:rPr>
                <w:sz w:val="20"/>
                <w:szCs w:val="20"/>
                <w:color w:val="auto"/>
              </w:rPr>
            </w:pPr>
            <w:r>
              <w:rPr>
                <w:rFonts w:ascii="Times New Roman" w:cs="Times New Roman" w:eastAsia="Times New Roman" w:hAnsi="Times New Roman"/>
                <w:sz w:val="33"/>
                <w:szCs w:val="33"/>
                <w:b w:val="1"/>
                <w:bCs w:val="1"/>
                <w:color w:val="auto"/>
                <w:vertAlign w:val="subscript"/>
              </w:rPr>
              <w:t>FOR</w:t>
            </w:r>
            <w:r>
              <w:rPr>
                <w:rFonts w:ascii="Times New Roman" w:cs="Times New Roman" w:eastAsia="Times New Roman" w:hAnsi="Times New Roman"/>
                <w:sz w:val="14"/>
                <w:szCs w:val="14"/>
                <w:b w:val="1"/>
                <w:bCs w:val="1"/>
                <w:color w:val="auto"/>
              </w:rPr>
              <w:t>(Note 3)</w:t>
            </w:r>
          </w:p>
        </w:tc>
        <w:tc>
          <w:tcPr>
            <w:tcW w:w="174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28"/>
                <w:szCs w:val="28"/>
                <w:b w:val="1"/>
                <w:bCs w:val="1"/>
                <w:color w:val="auto"/>
                <w:vertAlign w:val="superscript"/>
              </w:rPr>
              <w:t>(Note 3)</w:t>
            </w:r>
          </w:p>
        </w:tc>
        <w:tc>
          <w:tcPr>
            <w:tcW w:w="144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w w:val="86"/>
              </w:rPr>
              <w:t>ABSTAIN</w:t>
            </w:r>
            <w:r>
              <w:rPr>
                <w:rFonts w:ascii="Times New Roman" w:cs="Times New Roman" w:eastAsia="Times New Roman" w:hAnsi="Times New Roman"/>
                <w:sz w:val="28"/>
                <w:szCs w:val="28"/>
                <w:b w:val="1"/>
                <w:bCs w:val="1"/>
                <w:color w:val="auto"/>
                <w:w w:val="86"/>
                <w:vertAlign w:val="superscript"/>
              </w:rPr>
              <w:t>(Note 3)</w:t>
            </w:r>
          </w:p>
        </w:tc>
      </w:tr>
    </w:tbl>
    <w:p>
      <w:pPr>
        <w:spacing w:after="0" w:line="200" w:lineRule="exact"/>
        <w:rPr>
          <w:sz w:val="20"/>
          <w:szCs w:val="20"/>
          <w:color w:val="auto"/>
        </w:rPr>
      </w:pPr>
    </w:p>
    <w:p>
      <w:pPr>
        <w:spacing w:after="0" w:line="287" w:lineRule="exact"/>
        <w:rPr>
          <w:sz w:val="20"/>
          <w:szCs w:val="20"/>
          <w:color w:val="auto"/>
        </w:rPr>
      </w:pPr>
    </w:p>
    <w:p>
      <w:pPr>
        <w:ind w:left="560" w:hanging="455"/>
        <w:spacing w:after="0"/>
        <w:tabs>
          <w:tab w:leader="none" w:pos="56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w:t>
      </w:r>
    </w:p>
    <w:p>
      <w:pPr>
        <w:spacing w:after="0" w:line="208" w:lineRule="exact"/>
        <w:rPr>
          <w:rFonts w:ascii="Times New Roman" w:cs="Times New Roman" w:eastAsia="Times New Roman" w:hAnsi="Times New Roman"/>
          <w:sz w:val="17"/>
          <w:szCs w:val="17"/>
          <w:color w:val="auto"/>
        </w:rPr>
      </w:pPr>
    </w:p>
    <w:p>
      <w:pPr>
        <w:ind w:left="560" w:right="5540"/>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authorised but unissued 132,030,222 Class B ordinary shares of a par value of US$0.00025 each of the Company be redesignated as</w:t>
      </w:r>
    </w:p>
    <w:p>
      <w:pPr>
        <w:spacing w:after="0" w:line="1" w:lineRule="exact"/>
        <w:rPr>
          <w:rFonts w:ascii="Times New Roman" w:cs="Times New Roman" w:eastAsia="Times New Roman" w:hAnsi="Times New Roman"/>
          <w:sz w:val="17"/>
          <w:szCs w:val="17"/>
          <w:color w:val="auto"/>
        </w:rPr>
      </w:pPr>
    </w:p>
    <w:p>
      <w:pPr>
        <w:ind w:left="560" w:right="5380"/>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132,030,222 Class A ordinary shares of a par value of US$0.00025 each of the Company, such that the authorised share capital of the Company is US$1,000,000 divided into 4,000,000,000 shares comprising of</w:t>
      </w:r>
    </w:p>
    <w:p>
      <w:pPr>
        <w:ind w:left="760" w:hanging="201"/>
        <w:spacing w:after="0"/>
        <w:tabs>
          <w:tab w:leader="none" w:pos="760"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2,632,030,222 Class A ordinary shares of a par value of US$0.00025 each,</w:t>
      </w:r>
    </w:p>
    <w:p>
      <w:pPr>
        <w:spacing w:after="0" w:line="6" w:lineRule="exact"/>
        <w:rPr>
          <w:rFonts w:ascii="Times New Roman" w:cs="Times New Roman" w:eastAsia="Times New Roman" w:hAnsi="Times New Roman"/>
          <w:sz w:val="17"/>
          <w:szCs w:val="17"/>
          <w:color w:val="auto"/>
        </w:rPr>
      </w:pPr>
    </w:p>
    <w:p>
      <w:pPr>
        <w:ind w:left="560" w:right="5380" w:hanging="1"/>
        <w:spacing w:after="0" w:line="250" w:lineRule="auto"/>
        <w:tabs>
          <w:tab w:leader="none" w:pos="808"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148,500,000 Class C ordinary shares of a par value of US$0.00025 each, and (iii) 1,219,469,778 shares of a par value of US$0.00025 each of such class or classes (however designated) as the board of directors may determine in accordance with Article 9 of the articles of association of the Company.</w:t>
      </w:r>
    </w:p>
    <w:p>
      <w:pPr>
        <w:spacing w:after="0" w:line="193" w:lineRule="exact"/>
        <w:rPr>
          <w:rFonts w:ascii="Times New Roman" w:cs="Times New Roman" w:eastAsia="Times New Roman" w:hAnsi="Times New Roman"/>
          <w:sz w:val="17"/>
          <w:szCs w:val="17"/>
          <w:color w:val="auto"/>
        </w:rPr>
      </w:pPr>
    </w:p>
    <w:p>
      <w:pPr>
        <w:ind w:left="560" w:hanging="455"/>
        <w:spacing w:after="0"/>
        <w:tabs>
          <w:tab w:leader="none" w:pos="56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w:t>
      </w:r>
    </w:p>
    <w:p>
      <w:pPr>
        <w:spacing w:after="0" w:line="208" w:lineRule="exact"/>
        <w:rPr>
          <w:rFonts w:ascii="Times New Roman" w:cs="Times New Roman" w:eastAsia="Times New Roman" w:hAnsi="Times New Roman"/>
          <w:sz w:val="17"/>
          <w:szCs w:val="17"/>
          <w:color w:val="auto"/>
        </w:rPr>
      </w:pPr>
    </w:p>
    <w:p>
      <w:pPr>
        <w:ind w:left="560" w:right="5420"/>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re-appoint PricewaterhouseCoopers as the auditor of the Company to hold office until the conclusion of the next annual general meeting of the Company and to authorise the Board to fix their remuneration for the year ending December 31, 2022.</w:t>
      </w:r>
    </w:p>
    <w:p>
      <w:pPr>
        <w:spacing w:after="0" w:line="186" w:lineRule="exact"/>
        <w:rPr>
          <w:rFonts w:ascii="Times New Roman" w:cs="Times New Roman" w:eastAsia="Times New Roman" w:hAnsi="Times New Roman"/>
          <w:sz w:val="17"/>
          <w:szCs w:val="17"/>
          <w:color w:val="auto"/>
        </w:rPr>
      </w:pPr>
    </w:p>
    <w:p>
      <w:pPr>
        <w:ind w:left="560" w:hanging="455"/>
        <w:spacing w:after="0"/>
        <w:tabs>
          <w:tab w:leader="none" w:pos="56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special resolution:</w:t>
      </w:r>
    </w:p>
    <w:p>
      <w:pPr>
        <w:spacing w:after="0" w:line="208" w:lineRule="exact"/>
        <w:rPr>
          <w:rFonts w:ascii="Times New Roman" w:cs="Times New Roman" w:eastAsia="Times New Roman" w:hAnsi="Times New Roman"/>
          <w:sz w:val="17"/>
          <w:szCs w:val="17"/>
          <w:color w:val="auto"/>
        </w:rPr>
      </w:pPr>
    </w:p>
    <w:p>
      <w:pPr>
        <w:ind w:left="560" w:right="540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subject to the passing of the Class-based Resolution (as defined in the Meeting Notice) at each of the class meeting of holders of the Class C ordinary shares with a par value of US$0.00025 each and the class meeting of holders of Class A ordinary shares with a par value of US$0.00025 each, each convened on the same date and at the same place as the AGM, the Company’s Twelfth Amended and Restated Memorandum of Association and Articles of Association in effect be amended and restated by the deletion in their entirety and the substitution in their place of the Thirteenth Amended and Restated Memorandum and Articles of Association annexed to this notice, as more particularly disclosed on pages 141 to 152 of the Company’s Hong Kong listing document dated February 28, 2022 (the “</w:t>
      </w:r>
      <w:r>
        <w:rPr>
          <w:rFonts w:ascii="Times New Roman" w:cs="Times New Roman" w:eastAsia="Times New Roman" w:hAnsi="Times New Roman"/>
          <w:sz w:val="17"/>
          <w:szCs w:val="17"/>
          <w:b w:val="1"/>
          <w:bCs w:val="1"/>
          <w:color w:val="auto"/>
        </w:rPr>
        <w:t>Listing Document</w:t>
      </w:r>
      <w:r>
        <w:rPr>
          <w:rFonts w:ascii="Times New Roman" w:cs="Times New Roman" w:eastAsia="Times New Roman" w:hAnsi="Times New Roman"/>
          <w:sz w:val="17"/>
          <w:szCs w:val="17"/>
          <w:color w:val="auto"/>
        </w:rPr>
        <w:t>”), by incorporating the following requirements under the Hong Kong Listing Rules: paragraph 15 of Appendix 3 and Rules 8A.09, 8A.13 to 8A.19, 8A.21 to 8A.24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535305</wp:posOffset>
            </wp:positionV>
            <wp:extent cx="7141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52" w:name="page53"/>
    <w:bookmarkEnd w:id="52"/>
    <w:p>
      <w:pPr>
        <w:ind w:left="560" w:hanging="455"/>
        <w:spacing w:after="0"/>
        <w:tabs>
          <w:tab w:leader="none" w:pos="56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special resolution:</w:t>
      </w:r>
    </w:p>
    <w:p>
      <w:pPr>
        <w:spacing w:after="0" w:line="208" w:lineRule="exact"/>
        <w:rPr>
          <w:rFonts w:ascii="Times New Roman" w:cs="Times New Roman" w:eastAsia="Times New Roman" w:hAnsi="Times New Roman"/>
          <w:sz w:val="17"/>
          <w:szCs w:val="17"/>
          <w:color w:val="auto"/>
        </w:rPr>
      </w:pPr>
    </w:p>
    <w:p>
      <w:pPr>
        <w:jc w:val="both"/>
        <w:ind w:left="560" w:right="53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Company’s Twelfth Amended and Restated Memorandum of Association and Articles of Association in effect be amended and restated by the deletion in their entirety and the substitution in their place of the Thirteenth Amended and Restated Memorandum and Articles of Association annexed to this notice, as more particularly disclosed on pages 141 to 152 of the Listing Document, by (a) incorporating the following requirements under the Hong Kong Listing Rules: (i) paragraphs 14(1), 14(2), 14(4), 17 and 20 of Appendix 3, and (ii) Rules 8A.07, 8A.26 to 8A.35 and 8A.37 to 8A.41,</w:t>
      </w:r>
    </w:p>
    <w:p>
      <w:pPr>
        <w:spacing w:after="0" w:line="4" w:lineRule="exact"/>
        <w:rPr>
          <w:rFonts w:ascii="Times New Roman" w:cs="Times New Roman" w:eastAsia="Times New Roman" w:hAnsi="Times New Roman"/>
          <w:sz w:val="17"/>
          <w:szCs w:val="17"/>
          <w:color w:val="auto"/>
        </w:rPr>
      </w:pPr>
    </w:p>
    <w:p>
      <w:pPr>
        <w:jc w:val="both"/>
        <w:ind w:left="560" w:right="53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incorporating a requirement that where a general meeting is postponed by the directors, such meeting shall be postponed to a specific date, time and place, (c) removing the shareholding structure of Class B Ordinary Shares and provisions related to Class B Ordinary Shares, and (d) to provide flexibility to the Company in relation to the conduct of general meetings.</w:t>
      </w:r>
    </w:p>
    <w:p>
      <w:pPr>
        <w:spacing w:after="0" w:line="191" w:lineRule="exact"/>
        <w:rPr>
          <w:rFonts w:ascii="Times New Roman" w:cs="Times New Roman" w:eastAsia="Times New Roman" w:hAnsi="Times New Roman"/>
          <w:sz w:val="17"/>
          <w:szCs w:val="17"/>
          <w:color w:val="auto"/>
        </w:rPr>
      </w:pPr>
    </w:p>
    <w:p>
      <w:pPr>
        <w:ind w:left="560" w:hanging="455"/>
        <w:spacing w:after="0"/>
        <w:tabs>
          <w:tab w:leader="none" w:pos="56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special resolution:</w:t>
      </w:r>
    </w:p>
    <w:p>
      <w:pPr>
        <w:spacing w:after="0" w:line="221" w:lineRule="exact"/>
        <w:rPr>
          <w:rFonts w:ascii="Times New Roman" w:cs="Times New Roman" w:eastAsia="Times New Roman" w:hAnsi="Times New Roman"/>
          <w:sz w:val="17"/>
          <w:szCs w:val="17"/>
          <w:color w:val="auto"/>
        </w:rPr>
      </w:pPr>
    </w:p>
    <w:p>
      <w:pPr>
        <w:ind w:left="560"/>
        <w:spacing w:after="0" w:line="207"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w:t>
      </w:r>
      <w:r>
        <w:rPr>
          <w:rFonts w:ascii="PMingLiU" w:cs="PMingLiU" w:eastAsia="PMingLiU" w:hAnsi="PMingLiU"/>
          <w:sz w:val="17"/>
          <w:szCs w:val="17"/>
          <w:color w:val="auto"/>
        </w:rPr>
        <w:t>蔚來集團</w:t>
      </w:r>
      <w:r>
        <w:rPr>
          <w:rFonts w:ascii="Times New Roman" w:cs="Times New Roman" w:eastAsia="Times New Roman" w:hAnsi="Times New Roman"/>
          <w:sz w:val="17"/>
          <w:szCs w:val="17"/>
          <w:color w:val="auto"/>
        </w:rPr>
        <w:t xml:space="preserve"> be adopted as the dual foreign name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-2454910</wp:posOffset>
            </wp:positionV>
            <wp:extent cx="7141210" cy="26079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26079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7"/>
          <w:szCs w:val="17"/>
          <w:color w:val="auto"/>
        </w:rPr>
        <w:t>Dated _______________, 2022</w:t>
      </w:r>
      <w:r>
        <w:rPr>
          <w:sz w:val="20"/>
          <w:szCs w:val="20"/>
          <w:color w:val="auto"/>
        </w:rPr>
        <w:tab/>
      </w:r>
      <w:r>
        <w:rPr>
          <w:rFonts w:ascii="Times New Roman" w:cs="Times New Roman" w:eastAsia="Times New Roman" w:hAnsi="Times New Roman"/>
          <w:sz w:val="16"/>
          <w:szCs w:val="16"/>
          <w:color w:val="auto"/>
        </w:rPr>
        <w:t xml:space="preserve">Signature(s) </w:t>
      </w:r>
      <w:r>
        <w:rPr>
          <w:rFonts w:ascii="Times New Roman" w:cs="Times New Roman" w:eastAsia="Times New Roman" w:hAnsi="Times New Roman"/>
          <w:sz w:val="26"/>
          <w:szCs w:val="26"/>
          <w:color w:val="auto"/>
          <w:vertAlign w:val="superscript"/>
        </w:rPr>
        <w:t>(Note 6)</w:t>
      </w:r>
      <w:r>
        <w:rPr>
          <w:rFonts w:ascii="Times New Roman" w:cs="Times New Roman" w:eastAsia="Times New Roman" w:hAnsi="Times New Roman"/>
          <w:sz w:val="16"/>
          <w:szCs w:val="16"/>
          <w:color w:val="auto"/>
        </w:rPr>
        <w:t xml:space="preserve">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17894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89430" cy="825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Notes:</w:t>
      </w:r>
    </w:p>
    <w:p>
      <w:pPr>
        <w:spacing w:after="0" w:line="209" w:lineRule="exact"/>
        <w:rPr>
          <w:sz w:val="20"/>
          <w:szCs w:val="20"/>
          <w:color w:val="auto"/>
        </w:rPr>
      </w:pPr>
    </w:p>
    <w:p>
      <w:pPr>
        <w:jc w:val="both"/>
        <w:ind w:left="300" w:hanging="299"/>
        <w:spacing w:after="0" w:line="218" w:lineRule="auto"/>
        <w:tabs>
          <w:tab w:leader="none" w:pos="300" w:val="left"/>
        </w:tabs>
        <w:numPr>
          <w:ilvl w:val="0"/>
          <w:numId w:val="10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 xml:space="preserve">This Form of Proxy is </w:t>
      </w:r>
      <w:r>
        <w:rPr>
          <w:rFonts w:ascii="Times New Roman" w:cs="Times New Roman" w:eastAsia="Times New Roman" w:hAnsi="Times New Roman"/>
          <w:sz w:val="17"/>
          <w:szCs w:val="17"/>
          <w:b w:val="1"/>
          <w:bCs w:val="1"/>
          <w:color w:val="auto"/>
        </w:rPr>
        <w:t>not valid</w:t>
      </w:r>
      <w:r>
        <w:rPr>
          <w:rFonts w:ascii="Times New Roman" w:cs="Times New Roman" w:eastAsia="Times New Roman" w:hAnsi="Times New Roman"/>
          <w:sz w:val="17"/>
          <w:szCs w:val="17"/>
          <w:color w:val="auto"/>
        </w:rPr>
        <w:t xml:space="preserve"> for holders of the American Depositary Shares of the Company or holders of Class A Ordinary Shares which are held through (either directly or through depositary agents) securities accounts (the "</w:t>
      </w:r>
      <w:r>
        <w:rPr>
          <w:rFonts w:ascii="Times New Roman" w:cs="Times New Roman" w:eastAsia="Times New Roman" w:hAnsi="Times New Roman"/>
          <w:sz w:val="17"/>
          <w:szCs w:val="17"/>
          <w:b w:val="1"/>
          <w:bCs w:val="1"/>
          <w:color w:val="auto"/>
        </w:rPr>
        <w:t>NIO CDP Depositors</w:t>
      </w:r>
      <w:r>
        <w:rPr>
          <w:rFonts w:ascii="Times New Roman" w:cs="Times New Roman" w:eastAsia="Times New Roman" w:hAnsi="Times New Roman"/>
          <w:sz w:val="17"/>
          <w:szCs w:val="17"/>
          <w:color w:val="auto"/>
        </w:rPr>
        <w:t>") maintained with The Central Depository (Pte) Limited. Holders of the American Depositary Shares of the Company and NIO CDP Depositors should refer to the Meeting Notice for further information on attendance and voting arrangements.</w:t>
      </w:r>
    </w:p>
    <w:p>
      <w:pPr>
        <w:spacing w:after="0" w:line="3" w:lineRule="exact"/>
        <w:rPr>
          <w:sz w:val="20"/>
          <w:szCs w:val="20"/>
          <w:color w:val="auto"/>
        </w:rPr>
      </w:pPr>
    </w:p>
    <w:p>
      <w:pPr>
        <w:ind w:left="300" w:hanging="299"/>
        <w:spacing w:after="0" w:line="187" w:lineRule="auto"/>
        <w:tabs>
          <w:tab w:leader="none" w:pos="300" w:val="left"/>
        </w:tabs>
        <w:numPr>
          <w:ilvl w:val="0"/>
          <w:numId w:val="10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Please insert the number of shares registered in your name(s) to which this proxy relates. If no number is inserted, this form of proxy will be deemed to relate to all the shares in the Company registered in your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426085</wp:posOffset>
            </wp:positionV>
            <wp:extent cx="7141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3" w:name="page54"/>
    <w:bookmarkEnd w:id="53"/>
    <w:p>
      <w:pPr>
        <w:jc w:val="both"/>
        <w:ind w:left="299" w:hanging="299"/>
        <w:spacing w:after="0" w:line="196" w:lineRule="auto"/>
        <w:tabs>
          <w:tab w:leader="none" w:pos="299" w:val="left"/>
        </w:tabs>
        <w:numPr>
          <w:ilvl w:val="0"/>
          <w:numId w:val="11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If any proxy other than the Chairman is preferred, strike out the words “</w:t>
      </w:r>
      <w:r>
        <w:rPr>
          <w:rFonts w:ascii="Times New Roman" w:cs="Times New Roman" w:eastAsia="Times New Roman" w:hAnsi="Times New Roman"/>
          <w:sz w:val="17"/>
          <w:szCs w:val="17"/>
          <w:b w:val="1"/>
          <w:bCs w:val="1"/>
          <w:color w:val="auto"/>
        </w:rPr>
        <w:t>THE CHAIRMAN OF THE ANNUAL GENERAL MEETING</w:t>
      </w:r>
      <w:r>
        <w:rPr>
          <w:rFonts w:ascii="Times New Roman" w:cs="Times New Roman" w:eastAsia="Times New Roman" w:hAnsi="Times New Roman"/>
          <w:sz w:val="17"/>
          <w:szCs w:val="17"/>
          <w:color w:val="auto"/>
        </w:rPr>
        <w:t xml:space="preserve">” and insert the name and address of the proxy desired in the space provided. A member may appoint one or more proxies to attend and vote in his/her stead. </w:t>
      </w:r>
      <w:r>
        <w:rPr>
          <w:rFonts w:ascii="Times New Roman" w:cs="Times New Roman" w:eastAsia="Times New Roman" w:hAnsi="Times New Roman"/>
          <w:sz w:val="17"/>
          <w:szCs w:val="17"/>
          <w:b w:val="1"/>
          <w:bCs w:val="1"/>
          <w:color w:val="auto"/>
        </w:rPr>
        <w:t>ANY ALTERATION</w:t>
      </w:r>
    </w:p>
    <w:p>
      <w:pPr>
        <w:spacing w:after="0" w:line="184" w:lineRule="exact"/>
        <w:rPr>
          <w:sz w:val="20"/>
          <w:szCs w:val="20"/>
          <w:color w:val="auto"/>
        </w:rPr>
      </w:pPr>
    </w:p>
    <w:p>
      <w:pPr>
        <w:jc w:val="both"/>
        <w:ind w:left="299" w:hanging="299"/>
        <w:spacing w:after="0"/>
        <w:tabs>
          <w:tab w:leader="none" w:pos="299" w:val="left"/>
        </w:tabs>
        <w:numPr>
          <w:ilvl w:val="0"/>
          <w:numId w:val="1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b w:val="1"/>
          <w:bCs w:val="1"/>
          <w:color w:val="auto"/>
        </w:rPr>
        <w:t xml:space="preserve">IMPORTANT: IF YOU WISH TO VOTE FOR THE RESOLUTION, TICK THE APPROPRIATE BOX MARKED “FOR.” IF YOU WISH TO VOTE AGAINST THE RESOLUTION, TICK THE APPROPRIATE BOX MARKED “AGAINST.” ALTERNATIVELY, YOU MAY ALSO INDICATE THE RESPECTIVE NUMBERS OF SHARES FOR EACH OF THE “FOR,” “AGAINST” AND “ABSTAIN” COLUMNS. </w:t>
      </w:r>
      <w:r>
        <w:rPr>
          <w:rFonts w:ascii="Times New Roman" w:cs="Times New Roman" w:eastAsia="Times New Roman" w:hAnsi="Times New Roman"/>
          <w:sz w:val="16"/>
          <w:szCs w:val="16"/>
          <w:color w:val="auto"/>
        </w:rPr>
        <w:t>Failure to complete any or all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boxes will entitle your proxy to cast his or her votes at his or her discretion. A proxy need not be a member of the Company, but must attend the Meeting in person. A member may only have one form of proxy valid at any one time and if a member submits more than one form of proxy, the last form of proxy received in the manner described in this form of proxy above shall be treated as the only valid form of proxy. Any alteration made to this form of proxy must be duly</w:t>
      </w:r>
    </w:p>
    <w:p>
      <w:pPr>
        <w:spacing w:after="0" w:line="3" w:lineRule="exact"/>
        <w:rPr>
          <w:sz w:val="20"/>
          <w:szCs w:val="20"/>
          <w:color w:val="auto"/>
        </w:rPr>
      </w:pPr>
    </w:p>
    <w:p>
      <w:pPr>
        <w:ind w:left="299"/>
        <w:spacing w:after="0" w:line="248" w:lineRule="auto"/>
        <w:rPr>
          <w:sz w:val="20"/>
          <w:szCs w:val="20"/>
          <w:color w:val="auto"/>
        </w:rPr>
      </w:pPr>
      <w:r>
        <w:rPr>
          <w:rFonts w:ascii="Times New Roman" w:cs="Times New Roman" w:eastAsia="Times New Roman" w:hAnsi="Times New Roman"/>
          <w:sz w:val="17"/>
          <w:szCs w:val="17"/>
          <w:color w:val="auto"/>
        </w:rPr>
        <w:t>initialed by the person who signs it. Completion and deposit of a form of proxy does not prevent a member from attending the Meeting in person but if a member attends the Meeting and votes, this proxy will be revoked.</w:t>
      </w:r>
    </w:p>
    <w:p>
      <w:pPr>
        <w:ind w:left="299" w:hanging="299"/>
        <w:spacing w:after="0" w:line="183" w:lineRule="auto"/>
        <w:tabs>
          <w:tab w:leader="none" w:pos="299" w:val="left"/>
        </w:tabs>
        <w:numPr>
          <w:ilvl w:val="0"/>
          <w:numId w:val="1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Please refer to the Meeting Notice for details of the approval threshold for each of the resolution.</w:t>
      </w:r>
    </w:p>
    <w:p>
      <w:pPr>
        <w:spacing w:after="0" w:line="3" w:lineRule="exact"/>
        <w:rPr>
          <w:sz w:val="20"/>
          <w:szCs w:val="20"/>
          <w:color w:val="auto"/>
        </w:rPr>
      </w:pPr>
    </w:p>
    <w:p>
      <w:pPr>
        <w:ind w:left="299" w:hanging="299"/>
        <w:spacing w:after="0" w:line="186" w:lineRule="auto"/>
        <w:tabs>
          <w:tab w:leader="none" w:pos="299" w:val="left"/>
        </w:tabs>
        <w:numPr>
          <w:ilvl w:val="0"/>
          <w:numId w:val="11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This form of proxy must be signed by you or your attorney duly authorized in writing or, in the case of a corporation, must be either executed under its common seal or under the hand of an officer or attorney or other person duly authorized to sign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402590</wp:posOffset>
            </wp:positionV>
            <wp:extent cx="714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87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7"/>
          <w:szCs w:val="17"/>
          <w:b w:val="1"/>
          <w:bCs w:val="1"/>
          <w:color w:val="auto"/>
        </w:rPr>
        <w:t>Exhibit 99.6</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NIO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 company controlled through weighted voting rights and incorporated in the Cayman Islands with limited liability)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(NYSE: NIO; HKEX: 9866; SGX: 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165100</wp:posOffset>
            </wp:positionV>
            <wp:extent cx="17811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Proxy for Class C Meeting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held on August 25,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(or any adjournment(s) or postponement(s) thereof)</w:t>
      </w:r>
    </w:p>
    <w:p>
      <w:pPr>
        <w:spacing w:after="0" w:line="193" w:lineRule="exact"/>
        <w:rPr>
          <w:sz w:val="20"/>
          <w:szCs w:val="20"/>
          <w:color w:val="auto"/>
        </w:rPr>
      </w:pPr>
    </w:p>
    <w:p>
      <w:pPr>
        <w:spacing w:after="0"/>
        <w:tabs>
          <w:tab w:leader="none" w:pos="1400" w:val="left"/>
          <w:tab w:leader="none" w:pos="6900" w:val="left"/>
          <w:tab w:leader="none" w:pos="10080" w:val="left"/>
        </w:tabs>
        <w:rPr>
          <w:sz w:val="20"/>
          <w:szCs w:val="20"/>
          <w:color w:val="auto"/>
        </w:rPr>
      </w:pPr>
      <w:r>
        <w:rPr>
          <w:rFonts w:ascii="Times New Roman" w:cs="Times New Roman" w:eastAsia="Times New Roman" w:hAnsi="Times New Roman"/>
          <w:sz w:val="17"/>
          <w:szCs w:val="17"/>
          <w:color w:val="auto"/>
        </w:rPr>
        <w:t>I/We</w:t>
      </w:r>
      <w:r>
        <w:rPr>
          <w:sz w:val="20"/>
          <w:szCs w:val="20"/>
          <w:color w:val="auto"/>
        </w:rPr>
        <w:tab/>
      </w:r>
      <w:r>
        <w:rPr>
          <w:rFonts w:ascii="Times New Roman" w:cs="Times New Roman" w:eastAsia="Times New Roman" w:hAnsi="Times New Roman"/>
          <w:sz w:val="17"/>
          <w:szCs w:val="17"/>
          <w:color w:val="auto"/>
        </w:rPr>
        <w:t>of</w:t>
      </w:r>
      <w:r>
        <w:rPr>
          <w:sz w:val="20"/>
          <w:szCs w:val="20"/>
          <w:color w:val="auto"/>
        </w:rPr>
        <w:tab/>
      </w:r>
      <w:r>
        <w:rPr>
          <w:rFonts w:ascii="Times New Roman" w:cs="Times New Roman" w:eastAsia="Times New Roman" w:hAnsi="Times New Roman"/>
          <w:sz w:val="17"/>
          <w:szCs w:val="17"/>
          <w:color w:val="auto"/>
        </w:rPr>
        <w:t>, being the registered holder of</w:t>
      </w:r>
      <w:r>
        <w:rPr>
          <w:sz w:val="20"/>
          <w:szCs w:val="20"/>
          <w:color w:val="auto"/>
        </w:rPr>
        <w:tab/>
      </w:r>
      <w:r>
        <w:rPr>
          <w:rFonts w:ascii="Times New Roman" w:cs="Times New Roman" w:eastAsia="Times New Roman" w:hAnsi="Times New Roman"/>
          <w:sz w:val="16"/>
          <w:szCs w:val="16"/>
          <w:color w:val="auto"/>
        </w:rPr>
        <w:t>Class C ordinary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-8890</wp:posOffset>
            </wp:positionV>
            <wp:extent cx="62083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08395" cy="8255"/>
                    </a:xfrm>
                    <a:prstGeom prst="rect">
                      <a:avLst/>
                    </a:prstGeom>
                    <a:noFill/>
                  </pic:spPr>
                </pic:pic>
              </a:graphicData>
            </a:graphic>
          </wp:anchor>
        </w:drawing>
      </w:r>
    </w:p>
    <w:p>
      <w:pPr>
        <w:spacing w:after="0" w:line="183" w:lineRule="auto"/>
        <w:rPr>
          <w:sz w:val="20"/>
          <w:szCs w:val="20"/>
          <w:color w:val="auto"/>
        </w:rPr>
      </w:pPr>
      <w:r>
        <w:rPr>
          <w:rFonts w:ascii="Times New Roman" w:cs="Times New Roman" w:eastAsia="Times New Roman" w:hAnsi="Times New Roman"/>
          <w:sz w:val="17"/>
          <w:szCs w:val="17"/>
          <w:color w:val="auto"/>
        </w:rPr>
        <w:t xml:space="preserve">shares, </w:t>
      </w:r>
      <w:r>
        <w:rPr>
          <w:rFonts w:ascii="Times New Roman" w:cs="Times New Roman" w:eastAsia="Times New Roman" w:hAnsi="Times New Roman"/>
          <w:sz w:val="28"/>
          <w:szCs w:val="28"/>
          <w:color w:val="auto"/>
          <w:vertAlign w:val="superscript"/>
        </w:rPr>
        <w:t>(Note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perscript"/>
        </w:rPr>
        <w:t>1</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par value US$0.00025 per share, of NIO Inc. (the “Company”), hereby appoint the Chairman of the Class C Meeting</w:t>
      </w:r>
      <w:r>
        <w:rPr>
          <w:rFonts w:ascii="Times New Roman" w:cs="Times New Roman" w:eastAsia="Times New Roman" w:hAnsi="Times New Roman"/>
          <w:sz w:val="28"/>
          <w:szCs w:val="28"/>
          <w:color w:val="auto"/>
          <w:vertAlign w:val="superscript"/>
        </w:rPr>
        <w:t>(Note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perscript"/>
        </w:rPr>
        <w:t>2</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6127750</wp:posOffset>
            </wp:positionH>
            <wp:positionV relativeFrom="paragraph">
              <wp:posOffset>-24130</wp:posOffset>
            </wp:positionV>
            <wp:extent cx="10109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of as my/our proxy to attend and act for me/us at the Class C Meeting (or at any adjournment(s) or postponement(s) thereof) of the Company to be held at Building 16, No. 56 AnTuo Road, Anting Town, Jiading District, Shanghai 201804, People’s Republic of China and at any adjournment(s) or postponement(s) thereof, and in the event of a poll, to vote for me/us as indicated below, or if no such indication is given, as my/our proxy thinks fit. </w:t>
      </w:r>
      <w:r>
        <w:rPr>
          <w:rFonts w:ascii="Times New Roman" w:cs="Times New Roman" w:eastAsia="Times New Roman" w:hAnsi="Times New Roman"/>
          <w:sz w:val="28"/>
          <w:szCs w:val="28"/>
          <w:color w:val="auto"/>
          <w:vertAlign w:val="superscript"/>
        </w:rPr>
        <w:t>(Note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perscript"/>
        </w:rPr>
        <w:t>3</w:t>
      </w:r>
      <w:r>
        <w:rPr>
          <w:rFonts w:ascii="Times New Roman" w:cs="Times New Roman" w:eastAsia="Times New Roman" w:hAnsi="Times New Roman"/>
          <w:sz w:val="28"/>
          <w:szCs w:val="28"/>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27438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2743835"/>
                    </a:xfrm>
                    <a:prstGeom prst="rect">
                      <a:avLst/>
                    </a:prstGeom>
                    <a:noFill/>
                  </pic:spPr>
                </pic:pic>
              </a:graphicData>
            </a:graphic>
          </wp:anchor>
        </w:drawing>
      </w:r>
    </w:p>
    <w:p>
      <w:pPr>
        <w:spacing w:after="0" w:line="10" w:lineRule="exact"/>
        <w:rPr>
          <w:sz w:val="20"/>
          <w:szCs w:val="20"/>
          <w:color w:val="auto"/>
        </w:rPr>
      </w:pPr>
    </w:p>
    <w:tbl>
      <w:tblPr>
        <w:tblLayout w:type="fixed"/>
        <w:tblInd w:w="2420" w:type="dxa"/>
        <w:tblCellMar>
          <w:top w:w="0" w:type="dxa"/>
          <w:left w:w="0" w:type="dxa"/>
          <w:bottom w:w="0" w:type="dxa"/>
          <w:right w:w="0" w:type="dxa"/>
        </w:tblCellMar>
      </w:tblPr>
      <w:tr>
        <w:trPr>
          <w:trHeight w:val="564"/>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RESOLUTION</w:t>
            </w:r>
            <w:r>
              <w:rPr>
                <w:rFonts w:ascii="Times New Roman" w:cs="Times New Roman" w:eastAsia="Times New Roman" w:hAnsi="Times New Roman"/>
                <w:sz w:val="28"/>
                <w:szCs w:val="28"/>
                <w:b w:val="1"/>
                <w:bCs w:val="1"/>
                <w:color w:val="auto"/>
                <w:vertAlign w:val="superscript"/>
              </w:rPr>
              <w:t>(Note 4)</w:t>
            </w:r>
          </w:p>
        </w:tc>
        <w:tc>
          <w:tcPr>
            <w:tcW w:w="2240" w:type="dxa"/>
            <w:vAlign w:val="bottom"/>
          </w:tcPr>
          <w:p>
            <w:pPr>
              <w:ind w:left="1100"/>
              <w:spacing w:after="0"/>
              <w:rPr>
                <w:sz w:val="20"/>
                <w:szCs w:val="20"/>
                <w:color w:val="auto"/>
              </w:rPr>
            </w:pPr>
            <w:r>
              <w:rPr>
                <w:rFonts w:ascii="Times New Roman" w:cs="Times New Roman" w:eastAsia="Times New Roman" w:hAnsi="Times New Roman"/>
                <w:sz w:val="33"/>
                <w:szCs w:val="33"/>
                <w:b w:val="1"/>
                <w:bCs w:val="1"/>
                <w:color w:val="auto"/>
                <w:vertAlign w:val="subscript"/>
              </w:rPr>
              <w:t>FOR</w:t>
            </w:r>
            <w:r>
              <w:rPr>
                <w:rFonts w:ascii="Times New Roman" w:cs="Times New Roman" w:eastAsia="Times New Roman" w:hAnsi="Times New Roman"/>
                <w:sz w:val="14"/>
                <w:szCs w:val="14"/>
                <w:b w:val="1"/>
                <w:bCs w:val="1"/>
                <w:color w:val="auto"/>
              </w:rPr>
              <w:t>(Note 3)</w:t>
            </w:r>
          </w:p>
        </w:tc>
        <w:tc>
          <w:tcPr>
            <w:tcW w:w="174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28"/>
                <w:szCs w:val="28"/>
                <w:b w:val="1"/>
                <w:bCs w:val="1"/>
                <w:color w:val="auto"/>
                <w:vertAlign w:val="superscript"/>
              </w:rPr>
              <w:t>(Note 3)</w:t>
            </w:r>
          </w:p>
        </w:tc>
        <w:tc>
          <w:tcPr>
            <w:tcW w:w="144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w w:val="86"/>
              </w:rPr>
              <w:t>ABSTAIN</w:t>
            </w:r>
            <w:r>
              <w:rPr>
                <w:rFonts w:ascii="Times New Roman" w:cs="Times New Roman" w:eastAsia="Times New Roman" w:hAnsi="Times New Roman"/>
                <w:sz w:val="28"/>
                <w:szCs w:val="28"/>
                <w:b w:val="1"/>
                <w:bCs w:val="1"/>
                <w:color w:val="auto"/>
                <w:w w:val="86"/>
                <w:vertAlign w:val="superscript"/>
              </w:rPr>
              <w:t>(Note 3)</w:t>
            </w:r>
          </w:p>
        </w:tc>
      </w:tr>
    </w:tbl>
    <w:p>
      <w:pPr>
        <w:spacing w:after="0" w:line="200" w:lineRule="exact"/>
        <w:rPr>
          <w:sz w:val="20"/>
          <w:szCs w:val="20"/>
          <w:color w:val="auto"/>
        </w:rPr>
      </w:pPr>
    </w:p>
    <w:p>
      <w:pPr>
        <w:spacing w:after="0" w:line="287" w:lineRule="exact"/>
        <w:rPr>
          <w:sz w:val="20"/>
          <w:szCs w:val="20"/>
          <w:color w:val="auto"/>
        </w:rPr>
      </w:pPr>
    </w:p>
    <w:p>
      <w:pPr>
        <w:ind w:left="560" w:hanging="455"/>
        <w:spacing w:after="0"/>
        <w:tabs>
          <w:tab w:leader="none" w:pos="56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special resolution:</w:t>
      </w:r>
    </w:p>
    <w:p>
      <w:pPr>
        <w:spacing w:after="0" w:line="208" w:lineRule="exact"/>
        <w:rPr>
          <w:rFonts w:ascii="Times New Roman" w:cs="Times New Roman" w:eastAsia="Times New Roman" w:hAnsi="Times New Roman"/>
          <w:sz w:val="17"/>
          <w:szCs w:val="17"/>
          <w:color w:val="auto"/>
        </w:rPr>
      </w:pPr>
    </w:p>
    <w:p>
      <w:pPr>
        <w:ind w:left="560" w:right="538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THAT subject to the passing of the Class-based Resolution (as defined in the Meeting Notice) at each of the class meeting of holders of the Class A ordinary shares with a par value of US$0.00025 each and the annual general meeting of the Company, each convened on the same date and at the same place as the Class C Meeting, the Company’s Twelfth Amended and Restated Memorandum of Association and Articles of Association in effect be amended and restated by the deletion in their entirety and the substitution in their place of the Thirteenth Amended and Restated Memorandum and Articles of Association annexed to this notice, as more particularly disclosed on</w:t>
      </w:r>
    </w:p>
    <w:p>
      <w:pPr>
        <w:ind w:left="560" w:right="570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pages 141 to 152 of the Company’s Hong Kong listing document dated February 28, 2022, by incorporating the following requirements under the Hong Kong Listing Rules: paragraph 15 of Appendix 3 and Rules 8A.09, 8A.13 to 8A.19, 8A.21 to 8A.24</w:t>
      </w:r>
      <w:r>
        <w:rPr>
          <w:rFonts w:ascii="Times New Roman" w:cs="Times New Roman" w:eastAsia="Times New Roman" w:hAnsi="Times New Roman"/>
          <w:sz w:val="17"/>
          <w:szCs w:val="17"/>
          <w:b w:val="1"/>
          <w:bCs w:val="1"/>
          <w:i w:val="1"/>
          <w:iCs w:val="1"/>
          <w:color w:val="auto"/>
        </w:rPr>
        <w:t>.</w:t>
      </w:r>
    </w:p>
    <w:p>
      <w:pPr>
        <w:spacing w:after="0" w:line="208" w:lineRule="exact"/>
        <w:rPr>
          <w:sz w:val="20"/>
          <w:szCs w:val="20"/>
          <w:color w:val="auto"/>
        </w:rPr>
      </w:pPr>
    </w:p>
    <w:p>
      <w:pPr>
        <w:spacing w:after="0"/>
        <w:tabs>
          <w:tab w:leader="none" w:pos="1520" w:val="left"/>
          <w:tab w:leader="none" w:pos="548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 2022</w:t>
      </w:r>
      <w:r>
        <w:rPr>
          <w:sz w:val="20"/>
          <w:szCs w:val="20"/>
          <w:color w:val="auto"/>
        </w:rPr>
        <w:tab/>
      </w:r>
      <w:r>
        <w:rPr>
          <w:rFonts w:ascii="Times New Roman" w:cs="Times New Roman" w:eastAsia="Times New Roman" w:hAnsi="Times New Roman"/>
          <w:sz w:val="24"/>
          <w:szCs w:val="24"/>
          <w:color w:val="auto"/>
          <w:vertAlign w:val="subscript"/>
        </w:rPr>
        <w:t xml:space="preserve">Signature(s) </w:t>
      </w:r>
      <w:r>
        <w:rPr>
          <w:rFonts w:ascii="Times New Roman" w:cs="Times New Roman" w:eastAsia="Times New Roman" w:hAnsi="Times New Roman"/>
          <w:sz w:val="20"/>
          <w:szCs w:val="20"/>
          <w:color w:val="auto"/>
          <w:vertAlign w:val="superscript"/>
        </w:rPr>
        <w:t>(Note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4365625</wp:posOffset>
            </wp:positionH>
            <wp:positionV relativeFrom="paragraph">
              <wp:posOffset>98425</wp:posOffset>
            </wp:positionV>
            <wp:extent cx="27762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762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266700</wp:posOffset>
            </wp:positionV>
            <wp:extent cx="17894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943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58420</wp:posOffset>
            </wp:positionV>
            <wp:extent cx="695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5325"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Notes:</w:t>
      </w:r>
    </w:p>
    <w:p>
      <w:pPr>
        <w:spacing w:after="0" w:line="213" w:lineRule="exact"/>
        <w:rPr>
          <w:sz w:val="20"/>
          <w:szCs w:val="20"/>
          <w:color w:val="auto"/>
        </w:rPr>
      </w:pPr>
    </w:p>
    <w:p>
      <w:pPr>
        <w:ind w:left="300" w:hanging="299"/>
        <w:spacing w:after="0" w:line="194" w:lineRule="auto"/>
        <w:tabs>
          <w:tab w:leader="none" w:pos="300" w:val="left"/>
        </w:tabs>
        <w:numPr>
          <w:ilvl w:val="0"/>
          <w:numId w:val="1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Please insert the number of shares registered in your name(s) to which this proxy relates. If no number is inserted, this form of proxy will be deemed to relate to all the shares in the Company registered in your name(s).</w:t>
      </w:r>
    </w:p>
    <w:p>
      <w:pPr>
        <w:spacing w:after="0" w:line="2" w:lineRule="exact"/>
        <w:rPr>
          <w:sz w:val="20"/>
          <w:szCs w:val="20"/>
          <w:color w:val="auto"/>
        </w:rPr>
      </w:pPr>
    </w:p>
    <w:p>
      <w:pPr>
        <w:jc w:val="both"/>
        <w:ind w:left="300" w:hanging="299"/>
        <w:spacing w:after="0" w:line="204" w:lineRule="auto"/>
        <w:tabs>
          <w:tab w:leader="none" w:pos="300" w:val="left"/>
        </w:tabs>
        <w:numPr>
          <w:ilvl w:val="0"/>
          <w:numId w:val="11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If any proxy other than the Chairman is preferred, strike out the words “</w:t>
      </w:r>
      <w:r>
        <w:rPr>
          <w:rFonts w:ascii="Times New Roman" w:cs="Times New Roman" w:eastAsia="Times New Roman" w:hAnsi="Times New Roman"/>
          <w:sz w:val="17"/>
          <w:szCs w:val="17"/>
          <w:b w:val="1"/>
          <w:bCs w:val="1"/>
          <w:color w:val="auto"/>
        </w:rPr>
        <w:t>THE CHAIRMAN OF THE CLASS C MEETING</w:t>
      </w:r>
      <w:r>
        <w:rPr>
          <w:rFonts w:ascii="Times New Roman" w:cs="Times New Roman" w:eastAsia="Times New Roman" w:hAnsi="Times New Roman"/>
          <w:sz w:val="17"/>
          <w:szCs w:val="17"/>
          <w:color w:val="auto"/>
        </w:rPr>
        <w:t xml:space="preserve">” and insert the name and address of the proxy desired in the space provided. A member may appoint one or more proxies to attend and vote in his/her stead. </w:t>
      </w:r>
      <w:r>
        <w:rPr>
          <w:rFonts w:ascii="Times New Roman" w:cs="Times New Roman" w:eastAsia="Times New Roman" w:hAnsi="Times New Roman"/>
          <w:sz w:val="17"/>
          <w:szCs w:val="17"/>
          <w:b w:val="1"/>
          <w:bCs w:val="1"/>
          <w:color w:val="auto"/>
        </w:rPr>
        <w:t>ANY ALTERATION MADE TO THIS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FORM OF PROXY MUST BE INITIALED BY THE PERSON(S) WHO SIGN(S) IT</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jc w:val="both"/>
        <w:ind w:left="300" w:hanging="299"/>
        <w:spacing w:after="0" w:line="236" w:lineRule="auto"/>
        <w:tabs>
          <w:tab w:leader="none" w:pos="300" w:val="left"/>
        </w:tabs>
        <w:numPr>
          <w:ilvl w:val="0"/>
          <w:numId w:val="1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b w:val="1"/>
          <w:bCs w:val="1"/>
          <w:color w:val="auto"/>
        </w:rPr>
        <w:t xml:space="preserve">IMPORTANT: IF YOU WISH TO VOTE FOR THE RESOLUTION, TICK THE APPROPRIATE BOX MARKED “FOR.” IF YOU WISH TO VOTE AGAINST THE RESOLUTION, TICK THE APPROPRIATE BOX MARKED “AGAINST.” ALTERNATIVELY, YOU MAY ALSO INDICATE THE RESPECTIVE NUMBERS OF SHARES FOR EACH OF THE “FOR,” “AGAINST” AND “ABSTAIN” COLUMNS. </w:t>
      </w:r>
      <w:r>
        <w:rPr>
          <w:rFonts w:ascii="Times New Roman" w:cs="Times New Roman" w:eastAsia="Times New Roman" w:hAnsi="Times New Roman"/>
          <w:sz w:val="16"/>
          <w:szCs w:val="16"/>
          <w:color w:val="auto"/>
        </w:rPr>
        <w:t>Failure to complete any or all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boxes will entitle your proxy to cast his or her votes at his or her discretion. A proxy need not be a member of the Company, but must attend the Meeting in person. A member may only have one form of proxy valid at any one time and if a member submits more than one form of proxy, the last form of proxy received in the manner described in this form of proxy above shall be treated as the only valid form of proxy. Any alteration made to this form of proxy must be duly</w:t>
      </w:r>
    </w:p>
    <w:p>
      <w:pPr>
        <w:spacing w:after="0" w:line="3" w:lineRule="exact"/>
        <w:rPr>
          <w:sz w:val="20"/>
          <w:szCs w:val="20"/>
          <w:color w:val="auto"/>
        </w:rPr>
      </w:pPr>
    </w:p>
    <w:p>
      <w:pPr>
        <w:ind w:left="300"/>
        <w:spacing w:after="0" w:line="248" w:lineRule="auto"/>
        <w:rPr>
          <w:sz w:val="20"/>
          <w:szCs w:val="20"/>
          <w:color w:val="auto"/>
        </w:rPr>
      </w:pPr>
      <w:r>
        <w:rPr>
          <w:rFonts w:ascii="Times New Roman" w:cs="Times New Roman" w:eastAsia="Times New Roman" w:hAnsi="Times New Roman"/>
          <w:sz w:val="17"/>
          <w:szCs w:val="17"/>
          <w:color w:val="auto"/>
        </w:rPr>
        <w:t>initialed by the person who signs it. Completion and deposit of a form of proxy does not prevent a member from attending the Meeting in person but if a member attends the Meeting and votes, this proxy will be revoked.</w:t>
      </w:r>
    </w:p>
    <w:p>
      <w:pPr>
        <w:ind w:left="300" w:hanging="299"/>
        <w:spacing w:after="0" w:line="183" w:lineRule="auto"/>
        <w:tabs>
          <w:tab w:leader="none" w:pos="300" w:val="left"/>
        </w:tabs>
        <w:numPr>
          <w:ilvl w:val="0"/>
          <w:numId w:val="1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Please refer to the Meeting Notice for details of the approval threshold for the resolution.</w:t>
      </w:r>
    </w:p>
    <w:p>
      <w:pPr>
        <w:spacing w:after="0" w:line="3" w:lineRule="exact"/>
        <w:rPr>
          <w:sz w:val="20"/>
          <w:szCs w:val="20"/>
          <w:color w:val="auto"/>
        </w:rPr>
      </w:pPr>
    </w:p>
    <w:p>
      <w:pPr>
        <w:ind w:left="300" w:hanging="299"/>
        <w:spacing w:after="0" w:line="186" w:lineRule="auto"/>
        <w:tabs>
          <w:tab w:leader="none" w:pos="300" w:val="left"/>
        </w:tabs>
        <w:numPr>
          <w:ilvl w:val="0"/>
          <w:numId w:val="11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This form of proxy must be signed by you or your attorney duly authorized in writing or, in the case of a corporation, must be either executed under its common seal or under the hand of an officer or attorney or other person duly authorized to sign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402590</wp:posOffset>
            </wp:positionV>
            <wp:extent cx="71412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0"/>
          <w:szCs w:val="20"/>
          <w:b w:val="1"/>
          <w:bCs w:val="1"/>
          <w:color w:val="auto"/>
        </w:rPr>
        <w:t>Exhibit 99.7</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NIO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 company controlled through weighted voting rights and incorporated in the Cayman Islands with limited liability)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(NYSE: NIO; HKEX: 9866; SGX: 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165100</wp:posOffset>
            </wp:positionV>
            <wp:extent cx="17811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Proxy for Class A Meeting</w:t>
      </w:r>
      <w:r>
        <w:rPr>
          <w:rFonts w:ascii="Times New Roman" w:cs="Times New Roman" w:eastAsia="Times New Roman" w:hAnsi="Times New Roman"/>
          <w:sz w:val="28"/>
          <w:szCs w:val="28"/>
          <w:color w:val="auto"/>
          <w:vertAlign w:val="superscript"/>
        </w:rPr>
        <w:t>(Note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3"/>
          <w:szCs w:val="33"/>
          <w:color w:val="auto"/>
          <w:vertAlign w:val="superscript"/>
        </w:rPr>
        <w:t>1</w:t>
      </w:r>
      <w:r>
        <w:rPr>
          <w:rFonts w:ascii="Times New Roman" w:cs="Times New Roman" w:eastAsia="Times New Roman" w:hAnsi="Times New Roman"/>
          <w:sz w:val="28"/>
          <w:szCs w:val="28"/>
          <w:color w:val="auto"/>
          <w:vertAlign w:val="superscript"/>
        </w:rPr>
        <w:t>)</w:t>
      </w:r>
    </w:p>
    <w:p>
      <w:pPr>
        <w:jc w:val="center"/>
        <w:spacing w:after="0"/>
        <w:rPr>
          <w:sz w:val="20"/>
          <w:szCs w:val="20"/>
          <w:color w:val="auto"/>
        </w:rPr>
      </w:pPr>
      <w:r>
        <w:rPr>
          <w:rFonts w:ascii="Times New Roman" w:cs="Times New Roman" w:eastAsia="Times New Roman" w:hAnsi="Times New Roman"/>
          <w:sz w:val="17"/>
          <w:szCs w:val="17"/>
          <w:color w:val="auto"/>
        </w:rPr>
        <w:t>to be held on August 25, 2022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(or any adjournment(s) or postponement(s) thereof)</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I/We ___________________________ of ________________________________________________________________________ , being the registered holder of</w:t>
      </w:r>
    </w:p>
    <w:p>
      <w:pPr>
        <w:spacing w:after="0" w:line="183" w:lineRule="auto"/>
        <w:rPr>
          <w:sz w:val="20"/>
          <w:szCs w:val="20"/>
          <w:color w:val="auto"/>
        </w:rPr>
      </w:pPr>
      <w:r>
        <w:rPr>
          <w:rFonts w:ascii="Times New Roman" w:cs="Times New Roman" w:eastAsia="Times New Roman" w:hAnsi="Times New Roman"/>
          <w:sz w:val="17"/>
          <w:szCs w:val="17"/>
          <w:color w:val="auto"/>
        </w:rPr>
        <w:t xml:space="preserve">_______________________ Class A ordinary shares, </w:t>
      </w:r>
      <w:r>
        <w:rPr>
          <w:rFonts w:ascii="Times New Roman" w:cs="Times New Roman" w:eastAsia="Times New Roman" w:hAnsi="Times New Roman"/>
          <w:sz w:val="28"/>
          <w:szCs w:val="28"/>
          <w:color w:val="auto"/>
          <w:vertAlign w:val="superscript"/>
        </w:rPr>
        <w:t>(Note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perscript"/>
        </w:rPr>
        <w:t>2</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par value US$0.00025 per share, of NIO Inc. (the “Company”), hereby appoint the Chairman of the</w:t>
      </w:r>
    </w:p>
    <w:p>
      <w:pPr>
        <w:spacing w:after="0" w:line="185" w:lineRule="auto"/>
        <w:rPr>
          <w:sz w:val="20"/>
          <w:szCs w:val="20"/>
          <w:color w:val="auto"/>
        </w:rPr>
      </w:pPr>
      <w:r>
        <w:rPr>
          <w:rFonts w:ascii="Times New Roman" w:cs="Times New Roman" w:eastAsia="Times New Roman" w:hAnsi="Times New Roman"/>
          <w:sz w:val="16"/>
          <w:szCs w:val="16"/>
          <w:color w:val="auto"/>
        </w:rPr>
        <w:t>Class A Meeting</w:t>
      </w:r>
      <w:r>
        <w:rPr>
          <w:rFonts w:ascii="Times New Roman" w:cs="Times New Roman" w:eastAsia="Times New Roman" w:hAnsi="Times New Roman"/>
          <w:sz w:val="26"/>
          <w:szCs w:val="26"/>
          <w:color w:val="auto"/>
          <w:vertAlign w:val="superscript"/>
        </w:rPr>
        <w:t>(Note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3</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or _____________________ of as my/our proxy to attend and act for me/us at the Class A Meeting (or at any adjournment(s) or</w:t>
      </w: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postponement(s) thereof) of the Company to be held at Building 16, No. 56 AnTuo Road, Anting Town, Jiading District, Shanghai 201804, People’s Republic of China and at any adjournment(s) or postponement(s) thereof, and in the event of a poll, to vote for me/us as indicated below, or if no such indication is given, as my/our proxy thinks fit. </w:t>
      </w:r>
      <w:r>
        <w:rPr>
          <w:rFonts w:ascii="Times New Roman" w:cs="Times New Roman" w:eastAsia="Times New Roman" w:hAnsi="Times New Roman"/>
          <w:sz w:val="28"/>
          <w:szCs w:val="28"/>
          <w:color w:val="auto"/>
          <w:vertAlign w:val="superscript"/>
        </w:rPr>
        <w:t>(Note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perscript"/>
        </w:rPr>
        <w:t>4</w:t>
      </w:r>
      <w:r>
        <w:rPr>
          <w:rFonts w:ascii="Times New Roman" w:cs="Times New Roman" w:eastAsia="Times New Roman" w:hAnsi="Times New Roman"/>
          <w:sz w:val="28"/>
          <w:szCs w:val="28"/>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24872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2487295"/>
                    </a:xfrm>
                    <a:prstGeom prst="rect">
                      <a:avLst/>
                    </a:prstGeom>
                    <a:noFill/>
                  </pic:spPr>
                </pic:pic>
              </a:graphicData>
            </a:graphic>
          </wp:anchor>
        </w:drawing>
      </w:r>
    </w:p>
    <w:p>
      <w:pPr>
        <w:spacing w:after="0" w:line="10" w:lineRule="exact"/>
        <w:rPr>
          <w:sz w:val="20"/>
          <w:szCs w:val="20"/>
          <w:color w:val="auto"/>
        </w:rPr>
      </w:pPr>
    </w:p>
    <w:tbl>
      <w:tblPr>
        <w:tblLayout w:type="fixed"/>
        <w:tblInd w:w="2420" w:type="dxa"/>
        <w:tblCellMar>
          <w:top w:w="0" w:type="dxa"/>
          <w:left w:w="0" w:type="dxa"/>
          <w:bottom w:w="0" w:type="dxa"/>
          <w:right w:w="0" w:type="dxa"/>
        </w:tblCellMar>
      </w:tblPr>
      <w:tr>
        <w:trPr>
          <w:trHeight w:val="564"/>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RESOLUTION</w:t>
            </w:r>
            <w:r>
              <w:rPr>
                <w:rFonts w:ascii="Times New Roman" w:cs="Times New Roman" w:eastAsia="Times New Roman" w:hAnsi="Times New Roman"/>
                <w:sz w:val="28"/>
                <w:szCs w:val="28"/>
                <w:b w:val="1"/>
                <w:bCs w:val="1"/>
                <w:color w:val="auto"/>
                <w:vertAlign w:val="superscript"/>
              </w:rPr>
              <w:t>(Note 5)</w:t>
            </w:r>
          </w:p>
        </w:tc>
        <w:tc>
          <w:tcPr>
            <w:tcW w:w="2240" w:type="dxa"/>
            <w:vAlign w:val="bottom"/>
          </w:tcPr>
          <w:p>
            <w:pPr>
              <w:ind w:left="1100"/>
              <w:spacing w:after="0"/>
              <w:rPr>
                <w:sz w:val="20"/>
                <w:szCs w:val="20"/>
                <w:color w:val="auto"/>
              </w:rPr>
            </w:pPr>
            <w:r>
              <w:rPr>
                <w:rFonts w:ascii="Times New Roman" w:cs="Times New Roman" w:eastAsia="Times New Roman" w:hAnsi="Times New Roman"/>
                <w:sz w:val="33"/>
                <w:szCs w:val="33"/>
                <w:b w:val="1"/>
                <w:bCs w:val="1"/>
                <w:color w:val="auto"/>
                <w:vertAlign w:val="subscript"/>
              </w:rPr>
              <w:t>FOR</w:t>
            </w:r>
            <w:r>
              <w:rPr>
                <w:rFonts w:ascii="Times New Roman" w:cs="Times New Roman" w:eastAsia="Times New Roman" w:hAnsi="Times New Roman"/>
                <w:sz w:val="14"/>
                <w:szCs w:val="14"/>
                <w:b w:val="1"/>
                <w:bCs w:val="1"/>
                <w:color w:val="auto"/>
              </w:rPr>
              <w:t>(Note 3)</w:t>
            </w:r>
          </w:p>
        </w:tc>
        <w:tc>
          <w:tcPr>
            <w:tcW w:w="1740" w:type="dxa"/>
            <w:vAlign w:val="bottom"/>
          </w:tcPr>
          <w:p>
            <w:pPr>
              <w:ind w:left="280"/>
              <w:spacing w:after="0"/>
              <w:rPr>
                <w:sz w:val="20"/>
                <w:szCs w:val="20"/>
                <w:color w:val="auto"/>
              </w:rPr>
            </w:pPr>
            <w:r>
              <w:rPr>
                <w:rFonts w:ascii="Times New Roman" w:cs="Times New Roman" w:eastAsia="Times New Roman" w:hAnsi="Times New Roman"/>
                <w:sz w:val="33"/>
                <w:szCs w:val="33"/>
                <w:b w:val="1"/>
                <w:bCs w:val="1"/>
                <w:color w:val="auto"/>
                <w:w w:val="97"/>
                <w:vertAlign w:val="subscript"/>
              </w:rPr>
              <w:t>AGAINST</w:t>
            </w:r>
            <w:r>
              <w:rPr>
                <w:rFonts w:ascii="Times New Roman" w:cs="Times New Roman" w:eastAsia="Times New Roman" w:hAnsi="Times New Roman"/>
                <w:sz w:val="14"/>
                <w:szCs w:val="14"/>
                <w:b w:val="1"/>
                <w:bCs w:val="1"/>
                <w:color w:val="auto"/>
                <w:w w:val="97"/>
              </w:rPr>
              <w:t>(Note 3)</w:t>
            </w:r>
          </w:p>
        </w:tc>
        <w:tc>
          <w:tcPr>
            <w:tcW w:w="1440" w:type="dxa"/>
            <w:vAlign w:val="bottom"/>
          </w:tcPr>
          <w:p>
            <w:pPr>
              <w:ind w:left="220"/>
              <w:spacing w:after="0"/>
              <w:rPr>
                <w:sz w:val="20"/>
                <w:szCs w:val="20"/>
                <w:color w:val="auto"/>
              </w:rPr>
            </w:pPr>
            <w:r>
              <w:rPr>
                <w:rFonts w:ascii="Times New Roman" w:cs="Times New Roman" w:eastAsia="Times New Roman" w:hAnsi="Times New Roman"/>
                <w:sz w:val="33"/>
                <w:szCs w:val="33"/>
                <w:b w:val="1"/>
                <w:bCs w:val="1"/>
                <w:color w:val="auto"/>
                <w:w w:val="82"/>
                <w:vertAlign w:val="subscript"/>
              </w:rPr>
              <w:t>ABSTAIN</w:t>
            </w:r>
            <w:r>
              <w:rPr>
                <w:rFonts w:ascii="Times New Roman" w:cs="Times New Roman" w:eastAsia="Times New Roman" w:hAnsi="Times New Roman"/>
                <w:sz w:val="14"/>
                <w:szCs w:val="14"/>
                <w:b w:val="1"/>
                <w:bCs w:val="1"/>
                <w:color w:val="auto"/>
                <w:w w:val="82"/>
              </w:rPr>
              <w:t>(Note 3)</w:t>
            </w:r>
          </w:p>
        </w:tc>
      </w:tr>
    </w:tbl>
    <w:p>
      <w:pPr>
        <w:spacing w:after="0" w:line="82" w:lineRule="exact"/>
        <w:rPr>
          <w:sz w:val="20"/>
          <w:szCs w:val="20"/>
          <w:color w:val="auto"/>
        </w:rPr>
      </w:pPr>
    </w:p>
    <w:p>
      <w:pPr>
        <w:ind w:left="560" w:hanging="455"/>
        <w:spacing w:after="0"/>
        <w:tabs>
          <w:tab w:leader="none" w:pos="56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special resolution:</w:t>
      </w:r>
    </w:p>
    <w:p>
      <w:pPr>
        <w:spacing w:after="0" w:line="208" w:lineRule="exact"/>
        <w:rPr>
          <w:rFonts w:ascii="Times New Roman" w:cs="Times New Roman" w:eastAsia="Times New Roman" w:hAnsi="Times New Roman"/>
          <w:sz w:val="17"/>
          <w:szCs w:val="17"/>
          <w:color w:val="auto"/>
        </w:rPr>
      </w:pPr>
    </w:p>
    <w:p>
      <w:pPr>
        <w:ind w:left="560" w:right="538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THAT subject to the passing of the Class-based Resolution (as defined in the Meeting Notice) at each of the class meeting of holders of the Class C ordinary shares with a par value of US$0.00025 each and the annual general meeting of the Company, each convened on the same date and at the same place as the Class A Meeting, the Company’s Twelfth Amended and Restated Memorandum of Association and Articles of Association in effect be amended and restated by the deletion in their entirety and the substitution in their place of the Thirteenth Amended and Restated Memorandum and Articles of Association annexed to this notice, as more particularly disclosed on</w:t>
      </w:r>
    </w:p>
    <w:p>
      <w:pPr>
        <w:ind w:left="560" w:right="570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pages 141 to 152 of the Company’s Hong Kong listing document dated February 28, 2022, by incorporating the following requirements under the Hong Kong Listing Rules: paragraph 15 of Appendix 3 and Rules 8A.09, 8A.13 to 8A.19, 8A.21 to 8A.24</w:t>
      </w:r>
      <w:r>
        <w:rPr>
          <w:rFonts w:ascii="Times New Roman" w:cs="Times New Roman" w:eastAsia="Times New Roman" w:hAnsi="Times New Roman"/>
          <w:sz w:val="17"/>
          <w:szCs w:val="17"/>
          <w:i w:val="1"/>
          <w:iCs w:val="1"/>
          <w:color w:val="auto"/>
        </w:rPr>
        <w:t>.</w:t>
      </w:r>
    </w:p>
    <w:p>
      <w:pPr>
        <w:spacing w:after="0" w:line="208" w:lineRule="exact"/>
        <w:rPr>
          <w:sz w:val="20"/>
          <w:szCs w:val="20"/>
          <w:color w:val="auto"/>
        </w:rPr>
      </w:pPr>
    </w:p>
    <w:p>
      <w:pPr>
        <w:spacing w:after="0"/>
        <w:tabs>
          <w:tab w:leader="none" w:pos="1520" w:val="left"/>
          <w:tab w:leader="none" w:pos="548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 2022</w:t>
      </w:r>
      <w:r>
        <w:rPr>
          <w:sz w:val="20"/>
          <w:szCs w:val="20"/>
          <w:color w:val="auto"/>
        </w:rPr>
        <w:tab/>
      </w:r>
      <w:r>
        <w:rPr>
          <w:rFonts w:ascii="Times New Roman" w:cs="Times New Roman" w:eastAsia="Times New Roman" w:hAnsi="Times New Roman"/>
          <w:sz w:val="24"/>
          <w:szCs w:val="24"/>
          <w:color w:val="auto"/>
          <w:vertAlign w:val="subscript"/>
        </w:rPr>
        <w:t xml:space="preserve">Signature(s) </w:t>
      </w:r>
      <w:r>
        <w:rPr>
          <w:rFonts w:ascii="Times New Roman" w:cs="Times New Roman" w:eastAsia="Times New Roman" w:hAnsi="Times New Roman"/>
          <w:sz w:val="20"/>
          <w:szCs w:val="20"/>
          <w:color w:val="auto"/>
          <w:vertAlign w:val="superscript"/>
        </w:rPr>
        <w:t>(Note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4365625</wp:posOffset>
            </wp:positionH>
            <wp:positionV relativeFrom="paragraph">
              <wp:posOffset>98425</wp:posOffset>
            </wp:positionV>
            <wp:extent cx="27762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762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266700</wp:posOffset>
            </wp:positionV>
            <wp:extent cx="17894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8943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58420</wp:posOffset>
            </wp:positionV>
            <wp:extent cx="695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5325"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Notes:</w:t>
      </w:r>
    </w:p>
    <w:p>
      <w:pPr>
        <w:spacing w:after="0" w:line="209" w:lineRule="exact"/>
        <w:rPr>
          <w:sz w:val="20"/>
          <w:szCs w:val="20"/>
          <w:color w:val="auto"/>
        </w:rPr>
      </w:pPr>
    </w:p>
    <w:p>
      <w:pPr>
        <w:jc w:val="both"/>
        <w:ind w:left="300" w:hanging="299"/>
        <w:spacing w:after="0" w:line="239" w:lineRule="auto"/>
        <w:tabs>
          <w:tab w:leader="none" w:pos="300" w:val="left"/>
        </w:tabs>
        <w:numPr>
          <w:ilvl w:val="0"/>
          <w:numId w:val="1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This Form of Proxy is </w:t>
      </w:r>
      <w:r>
        <w:rPr>
          <w:rFonts w:ascii="Times New Roman" w:cs="Times New Roman" w:eastAsia="Times New Roman" w:hAnsi="Times New Roman"/>
          <w:sz w:val="16"/>
          <w:szCs w:val="16"/>
          <w:b w:val="1"/>
          <w:bCs w:val="1"/>
          <w:color w:val="auto"/>
        </w:rPr>
        <w:t>not valid</w:t>
      </w:r>
      <w:r>
        <w:rPr>
          <w:rFonts w:ascii="Times New Roman" w:cs="Times New Roman" w:eastAsia="Times New Roman" w:hAnsi="Times New Roman"/>
          <w:sz w:val="16"/>
          <w:szCs w:val="16"/>
          <w:color w:val="auto"/>
        </w:rPr>
        <w:t xml:space="preserve"> for holders of the American Depositary Shares of the Company or holders of Class A Ordinary Shares which are held through (either directly or through depositary agents) securities accounts (the "</w:t>
      </w:r>
      <w:r>
        <w:rPr>
          <w:rFonts w:ascii="Times New Roman" w:cs="Times New Roman" w:eastAsia="Times New Roman" w:hAnsi="Times New Roman"/>
          <w:sz w:val="16"/>
          <w:szCs w:val="16"/>
          <w:b w:val="1"/>
          <w:bCs w:val="1"/>
          <w:color w:val="auto"/>
        </w:rPr>
        <w:t>NIO CDP Depositors</w:t>
      </w:r>
      <w:r>
        <w:rPr>
          <w:rFonts w:ascii="Times New Roman" w:cs="Times New Roman" w:eastAsia="Times New Roman" w:hAnsi="Times New Roman"/>
          <w:sz w:val="16"/>
          <w:szCs w:val="16"/>
          <w:color w:val="auto"/>
        </w:rPr>
        <w:t>") maintained with The Central Depository (Pte) Limited. Holders of</w:t>
      </w:r>
    </w:p>
    <w:p>
      <w:pPr>
        <w:spacing w:after="0" w:line="1" w:lineRule="exact"/>
        <w:rPr>
          <w:sz w:val="20"/>
          <w:szCs w:val="20"/>
          <w:color w:val="auto"/>
        </w:rPr>
      </w:pPr>
    </w:p>
    <w:p>
      <w:pPr>
        <w:ind w:left="300"/>
        <w:spacing w:after="0" w:line="248" w:lineRule="auto"/>
        <w:rPr>
          <w:sz w:val="20"/>
          <w:szCs w:val="20"/>
          <w:color w:val="auto"/>
        </w:rPr>
      </w:pPr>
      <w:r>
        <w:rPr>
          <w:rFonts w:ascii="Times New Roman" w:cs="Times New Roman" w:eastAsia="Times New Roman" w:hAnsi="Times New Roman"/>
          <w:sz w:val="17"/>
          <w:szCs w:val="17"/>
          <w:color w:val="auto"/>
        </w:rPr>
        <w:t>the American Depositary Shares of the Company and NIO CDP Depositors should refer to the Meeting Notice for further information on attendance and voting arrangements.</w:t>
      </w:r>
    </w:p>
    <w:p>
      <w:pPr>
        <w:ind w:left="300" w:hanging="299"/>
        <w:spacing w:after="0" w:line="216" w:lineRule="auto"/>
        <w:tabs>
          <w:tab w:leader="none" w:pos="300" w:val="left"/>
        </w:tabs>
        <w:numPr>
          <w:ilvl w:val="0"/>
          <w:numId w:val="1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Please insert the number of shares registered in your name(s) to which this proxy relates. If no number is inserted, this form of proxy will be deemed to relate to all the shares in the Company registered in your name(s).</w:t>
      </w:r>
    </w:p>
    <w:p>
      <w:pPr>
        <w:spacing w:after="0" w:line="1" w:lineRule="exact"/>
        <w:rPr>
          <w:sz w:val="20"/>
          <w:szCs w:val="20"/>
          <w:color w:val="auto"/>
        </w:rPr>
      </w:pPr>
    </w:p>
    <w:p>
      <w:pPr>
        <w:jc w:val="both"/>
        <w:ind w:left="300" w:hanging="299"/>
        <w:spacing w:after="0" w:line="226" w:lineRule="auto"/>
        <w:tabs>
          <w:tab w:leader="none" w:pos="300" w:val="left"/>
        </w:tabs>
        <w:numPr>
          <w:ilvl w:val="0"/>
          <w:numId w:val="1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any proxy other than the Chairman is preferred, strike out the words “</w:t>
      </w:r>
      <w:r>
        <w:rPr>
          <w:rFonts w:ascii="Times New Roman" w:cs="Times New Roman" w:eastAsia="Times New Roman" w:hAnsi="Times New Roman"/>
          <w:sz w:val="17"/>
          <w:szCs w:val="17"/>
          <w:b w:val="1"/>
          <w:bCs w:val="1"/>
          <w:color w:val="auto"/>
        </w:rPr>
        <w:t>THE CHAIRMAN OF THE CLASS A MEETING</w:t>
      </w:r>
      <w:r>
        <w:rPr>
          <w:rFonts w:ascii="Times New Roman" w:cs="Times New Roman" w:eastAsia="Times New Roman" w:hAnsi="Times New Roman"/>
          <w:sz w:val="17"/>
          <w:szCs w:val="17"/>
          <w:color w:val="auto"/>
        </w:rPr>
        <w:t xml:space="preserve">” and insert the name and address of the proxy desired in the space provided. A member may appoint one or more proxies to attend and vote in his/her stead. </w:t>
      </w:r>
      <w:r>
        <w:rPr>
          <w:rFonts w:ascii="Times New Roman" w:cs="Times New Roman" w:eastAsia="Times New Roman" w:hAnsi="Times New Roman"/>
          <w:sz w:val="17"/>
          <w:szCs w:val="17"/>
          <w:b w:val="1"/>
          <w:bCs w:val="1"/>
          <w:color w:val="auto"/>
        </w:rPr>
        <w:t>ANY ALTERATION MADE TO THIS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FORM OF PROXY MUST BE INITIALED BY THE PERSON(S) WHO SIGN(S) IT</w:t>
      </w:r>
      <w:r>
        <w:rPr>
          <w:rFonts w:ascii="Times New Roman" w:cs="Times New Roman" w:eastAsia="Times New Roman" w:hAnsi="Times New Roman"/>
          <w:sz w:val="17"/>
          <w:szCs w:val="17"/>
          <w:color w:val="auto"/>
        </w:rPr>
        <w:t>.</w:t>
      </w:r>
    </w:p>
    <w:p>
      <w:pPr>
        <w:jc w:val="both"/>
        <w:ind w:left="300" w:hanging="299"/>
        <w:spacing w:after="0" w:line="250" w:lineRule="auto"/>
        <w:tabs>
          <w:tab w:leader="none" w:pos="300" w:val="left"/>
        </w:tabs>
        <w:numPr>
          <w:ilvl w:val="0"/>
          <w:numId w:val="1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b w:val="1"/>
          <w:bCs w:val="1"/>
          <w:color w:val="auto"/>
        </w:rPr>
        <w:t xml:space="preserve">IMPORTANT: IF YOU WISH TO VOTE FOR THE RESOLUTION, TICK THE APPROPRIATE BOX MARKED “FOR.” IF YOU WISH TO VOTE AGAINST THE RESOLUTION, TICK THE APPROPRIATE BOX MARKED “AGAINST.” ALTERNATIVELY, YOU MAY ALSO INDICATE THE RESPECTIVE NUMBERS OF SHARES FOR EACH OF THE “FOR,” “AGAINST” AND “ABSTAIN” COLUMNS. </w:t>
      </w:r>
      <w:r>
        <w:rPr>
          <w:rFonts w:ascii="Times New Roman" w:cs="Times New Roman" w:eastAsia="Times New Roman" w:hAnsi="Times New Roman"/>
          <w:sz w:val="16"/>
          <w:szCs w:val="16"/>
          <w:color w:val="auto"/>
        </w:rPr>
        <w:t>Failure to complete any or all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boxes will entitle your proxy to cast his or her votes at his or her discretion. A proxy need not be a member of the Company, but must attend the Meeting in person. A member may only have one form of proxy valid at any one time and if a member submits more than one form of proxy, the last form of proxy received in the manner described in this form of proxy above shall be treated as the only valid form of proxy. Any alteration made to this form of proxy must be duly</w:t>
      </w:r>
    </w:p>
    <w:p>
      <w:pPr>
        <w:spacing w:after="0" w:line="3" w:lineRule="exact"/>
        <w:rPr>
          <w:sz w:val="20"/>
          <w:szCs w:val="20"/>
          <w:color w:val="auto"/>
        </w:rPr>
      </w:pPr>
    </w:p>
    <w:p>
      <w:pPr>
        <w:ind w:left="300"/>
        <w:spacing w:after="0" w:line="248" w:lineRule="auto"/>
        <w:rPr>
          <w:sz w:val="20"/>
          <w:szCs w:val="20"/>
          <w:color w:val="auto"/>
        </w:rPr>
      </w:pPr>
      <w:r>
        <w:rPr>
          <w:rFonts w:ascii="Times New Roman" w:cs="Times New Roman" w:eastAsia="Times New Roman" w:hAnsi="Times New Roman"/>
          <w:sz w:val="17"/>
          <w:szCs w:val="17"/>
          <w:color w:val="auto"/>
        </w:rPr>
        <w:t>initialed by the person who signs it. Completion and deposit of a form of proxy does not prevent a member from attending the Meeting in person but if a member attends the Meeting and votes, this proxy will be revoked.</w:t>
      </w:r>
    </w:p>
    <w:p>
      <w:pPr>
        <w:ind w:left="300" w:hanging="299"/>
        <w:spacing w:after="0" w:line="192" w:lineRule="auto"/>
        <w:tabs>
          <w:tab w:leader="none" w:pos="300" w:val="left"/>
        </w:tabs>
        <w:numPr>
          <w:ilvl w:val="0"/>
          <w:numId w:val="1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Please refer to the Meeting Notice for details of the approval threshold for the resolution.</w:t>
      </w:r>
    </w:p>
    <w:p>
      <w:pPr>
        <w:spacing w:after="0" w:line="2" w:lineRule="exact"/>
        <w:rPr>
          <w:sz w:val="20"/>
          <w:szCs w:val="20"/>
          <w:color w:val="auto"/>
        </w:rPr>
      </w:pPr>
    </w:p>
    <w:p>
      <w:pPr>
        <w:ind w:left="300" w:hanging="299"/>
        <w:spacing w:after="0" w:line="215" w:lineRule="auto"/>
        <w:tabs>
          <w:tab w:leader="none" w:pos="300" w:val="left"/>
        </w:tabs>
        <w:numPr>
          <w:ilvl w:val="0"/>
          <w:numId w:val="1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This form of proxy must be signed by you or your attorney duly authorized in writing or, in the case of a corporation, must be either executed under its common seal or under the hand of an officer or attorney or other person duly authorized to sign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418465</wp:posOffset>
            </wp:positionV>
            <wp:extent cx="71412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56" w:name="page57"/>
    <w:bookmarkEnd w:id="56"/>
    <w:p>
      <w:pPr>
        <w:ind w:left="9260"/>
        <w:spacing w:after="0"/>
        <w:rPr>
          <w:sz w:val="20"/>
          <w:szCs w:val="20"/>
          <w:color w:val="auto"/>
        </w:rPr>
      </w:pPr>
      <w:r>
        <w:rPr>
          <w:rFonts w:ascii="Times New Roman" w:cs="Times New Roman" w:eastAsia="Times New Roman" w:hAnsi="Times New Roman"/>
          <w:sz w:val="16"/>
          <w:szCs w:val="16"/>
          <w:b w:val="1"/>
          <w:bCs w:val="1"/>
          <w:color w:val="auto"/>
        </w:rPr>
        <w:t>Exhibit 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24765</wp:posOffset>
            </wp:positionV>
            <wp:extent cx="6884035" cy="9171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84035" cy="917130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4035" cy="9171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84035" cy="9171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4035" cy="9171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84035" cy="9171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ind w:left="9260"/>
        <w:spacing w:after="0"/>
        <w:rPr>
          <w:sz w:val="20"/>
          <w:szCs w:val="20"/>
          <w:color w:val="auto"/>
        </w:rPr>
      </w:pPr>
      <w:r>
        <w:rPr>
          <w:rFonts w:ascii="Times New Roman" w:cs="Times New Roman" w:eastAsia="Times New Roman" w:hAnsi="Times New Roman"/>
          <w:sz w:val="16"/>
          <w:szCs w:val="16"/>
          <w:b w:val="1"/>
          <w:bCs w:val="1"/>
          <w:color w:val="auto"/>
        </w:rPr>
        <w:t>Exhibit 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24765</wp:posOffset>
            </wp:positionV>
            <wp:extent cx="6755765" cy="88582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55765" cy="8858250"/>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396240</wp:posOffset>
            </wp:positionH>
            <wp:positionV relativeFrom="page">
              <wp:posOffset>88900</wp:posOffset>
            </wp:positionV>
            <wp:extent cx="6755765" cy="88582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55765" cy="8858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396240</wp:posOffset>
            </wp:positionH>
            <wp:positionV relativeFrom="page">
              <wp:posOffset>88900</wp:posOffset>
            </wp:positionV>
            <wp:extent cx="6755765" cy="88582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55765" cy="8858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396240</wp:posOffset>
            </wp:positionH>
            <wp:positionV relativeFrom="page">
              <wp:posOffset>88900</wp:posOffset>
            </wp:positionV>
            <wp:extent cx="6755765" cy="88582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55765" cy="88582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579BE4F1"/>
    <w:multiLevelType w:val="hybridMultilevel"/>
    <w:lvl w:ilvl="0">
      <w:lvlJc w:val="left"/>
      <w:lvlText w:val="%1."/>
      <w:numFmt w:val="decimal"/>
      <w:start w:val="1"/>
    </w:lvl>
    <w:lvl w:ilvl="1">
      <w:lvlJc w:val="left"/>
      <w:lvlText w:val="(%2)"/>
      <w:numFmt w:val="lowerLetter"/>
      <w:start w:val="2"/>
    </w:lvl>
  </w:abstractNum>
  <w:abstractNum w:abstractNumId="1">
    <w:nsid w:val="310C50B3"/>
    <w:multiLevelType w:val="hybridMultilevel"/>
    <w:lvl w:ilvl="0">
      <w:lvlJc w:val="left"/>
      <w:lvlText w:val="%1."/>
      <w:numFmt w:val="decimal"/>
      <w:start w:val="1"/>
    </w:lvl>
  </w:abstractNum>
  <w:abstractNum w:abstractNumId="2">
    <w:nsid w:val="5FF87E05"/>
    <w:multiLevelType w:val="hybridMultilevel"/>
    <w:lvl w:ilvl="0">
      <w:lvlJc w:val="left"/>
      <w:lvlText w:val="(%1)"/>
      <w:numFmt w:val="lowerLetter"/>
      <w:start w:val="1"/>
    </w:lvl>
  </w:abstractNum>
  <w:abstractNum w:abstractNumId="3">
    <w:nsid w:val="2F305DEF"/>
    <w:multiLevelType w:val="hybridMultilevel"/>
    <w:lvl w:ilvl="0">
      <w:lvlJc w:val="left"/>
      <w:lvlText w:val="(%1)"/>
      <w:numFmt w:val="lowerLetter"/>
      <w:start w:val="1"/>
    </w:lvl>
  </w:abstractNum>
  <w:abstractNum w:abstractNumId="4">
    <w:nsid w:val="25A70BF7"/>
    <w:multiLevelType w:val="hybridMultilevel"/>
    <w:lvl w:ilvl="0">
      <w:lvlJc w:val="left"/>
      <w:lvlText w:val="%1."/>
      <w:numFmt w:val="decimal"/>
      <w:start w:val="1"/>
    </w:lvl>
  </w:abstractNum>
  <w:abstractNum w:abstractNumId="5">
    <w:nsid w:val="1DBABF00"/>
    <w:multiLevelType w:val="hybridMultilevel"/>
    <w:lvl w:ilvl="0">
      <w:lvlJc w:val="left"/>
      <w:lvlText w:val="%1."/>
      <w:numFmt w:val="decimal"/>
      <w:start w:val="1"/>
    </w:lvl>
  </w:abstractNum>
  <w:abstractNum w:abstractNumId="6">
    <w:nsid w:val="4AD084E9"/>
    <w:multiLevelType w:val="hybridMultilevel"/>
    <w:lvl w:ilvl="0">
      <w:lvlJc w:val="left"/>
      <w:lvlText w:val="%1."/>
      <w:numFmt w:val="decimal"/>
      <w:start w:val="2"/>
    </w:lvl>
    <w:lvl w:ilvl="1">
      <w:lvlJc w:val="left"/>
      <w:lvlText w:val="(%2)"/>
      <w:numFmt w:val="lowerLetter"/>
      <w:start w:val="1"/>
    </w:lvl>
  </w:abstractNum>
  <w:abstractNum w:abstractNumId="7">
    <w:nsid w:val="1F48EAA1"/>
    <w:multiLevelType w:val="hybridMultilevel"/>
    <w:lvl w:ilvl="0">
      <w:lvlJc w:val="left"/>
      <w:lvlText w:val="(%1)"/>
      <w:numFmt w:val="lowerLetter"/>
      <w:start w:val="3"/>
    </w:lvl>
  </w:abstractNum>
  <w:abstractNum w:abstractNumId="8">
    <w:nsid w:val="1381823A"/>
    <w:multiLevelType w:val="hybridMultilevel"/>
    <w:lvl w:ilvl="0">
      <w:lvlJc w:val="left"/>
      <w:lvlText w:val="%1."/>
      <w:numFmt w:val="decimal"/>
      <w:start w:val="3"/>
    </w:lvl>
  </w:abstractNum>
  <w:abstractNum w:abstractNumId="9">
    <w:nsid w:val="5DB70AE5"/>
    <w:multiLevelType w:val="hybridMultilevel"/>
    <w:lvl w:ilvl="0">
      <w:lvlJc w:val="left"/>
      <w:lvlText w:val="%1."/>
      <w:numFmt w:val="decimal"/>
      <w:start w:val="4"/>
    </w:lvl>
  </w:abstractNum>
  <w:abstractNum w:abstractNumId="10">
    <w:nsid w:val="100F8FCA"/>
    <w:multiLevelType w:val="hybridMultilevel"/>
    <w:lvl w:ilvl="0">
      <w:lvlJc w:val="left"/>
      <w:lvlText w:val="(%1)"/>
      <w:numFmt w:val="lowerLetter"/>
      <w:start w:val="1"/>
    </w:lvl>
  </w:abstractNum>
  <w:abstractNum w:abstractNumId="11">
    <w:nsid w:val="6590700B"/>
    <w:multiLevelType w:val="hybridMultilevel"/>
    <w:lvl w:ilvl="0">
      <w:lvlJc w:val="left"/>
      <w:lvlText w:val="%1."/>
      <w:numFmt w:val="decimal"/>
      <w:start w:val="8"/>
    </w:lvl>
    <w:lvl w:ilvl="1">
      <w:lvlJc w:val="left"/>
      <w:lvlText w:val="(%2)"/>
      <w:numFmt w:val="lowerLetter"/>
      <w:start w:val="1"/>
    </w:lvl>
  </w:abstractNum>
  <w:abstractNum w:abstractNumId="12">
    <w:nsid w:val="15014ACB"/>
    <w:multiLevelType w:val="hybridMultilevel"/>
    <w:lvl w:ilvl="0">
      <w:lvlJc w:val="left"/>
      <w:lvlText w:val="(%1)"/>
      <w:numFmt w:val="lowerLetter"/>
      <w:start w:val="7"/>
    </w:lvl>
  </w:abstractNum>
  <w:abstractNum w:abstractNumId="13">
    <w:nsid w:val="5F5E7FD0"/>
    <w:multiLevelType w:val="hybridMultilevel"/>
    <w:lvl w:ilvl="0">
      <w:lvlJc w:val="left"/>
      <w:lvlText w:val="%1."/>
      <w:numFmt w:val="decimal"/>
      <w:start w:val="10"/>
    </w:lvl>
  </w:abstractNum>
  <w:abstractNum w:abstractNumId="14">
    <w:nsid w:val="98A3148"/>
    <w:multiLevelType w:val="hybridMultilevel"/>
    <w:lvl w:ilvl="0">
      <w:lvlJc w:val="left"/>
      <w:lvlText w:val="%1."/>
      <w:numFmt w:val="decimal"/>
      <w:start w:val="13"/>
    </w:lvl>
  </w:abstractNum>
  <w:abstractNum w:abstractNumId="15">
    <w:nsid w:val="799D0247"/>
    <w:multiLevelType w:val="hybridMultilevel"/>
    <w:lvl w:ilvl="0">
      <w:lvlJc w:val="left"/>
      <w:lvlText w:val="%1."/>
      <w:numFmt w:val="decimal"/>
      <w:start w:val="15"/>
    </w:lvl>
  </w:abstractNum>
  <w:abstractNum w:abstractNumId="16">
    <w:nsid w:val="6B94764"/>
    <w:multiLevelType w:val="hybridMultilevel"/>
    <w:lvl w:ilvl="0">
      <w:lvlJc w:val="left"/>
      <w:lvlText w:val="(%1)"/>
      <w:numFmt w:val="lowerLetter"/>
      <w:start w:val="2"/>
    </w:lvl>
  </w:abstractNum>
  <w:abstractNum w:abstractNumId="17">
    <w:nsid w:val="42C296BD"/>
    <w:multiLevelType w:val="hybridMultilevel"/>
    <w:lvl w:ilvl="0">
      <w:lvlJc w:val="left"/>
      <w:lvlText w:val="(%1)"/>
      <w:numFmt w:val="lowerLetter"/>
      <w:start w:val="8"/>
    </w:lvl>
  </w:abstractNum>
  <w:abstractNum w:abstractNumId="18">
    <w:nsid w:val="168E121F"/>
    <w:multiLevelType w:val="hybridMultilevel"/>
    <w:lvl w:ilvl="0">
      <w:lvlJc w:val="left"/>
      <w:lvlText w:val="%1"/>
      <w:numFmt w:val="lowerRoman"/>
      <w:start w:val="1"/>
    </w:lvl>
    <w:lvl w:ilvl="1">
      <w:lvlJc w:val="left"/>
      <w:lvlText w:val="(%2)"/>
      <w:numFmt w:val="lowerRoman"/>
      <w:start w:val="1"/>
    </w:lvl>
  </w:abstractNum>
  <w:abstractNum w:abstractNumId="19">
    <w:nsid w:val="1EBA5D23"/>
    <w:multiLevelType w:val="hybridMultilevel"/>
    <w:lvl w:ilvl="0">
      <w:lvlJc w:val="left"/>
      <w:lvlText w:val="(%1)"/>
      <w:numFmt w:val="lowerRoman"/>
      <w:start w:val="1"/>
    </w:lvl>
    <w:lvl w:ilvl="1">
      <w:lvlJc w:val="left"/>
      <w:lvlText w:val="%2"/>
      <w:numFmt w:val="lowerRoman"/>
      <w:start w:val="1"/>
    </w:lvl>
  </w:abstractNum>
  <w:abstractNum w:abstractNumId="20">
    <w:nsid w:val="661E3F1E"/>
    <w:multiLevelType w:val="hybridMultilevel"/>
    <w:lvl w:ilvl="0">
      <w:lvlJc w:val="left"/>
      <w:lvlText w:val="%1."/>
      <w:numFmt w:val="decimal"/>
      <w:start w:val="17"/>
    </w:lvl>
  </w:abstractNum>
  <w:abstractNum w:abstractNumId="21">
    <w:nsid w:val="5DC79EA8"/>
    <w:multiLevelType w:val="hybridMultilevel"/>
    <w:lvl w:ilvl="0">
      <w:lvlJc w:val="left"/>
      <w:lvlText w:val="%1."/>
      <w:numFmt w:val="decimal"/>
      <w:start w:val="18"/>
    </w:lvl>
  </w:abstractNum>
  <w:abstractNum w:abstractNumId="22">
    <w:nsid w:val="540A471C"/>
    <w:multiLevelType w:val="hybridMultilevel"/>
    <w:lvl w:ilvl="0">
      <w:lvlJc w:val="left"/>
      <w:lvlText w:val="%1."/>
      <w:numFmt w:val="decimal"/>
      <w:start w:val="19"/>
    </w:lvl>
  </w:abstractNum>
  <w:abstractNum w:abstractNumId="23">
    <w:nsid w:val="7BD3EE7B"/>
    <w:multiLevelType w:val="hybridMultilevel"/>
    <w:lvl w:ilvl="0">
      <w:lvlJc w:val="left"/>
      <w:lvlText w:val="%1"/>
      <w:numFmt w:val="decimal"/>
      <w:start w:val="1"/>
    </w:lvl>
    <w:lvl w:ilvl="1">
      <w:lvlJc w:val="left"/>
      <w:lvlText w:val="(%2)"/>
      <w:numFmt w:val="lowerLetter"/>
      <w:start w:val="2"/>
    </w:lvl>
  </w:abstractNum>
  <w:abstractNum w:abstractNumId="24">
    <w:nsid w:val="51D9C564"/>
    <w:multiLevelType w:val="hybridMultilevel"/>
    <w:lvl w:ilvl="0">
      <w:lvlJc w:val="left"/>
      <w:lvlText w:val="%1."/>
      <w:numFmt w:val="decimal"/>
      <w:start w:val="21"/>
    </w:lvl>
    <w:lvl w:ilvl="1">
      <w:lvlJc w:val="left"/>
      <w:lvlText w:val="%2"/>
      <w:numFmt w:val="lowerLetter"/>
      <w:start w:val="1"/>
    </w:lvl>
  </w:abstractNum>
  <w:abstractNum w:abstractNumId="25">
    <w:nsid w:val="613EFDC5"/>
    <w:multiLevelType w:val="hybridMultilevel"/>
    <w:lvl w:ilvl="0">
      <w:lvlJc w:val="left"/>
      <w:lvlText w:val="%1."/>
      <w:numFmt w:val="decimal"/>
      <w:start w:val="24"/>
    </w:lvl>
  </w:abstractNum>
  <w:abstractNum w:abstractNumId="26">
    <w:nsid w:val="BF72B14"/>
    <w:multiLevelType w:val="hybridMultilevel"/>
    <w:lvl w:ilvl="0">
      <w:lvlJc w:val="left"/>
      <w:lvlText w:val="%1."/>
      <w:numFmt w:val="decimal"/>
      <w:start w:val="25"/>
    </w:lvl>
  </w:abstractNum>
  <w:abstractNum w:abstractNumId="27">
    <w:nsid w:val="11447B73"/>
    <w:multiLevelType w:val="hybridMultilevel"/>
    <w:lvl w:ilvl="0">
      <w:lvlJc w:val="left"/>
      <w:lvlText w:val="%1."/>
      <w:numFmt w:val="decimal"/>
      <w:start w:val="29"/>
    </w:lvl>
  </w:abstractNum>
  <w:abstractNum w:abstractNumId="28">
    <w:nsid w:val="42963E5A"/>
    <w:multiLevelType w:val="hybridMultilevel"/>
    <w:lvl w:ilvl="0">
      <w:lvlJc w:val="left"/>
      <w:lvlText w:val="%1."/>
      <w:numFmt w:val="decimal"/>
      <w:start w:val="33"/>
    </w:lvl>
  </w:abstractNum>
  <w:abstractNum w:abstractNumId="29">
    <w:nsid w:val="A0382C5"/>
    <w:multiLevelType w:val="hybridMultilevel"/>
    <w:lvl w:ilvl="0">
      <w:lvlJc w:val="left"/>
      <w:lvlText w:val="%1."/>
      <w:numFmt w:val="decimal"/>
      <w:start w:val="35"/>
    </w:lvl>
  </w:abstractNum>
  <w:abstractNum w:abstractNumId="30">
    <w:nsid w:val="8F2B15E"/>
    <w:multiLevelType w:val="hybridMultilevel"/>
    <w:lvl w:ilvl="0">
      <w:lvlJc w:val="left"/>
      <w:lvlText w:val="%1."/>
      <w:numFmt w:val="decimal"/>
      <w:start w:val="43"/>
    </w:lvl>
    <w:lvl w:ilvl="1">
      <w:lvlJc w:val="left"/>
      <w:lvlText w:val="(%2)"/>
      <w:numFmt w:val="lowerLetter"/>
      <w:start w:val="2"/>
    </w:lvl>
    <w:lvl w:ilvl="2">
      <w:lvlJc w:val="left"/>
      <w:lvlText w:val="(%3)"/>
      <w:numFmt w:val="lowerRoman"/>
      <w:start w:val="1"/>
    </w:lvl>
  </w:abstractNum>
  <w:abstractNum w:abstractNumId="31">
    <w:nsid w:val="1A32234B"/>
    <w:multiLevelType w:val="hybridMultilevel"/>
    <w:lvl w:ilvl="0">
      <w:lvlJc w:val="left"/>
      <w:lvlText w:val="%1."/>
      <w:numFmt w:val="decimal"/>
      <w:start w:val="47"/>
    </w:lvl>
  </w:abstractNum>
  <w:abstractNum w:abstractNumId="32">
    <w:nsid w:val="3B0FD379"/>
    <w:multiLevelType w:val="hybridMultilevel"/>
    <w:lvl w:ilvl="0">
      <w:lvlJc w:val="left"/>
      <w:lvlText w:val="%1."/>
      <w:numFmt w:val="decimal"/>
      <w:start w:val="50"/>
    </w:lvl>
  </w:abstractNum>
  <w:abstractNum w:abstractNumId="33">
    <w:nsid w:val="68EB2F63"/>
    <w:multiLevelType w:val="hybridMultilevel"/>
    <w:lvl w:ilvl="0">
      <w:lvlJc w:val="left"/>
      <w:lvlText w:val="%1."/>
      <w:numFmt w:val="decimal"/>
      <w:start w:val="51"/>
    </w:lvl>
    <w:lvl w:ilvl="1">
      <w:lvlJc w:val="left"/>
      <w:lvlText w:val="(%2)"/>
      <w:numFmt w:val="lowerLetter"/>
      <w:start w:val="1"/>
    </w:lvl>
  </w:abstractNum>
  <w:abstractNum w:abstractNumId="34">
    <w:nsid w:val="4962813B"/>
    <w:multiLevelType w:val="hybridMultilevel"/>
    <w:lvl w:ilvl="0">
      <w:lvlJc w:val="left"/>
      <w:lvlText w:val="%1."/>
      <w:numFmt w:val="decimal"/>
      <w:start w:val="58"/>
    </w:lvl>
  </w:abstractNum>
  <w:abstractNum w:abstractNumId="35">
    <w:nsid w:val="60B6DF70"/>
    <w:multiLevelType w:val="hybridMultilevel"/>
    <w:lvl w:ilvl="0">
      <w:lvlJc w:val="left"/>
      <w:lvlText w:val="%1."/>
      <w:numFmt w:val="decimal"/>
      <w:start w:val="60"/>
    </w:lvl>
  </w:abstractNum>
  <w:abstractNum w:abstractNumId="36">
    <w:nsid w:val="6A5EE64"/>
    <w:multiLevelType w:val="hybridMultilevel"/>
    <w:lvl w:ilvl="0">
      <w:lvlJc w:val="left"/>
      <w:lvlText w:val="%1"/>
      <w:numFmt w:val="decimal"/>
      <w:start w:val="1"/>
    </w:lvl>
    <w:lvl w:ilvl="1">
      <w:lvlJc w:val="left"/>
      <w:lvlText w:val="(%2)"/>
      <w:numFmt w:val="lowerLetter"/>
      <w:start w:val="2"/>
    </w:lvl>
  </w:abstractNum>
  <w:abstractNum w:abstractNumId="37">
    <w:nsid w:val="14330624"/>
    <w:multiLevelType w:val="hybridMultilevel"/>
    <w:lvl w:ilvl="0">
      <w:lvlJc w:val="left"/>
      <w:lvlText w:val="%1."/>
      <w:numFmt w:val="decimal"/>
      <w:start w:val="62"/>
    </w:lvl>
    <w:lvl w:ilvl="1">
      <w:lvlJc w:val="left"/>
      <w:lvlText w:val="(%2)"/>
      <w:numFmt w:val="lowerLetter"/>
      <w:start w:val="2"/>
    </w:lvl>
  </w:abstractNum>
  <w:abstractNum w:abstractNumId="38">
    <w:nsid w:val="7FFFCA11"/>
    <w:multiLevelType w:val="hybridMultilevel"/>
    <w:lvl w:ilvl="0">
      <w:lvlJc w:val="left"/>
      <w:lvlText w:val="(%1)"/>
      <w:numFmt w:val="lowerLetter"/>
      <w:start w:val="3"/>
    </w:lvl>
  </w:abstractNum>
  <w:abstractNum w:abstractNumId="39">
    <w:nsid w:val="1A27709E"/>
    <w:multiLevelType w:val="hybridMultilevel"/>
    <w:lvl w:ilvl="0">
      <w:lvlJc w:val="left"/>
      <w:lvlText w:val="%1"/>
      <w:numFmt w:val="decimal"/>
      <w:start w:val="1"/>
    </w:lvl>
    <w:lvl w:ilvl="1">
      <w:lvlJc w:val="left"/>
      <w:lvlText w:val="(%2)"/>
      <w:numFmt w:val="lowerLetter"/>
      <w:start w:val="1"/>
    </w:lvl>
  </w:abstractNum>
  <w:abstractNum w:abstractNumId="40">
    <w:nsid w:val="71EA1109"/>
    <w:multiLevelType w:val="hybridMultilevel"/>
    <w:lvl w:ilvl="0">
      <w:lvlJc w:val="left"/>
      <w:lvlText w:val="%1."/>
      <w:numFmt w:val="decimal"/>
      <w:start w:val="64"/>
    </w:lvl>
    <w:lvl w:ilvl="1">
      <w:lvlJc w:val="left"/>
      <w:lvlText w:val="%2"/>
      <w:numFmt w:val="lowerLetter"/>
      <w:start w:val="1"/>
    </w:lvl>
  </w:abstractNum>
  <w:abstractNum w:abstractNumId="41">
    <w:nsid w:val="100F59DC"/>
    <w:multiLevelType w:val="hybridMultilevel"/>
    <w:lvl w:ilvl="0">
      <w:lvlJc w:val="left"/>
      <w:lvlText w:val="(%1)"/>
      <w:numFmt w:val="lowerLetter"/>
      <w:start w:val="1"/>
    </w:lvl>
  </w:abstractNum>
  <w:abstractNum w:abstractNumId="42">
    <w:nsid w:val="7FB7E0AA"/>
    <w:multiLevelType w:val="hybridMultilevel"/>
    <w:lvl w:ilvl="0">
      <w:lvlJc w:val="left"/>
      <w:lvlText w:val="%1."/>
      <w:numFmt w:val="decimal"/>
      <w:start w:val="65"/>
    </w:lvl>
  </w:abstractNum>
  <w:abstractNum w:abstractNumId="43">
    <w:nsid w:val="6EB5BD4"/>
    <w:multiLevelType w:val="hybridMultilevel"/>
    <w:lvl w:ilvl="0">
      <w:lvlJc w:val="left"/>
      <w:lvlText w:val="%1."/>
      <w:numFmt w:val="decimal"/>
      <w:start w:val="66"/>
    </w:lvl>
  </w:abstractNum>
  <w:abstractNum w:abstractNumId="44">
    <w:nsid w:val="6F6DD9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5">
    <w:nsid w:val="94211F2"/>
    <w:multiLevelType w:val="hybridMultilevel"/>
    <w:lvl w:ilvl="0">
      <w:lvlJc w:val="left"/>
      <w:lvlText w:val="%1."/>
      <w:numFmt w:val="decimal"/>
      <w:start w:val="70"/>
    </w:lvl>
    <w:lvl w:ilvl="1">
      <w:lvlJc w:val="left"/>
      <w:lvlText w:val="%2"/>
      <w:numFmt w:val="lowerLetter"/>
      <w:start w:val="1"/>
    </w:lvl>
    <w:lvl w:ilvl="2">
      <w:lvlJc w:val="left"/>
      <w:lvlText w:val="%3"/>
      <w:numFmt w:val="lowerRoman"/>
      <w:start w:val="1"/>
    </w:lvl>
  </w:abstractNum>
  <w:abstractNum w:abstractNumId="46">
    <w:nsid w:val="885E1B"/>
    <w:multiLevelType w:val="hybridMultilevel"/>
    <w:lvl w:ilvl="0">
      <w:lvlJc w:val="left"/>
      <w:lvlText w:val="%1."/>
      <w:numFmt w:val="decimal"/>
      <w:start w:val="73"/>
    </w:lvl>
  </w:abstractNum>
  <w:abstractNum w:abstractNumId="47">
    <w:nsid w:val="76272110"/>
    <w:multiLevelType w:val="hybridMultilevel"/>
    <w:lvl w:ilvl="0">
      <w:lvlJc w:val="left"/>
      <w:lvlText w:val="%1."/>
      <w:numFmt w:val="decimal"/>
      <w:start w:val="76"/>
    </w:lvl>
  </w:abstractNum>
  <w:abstractNum w:abstractNumId="48">
    <w:nsid w:val="4C04A8AF"/>
    <w:multiLevelType w:val="hybridMultilevel"/>
    <w:lvl w:ilvl="0">
      <w:lvlJc w:val="left"/>
      <w:lvlText w:val="%1."/>
      <w:numFmt w:val="decimal"/>
      <w:start w:val="77"/>
    </w:lvl>
  </w:abstractNum>
  <w:abstractNum w:abstractNumId="49">
    <w:nsid w:val="1716703B"/>
    <w:multiLevelType w:val="hybridMultilevel"/>
    <w:lvl w:ilvl="0">
      <w:lvlJc w:val="left"/>
      <w:lvlText w:val="%1."/>
      <w:numFmt w:val="decimal"/>
      <w:start w:val="82"/>
    </w:lvl>
    <w:lvl w:ilvl="1">
      <w:lvlJc w:val="left"/>
      <w:lvlText w:val="(%2)"/>
      <w:numFmt w:val="lowerLetter"/>
      <w:start w:val="1"/>
    </w:lvl>
  </w:abstractNum>
  <w:abstractNum w:abstractNumId="50">
    <w:nsid w:val="14E17E33"/>
    <w:multiLevelType w:val="hybridMultilevel"/>
    <w:lvl w:ilvl="0">
      <w:lvlJc w:val="left"/>
      <w:lvlText w:val="(%1)"/>
      <w:numFmt w:val="lowerLetter"/>
      <w:start w:val="2"/>
    </w:lvl>
  </w:abstractNum>
  <w:abstractNum w:abstractNumId="51">
    <w:nsid w:val="3222E7CD"/>
    <w:multiLevelType w:val="hybridMultilevel"/>
    <w:lvl w:ilvl="0">
      <w:lvlJc w:val="left"/>
      <w:lvlText w:val="%1."/>
      <w:numFmt w:val="decimal"/>
      <w:start w:val="84"/>
    </w:lvl>
  </w:abstractNum>
  <w:abstractNum w:abstractNumId="52">
    <w:nsid w:val="74DE0EE3"/>
    <w:multiLevelType w:val="hybridMultilevel"/>
    <w:lvl w:ilvl="0">
      <w:lvlJc w:val="left"/>
      <w:lvlText w:val="%1."/>
      <w:numFmt w:val="decimal"/>
      <w:start w:val="86"/>
    </w:lvl>
  </w:abstractNum>
  <w:abstractNum w:abstractNumId="53">
    <w:nsid w:val="68EBC550"/>
    <w:multiLevelType w:val="hybridMultilevel"/>
    <w:lvl w:ilvl="0">
      <w:lvlJc w:val="left"/>
      <w:lvlText w:val="%1."/>
      <w:numFmt w:val="decimal"/>
      <w:start w:val="87"/>
    </w:lvl>
  </w:abstractNum>
  <w:abstractNum w:abstractNumId="54">
    <w:nsid w:val="2DF6D648"/>
    <w:multiLevelType w:val="hybridMultilevel"/>
    <w:lvl w:ilvl="0">
      <w:lvlJc w:val="left"/>
      <w:lvlText w:val="%1."/>
      <w:numFmt w:val="decimal"/>
      <w:start w:val="88"/>
    </w:lvl>
    <w:lvl w:ilvl="1">
      <w:lvlJc w:val="left"/>
      <w:lvlText w:val="(%2)"/>
      <w:numFmt w:val="lowerLetter"/>
      <w:start w:val="2"/>
    </w:lvl>
  </w:abstractNum>
  <w:abstractNum w:abstractNumId="55">
    <w:nsid w:val="46B7D447"/>
    <w:multiLevelType w:val="hybridMultilevel"/>
    <w:lvl w:ilvl="0">
      <w:lvlJc w:val="left"/>
      <w:lvlText w:val="%1"/>
      <w:numFmt w:val="lowerLetter"/>
      <w:start w:val="1"/>
    </w:lvl>
    <w:lvl w:ilvl="1">
      <w:lvlJc w:val="left"/>
      <w:lvlText w:val="(%2)"/>
      <w:numFmt w:val="decimal"/>
      <w:start w:val="1"/>
    </w:lvl>
  </w:abstractNum>
  <w:abstractNum w:abstractNumId="56">
    <w:nsid w:val="4A2AC315"/>
    <w:multiLevelType w:val="hybridMultilevel"/>
    <w:lvl w:ilvl="0">
      <w:lvlJc w:val="left"/>
      <w:lvlText w:val="%1"/>
      <w:numFmt w:val="lowerLetter"/>
      <w:start w:val="1"/>
    </w:lvl>
    <w:lvl w:ilvl="1">
      <w:lvlJc w:val="left"/>
      <w:lvlText w:val="(%2)"/>
      <w:numFmt w:val="decimal"/>
      <w:start w:val="6"/>
    </w:lvl>
  </w:abstractNum>
  <w:abstractNum w:abstractNumId="57">
    <w:nsid w:val="39EE015C"/>
    <w:multiLevelType w:val="hybridMultilevel"/>
    <w:lvl w:ilvl="0">
      <w:lvlJc w:val="left"/>
      <w:lvlText w:val="(%1)"/>
      <w:numFmt w:val="lowerLetter"/>
      <w:start w:val="5"/>
    </w:lvl>
    <w:lvl w:ilvl="1">
      <w:lvlJc w:val="left"/>
      <w:lvlText w:val="%2"/>
      <w:numFmt w:val="decimal"/>
      <w:start w:val="1"/>
    </w:lvl>
  </w:abstractNum>
  <w:abstractNum w:abstractNumId="58">
    <w:nsid w:val="57FC4FBB"/>
    <w:multiLevelType w:val="hybridMultilevel"/>
    <w:lvl w:ilvl="0">
      <w:lvlJc w:val="left"/>
      <w:lvlText w:val="%1."/>
      <w:numFmt w:val="decimal"/>
      <w:start w:val="90"/>
    </w:lvl>
  </w:abstractNum>
  <w:abstractNum w:abstractNumId="59">
    <w:nsid w:val="CC1016F"/>
    <w:multiLevelType w:val="hybridMultilevel"/>
    <w:lvl w:ilvl="0">
      <w:lvlJc w:val="left"/>
      <w:lvlText w:val="%1."/>
      <w:numFmt w:val="decimal"/>
      <w:start w:val="91"/>
    </w:lvl>
  </w:abstractNum>
  <w:abstractNum w:abstractNumId="60">
    <w:nsid w:val="43F18422"/>
    <w:multiLevelType w:val="hybridMultilevel"/>
    <w:lvl w:ilvl="0">
      <w:lvlJc w:val="left"/>
      <w:lvlText w:val="(%1)"/>
      <w:numFmt w:val="lowerLetter"/>
      <w:start w:val="1"/>
    </w:lvl>
  </w:abstractNum>
  <w:abstractNum w:abstractNumId="61">
    <w:nsid w:val="60EF0119"/>
    <w:multiLevelType w:val="hybridMultilevel"/>
    <w:lvl w:ilvl="0">
      <w:lvlJc w:val="left"/>
      <w:lvlText w:val="%1."/>
      <w:numFmt w:val="decimal"/>
      <w:start w:val="94"/>
    </w:lvl>
  </w:abstractNum>
  <w:abstractNum w:abstractNumId="62">
    <w:nsid w:val="26F324BA"/>
    <w:multiLevelType w:val="hybridMultilevel"/>
    <w:lvl w:ilvl="0">
      <w:lvlJc w:val="left"/>
      <w:lvlText w:val="%1."/>
      <w:numFmt w:val="decimal"/>
      <w:start w:val="96"/>
    </w:lvl>
  </w:abstractNum>
  <w:abstractNum w:abstractNumId="63">
    <w:nsid w:val="7F01579B"/>
    <w:multiLevelType w:val="hybridMultilevel"/>
    <w:lvl w:ilvl="0">
      <w:lvlJc w:val="left"/>
      <w:lvlText w:val="%1."/>
      <w:numFmt w:val="decimal"/>
      <w:start w:val="104"/>
    </w:lvl>
  </w:abstractNum>
  <w:abstractNum w:abstractNumId="64">
    <w:nsid w:val="49DA307D"/>
    <w:multiLevelType w:val="hybridMultilevel"/>
    <w:lvl w:ilvl="0">
      <w:lvlJc w:val="left"/>
      <w:lvlText w:val="%1."/>
      <w:numFmt w:val="decimal"/>
      <w:start w:val="105"/>
    </w:lvl>
  </w:abstractNum>
  <w:abstractNum w:abstractNumId="65">
    <w:nsid w:val="7055A5F5"/>
    <w:multiLevelType w:val="hybridMultilevel"/>
    <w:lvl w:ilvl="0">
      <w:lvlJc w:val="left"/>
      <w:lvlText w:val="%1."/>
      <w:numFmt w:val="decimal"/>
      <w:start w:val="106"/>
    </w:lvl>
  </w:abstractNum>
  <w:abstractNum w:abstractNumId="66">
    <w:nsid w:val="5FB8370B"/>
    <w:multiLevelType w:val="hybridMultilevel"/>
    <w:lvl w:ilvl="0">
      <w:lvlJc w:val="left"/>
      <w:lvlText w:val="%1."/>
      <w:numFmt w:val="decimal"/>
      <w:start w:val="109"/>
    </w:lvl>
    <w:lvl w:ilvl="1">
      <w:lvlJc w:val="left"/>
      <w:lvlText w:val="(%2)"/>
      <w:numFmt w:val="lowerLetter"/>
      <w:start w:val="1"/>
    </w:lvl>
  </w:abstractNum>
  <w:abstractNum w:abstractNumId="67">
    <w:nsid w:val="50801EE1"/>
    <w:multiLevelType w:val="hybridMultilevel"/>
    <w:lvl w:ilvl="0">
      <w:lvlJc w:val="left"/>
      <w:lvlText w:val="%1."/>
      <w:numFmt w:val="decimal"/>
      <w:start w:val="110"/>
    </w:lvl>
  </w:abstractNum>
  <w:abstractNum w:abstractNumId="68">
    <w:nsid w:val="488AC1A"/>
    <w:multiLevelType w:val="hybridMultilevel"/>
    <w:lvl w:ilvl="0">
      <w:lvlJc w:val="left"/>
      <w:lvlText w:val="%1."/>
      <w:numFmt w:val="decimal"/>
      <w:start w:val="111"/>
    </w:lvl>
    <w:lvl w:ilvl="1">
      <w:lvlJc w:val="left"/>
      <w:lvlText w:val="(%2)"/>
      <w:numFmt w:val="lowerLetter"/>
      <w:start w:val="1"/>
    </w:lvl>
  </w:abstractNum>
  <w:abstractNum w:abstractNumId="69">
    <w:nsid w:val="5FB8011C"/>
    <w:multiLevelType w:val="hybridMultilevel"/>
    <w:lvl w:ilvl="0">
      <w:lvlJc w:val="left"/>
      <w:lvlText w:val="%1."/>
      <w:numFmt w:val="decimal"/>
      <w:start w:val="119"/>
    </w:lvl>
  </w:abstractNum>
  <w:abstractNum w:abstractNumId="70">
    <w:nsid w:val="6AA78F7F"/>
    <w:multiLevelType w:val="hybridMultilevel"/>
    <w:lvl w:ilvl="0">
      <w:lvlJc w:val="left"/>
      <w:lvlText w:val="(%1)"/>
      <w:numFmt w:val="lowerLetter"/>
      <w:start w:val="1"/>
    </w:lvl>
  </w:abstractNum>
  <w:abstractNum w:abstractNumId="71">
    <w:nsid w:val="7672BD23"/>
    <w:multiLevelType w:val="hybridMultilevel"/>
    <w:lvl w:ilvl="0">
      <w:lvlJc w:val="left"/>
      <w:lvlText w:val="(%1)"/>
      <w:numFmt w:val="lowerLetter"/>
      <w:start w:val="1"/>
    </w:lvl>
  </w:abstractNum>
  <w:abstractNum w:abstractNumId="72">
    <w:nsid w:val="6FC75AF8"/>
    <w:multiLevelType w:val="hybridMultilevel"/>
    <w:lvl w:ilvl="0">
      <w:lvlJc w:val="left"/>
      <w:lvlText w:val="(%1)"/>
      <w:numFmt w:val="lowerLetter"/>
      <w:start w:val="12"/>
    </w:lvl>
  </w:abstractNum>
  <w:abstractNum w:abstractNumId="73">
    <w:nsid w:val="6A5F7029"/>
    <w:multiLevelType w:val="hybridMultilevel"/>
    <w:lvl w:ilvl="0">
      <w:lvlJc w:val="left"/>
      <w:lvlText w:val="(%1)"/>
      <w:numFmt w:val="lowerLetter"/>
      <w:start w:val="1"/>
    </w:lvl>
  </w:abstractNum>
  <w:abstractNum w:abstractNumId="74">
    <w:nsid w:val="7D5E18F8"/>
    <w:multiLevelType w:val="hybridMultilevel"/>
    <w:lvl w:ilvl="0">
      <w:lvlJc w:val="left"/>
      <w:lvlText w:val="%1."/>
      <w:numFmt w:val="decimal"/>
      <w:start w:val="123"/>
    </w:lvl>
  </w:abstractNum>
  <w:abstractNum w:abstractNumId="75">
    <w:nsid w:val="5F3534A4"/>
    <w:multiLevelType w:val="hybridMultilevel"/>
    <w:lvl w:ilvl="0">
      <w:lvlJc w:val="left"/>
      <w:lvlText w:val="%1."/>
      <w:numFmt w:val="decimal"/>
      <w:start w:val="124"/>
    </w:lvl>
  </w:abstractNum>
  <w:abstractNum w:abstractNumId="76">
    <w:nsid w:val="73A1821B"/>
    <w:multiLevelType w:val="hybridMultilevel"/>
    <w:lvl w:ilvl="0">
      <w:lvlJc w:val="left"/>
      <w:lvlText w:val="%1."/>
      <w:numFmt w:val="decimal"/>
      <w:start w:val="133"/>
    </w:lvl>
  </w:abstractNum>
  <w:abstractNum w:abstractNumId="77">
    <w:nsid w:val="7DE67713"/>
    <w:multiLevelType w:val="hybridMultilevel"/>
    <w:lvl w:ilvl="0">
      <w:lvlJc w:val="left"/>
      <w:lvlText w:val="%1."/>
      <w:numFmt w:val="decimal"/>
      <w:start w:val="136"/>
    </w:lvl>
  </w:abstractNum>
  <w:abstractNum w:abstractNumId="78">
    <w:nsid w:val="555C55B5"/>
    <w:multiLevelType w:val="hybridMultilevel"/>
    <w:lvl w:ilvl="0">
      <w:lvlJc w:val="left"/>
      <w:lvlText w:val="%1."/>
      <w:numFmt w:val="decimal"/>
      <w:start w:val="138"/>
    </w:lvl>
  </w:abstractNum>
  <w:abstractNum w:abstractNumId="79">
    <w:nsid w:val="3FA62ACA"/>
    <w:multiLevelType w:val="hybridMultilevel"/>
    <w:lvl w:ilvl="0">
      <w:lvlJc w:val="left"/>
      <w:lvlText w:val="%1."/>
      <w:numFmt w:val="decimal"/>
      <w:start w:val="141"/>
    </w:lvl>
    <w:lvl w:ilvl="1">
      <w:lvlJc w:val="left"/>
      <w:lvlText w:val="(%2)"/>
      <w:numFmt w:val="lowerLetter"/>
      <w:start w:val="1"/>
    </w:lvl>
    <w:lvl w:ilvl="2">
      <w:lvlJc w:val="left"/>
      <w:lvlText w:val="(%3)"/>
      <w:numFmt w:val="lowerRoman"/>
      <w:start w:val="1"/>
    </w:lvl>
  </w:abstractNum>
  <w:abstractNum w:abstractNumId="80">
    <w:nsid w:val="14FCE74E"/>
    <w:multiLevelType w:val="hybridMultilevel"/>
    <w:lvl w:ilvl="0">
      <w:lvlJc w:val="left"/>
      <w:lvlText w:val="(%1)"/>
      <w:numFmt w:val="lowerLetter"/>
      <w:start w:val="1"/>
    </w:lvl>
  </w:abstractNum>
  <w:abstractNum w:abstractNumId="81">
    <w:nsid w:val="6A3DD3E8"/>
    <w:multiLevelType w:val="hybridMultilevel"/>
    <w:lvl w:ilvl="0">
      <w:lvlJc w:val="left"/>
      <w:lvlText w:val="(%1)"/>
      <w:numFmt w:val="lowerRoman"/>
      <w:start w:val="1"/>
    </w:lvl>
  </w:abstractNum>
  <w:abstractNum w:abstractNumId="82">
    <w:nsid w:val="71C91298"/>
    <w:multiLevelType w:val="hybridMultilevel"/>
    <w:lvl w:ilvl="0">
      <w:lvlJc w:val="left"/>
      <w:lvlText w:val="%1"/>
      <w:numFmt w:val="decimal"/>
      <w:start w:val="1"/>
    </w:lvl>
    <w:lvl w:ilvl="1">
      <w:lvlJc w:val="left"/>
      <w:lvlText w:val="(%2)"/>
      <w:numFmt w:val="lowerLetter"/>
      <w:start w:val="3"/>
    </w:lvl>
  </w:abstractNum>
  <w:abstractNum w:abstractNumId="83">
    <w:nsid w:val="9DAF632"/>
    <w:multiLevelType w:val="hybridMultilevel"/>
    <w:lvl w:ilvl="0">
      <w:lvlJc w:val="left"/>
      <w:lvlText w:val="%1."/>
      <w:numFmt w:val="decimal"/>
      <w:start w:val="142"/>
    </w:lvl>
    <w:lvl w:ilvl="1">
      <w:lvlJc w:val="left"/>
      <w:lvlText w:val="(%2)"/>
      <w:numFmt w:val="lowerLetter"/>
      <w:start w:val="1"/>
    </w:lvl>
  </w:abstractNum>
  <w:abstractNum w:abstractNumId="84">
    <w:nsid w:val="53299938"/>
    <w:multiLevelType w:val="hybridMultilevel"/>
    <w:lvl w:ilvl="0">
      <w:lvlJc w:val="left"/>
      <w:lvlText w:val="%1."/>
      <w:numFmt w:val="decimal"/>
      <w:start w:val="143"/>
    </w:lvl>
  </w:abstractNum>
  <w:abstractNum w:abstractNumId="85">
    <w:nsid w:val="1FBFE8E0"/>
    <w:multiLevelType w:val="hybridMultilevel"/>
    <w:lvl w:ilvl="0">
      <w:lvlJc w:val="left"/>
      <w:lvlText w:val="%1."/>
      <w:numFmt w:val="decimal"/>
      <w:start w:val="145"/>
    </w:lvl>
  </w:abstractNum>
  <w:abstractNum w:abstractNumId="86">
    <w:nsid w:val="5092CA79"/>
    <w:multiLevelType w:val="hybridMultilevel"/>
    <w:lvl w:ilvl="0">
      <w:lvlJc w:val="left"/>
      <w:lvlText w:val="%1."/>
      <w:numFmt w:val="decimal"/>
      <w:start w:val="147"/>
    </w:lvl>
    <w:lvl w:ilvl="1">
      <w:lvlJc w:val="left"/>
      <w:lvlText w:val="(%2)"/>
      <w:numFmt w:val="lowerLetter"/>
      <w:start w:val="1"/>
    </w:lvl>
  </w:abstractNum>
  <w:abstractNum w:abstractNumId="87">
    <w:nsid w:val="1D545C4D"/>
    <w:multiLevelType w:val="hybridMultilevel"/>
    <w:lvl w:ilvl="0">
      <w:lvlJc w:val="left"/>
      <w:lvlText w:val="%1."/>
      <w:numFmt w:val="decimal"/>
      <w:start w:val="149"/>
    </w:lvl>
    <w:lvl w:ilvl="1">
      <w:lvlJc w:val="left"/>
      <w:lvlText w:val="(%2)"/>
      <w:numFmt w:val="lowerLetter"/>
      <w:start w:val="1"/>
    </w:lvl>
  </w:abstractNum>
  <w:abstractNum w:abstractNumId="88">
    <w:nsid w:val="59ADEA3D"/>
    <w:multiLevelType w:val="hybridMultilevel"/>
    <w:lvl w:ilvl="0">
      <w:lvlJc w:val="left"/>
      <w:lvlText w:val="%1."/>
      <w:numFmt w:val="decimal"/>
      <w:start w:val="151"/>
    </w:lvl>
  </w:abstractNum>
  <w:abstractNum w:abstractNumId="89">
    <w:nsid w:val="288F1A34"/>
    <w:multiLevelType w:val="hybridMultilevel"/>
    <w:lvl w:ilvl="0">
      <w:lvlJc w:val="left"/>
      <w:lvlText w:val="%1."/>
      <w:numFmt w:val="decimal"/>
      <w:start w:val="153"/>
    </w:lvl>
  </w:abstractNum>
  <w:abstractNum w:abstractNumId="90">
    <w:nsid w:val="2A155DBC"/>
    <w:multiLevelType w:val="hybridMultilevel"/>
    <w:lvl w:ilvl="0">
      <w:lvlJc w:val="left"/>
      <w:lvlText w:val="%1."/>
      <w:numFmt w:val="decimal"/>
      <w:start w:val="154"/>
    </w:lvl>
    <w:lvl w:ilvl="1">
      <w:lvlJc w:val="left"/>
      <w:lvlText w:val="(%2)"/>
      <w:numFmt w:val="lowerLetter"/>
      <w:start w:val="1"/>
    </w:lvl>
  </w:abstractNum>
  <w:abstractNum w:abstractNumId="91">
    <w:nsid w:val="1D9F6E5F"/>
    <w:multiLevelType w:val="hybridMultilevel"/>
    <w:lvl w:ilvl="0">
      <w:lvlJc w:val="left"/>
      <w:lvlText w:val="%1."/>
      <w:numFmt w:val="decimal"/>
      <w:start w:val="155"/>
    </w:lvl>
  </w:abstractNum>
  <w:abstractNum w:abstractNumId="92">
    <w:nsid w:val="97E1B4E"/>
    <w:multiLevelType w:val="hybridMultilevel"/>
    <w:lvl w:ilvl="0">
      <w:lvlJc w:val="left"/>
      <w:lvlText w:val="%1."/>
      <w:numFmt w:val="decimal"/>
      <w:start w:val="156"/>
    </w:lvl>
  </w:abstractNum>
  <w:abstractNum w:abstractNumId="93">
    <w:nsid w:val="51088277"/>
    <w:multiLevelType w:val="hybridMultilevel"/>
    <w:lvl w:ilvl="0">
      <w:lvlJc w:val="left"/>
      <w:lvlText w:val="%1."/>
      <w:numFmt w:val="decimal"/>
      <w:start w:val="157"/>
    </w:lvl>
  </w:abstractNum>
  <w:abstractNum w:abstractNumId="94">
    <w:nsid w:val="1CA0C5FA"/>
    <w:multiLevelType w:val="hybridMultilevel"/>
    <w:lvl w:ilvl="0">
      <w:lvlJc w:val="left"/>
      <w:lvlText w:val="%1."/>
      <w:numFmt w:val="decimal"/>
      <w:start w:val="158"/>
    </w:lvl>
  </w:abstractNum>
  <w:abstractNum w:abstractNumId="95">
    <w:nsid w:val="53584BCB"/>
    <w:multiLevelType w:val="hybridMultilevel"/>
    <w:lvl w:ilvl="0">
      <w:lvlJc w:val="left"/>
      <w:lvlText w:val="%1."/>
      <w:numFmt w:val="decimal"/>
      <w:start w:val="159"/>
    </w:lvl>
  </w:abstractNum>
  <w:abstractNum w:abstractNumId="96">
    <w:nsid w:val="415E286C"/>
    <w:multiLevelType w:val="hybridMultilevel"/>
    <w:lvl w:ilvl="0">
      <w:lvlJc w:val="left"/>
      <w:lvlText w:val="%1."/>
      <w:numFmt w:val="decimal"/>
      <w:start w:val="160"/>
    </w:lvl>
  </w:abstractNum>
  <w:abstractNum w:abstractNumId="97">
    <w:nsid w:val="7C58FD05"/>
    <w:multiLevelType w:val="hybridMultilevel"/>
    <w:lvl w:ilvl="0">
      <w:lvlJc w:val="left"/>
      <w:lvlText w:val="%1."/>
      <w:numFmt w:val="decimal"/>
      <w:start w:val="163"/>
    </w:lvl>
  </w:abstractNum>
  <w:abstractNum w:abstractNumId="98">
    <w:nsid w:val="23D86AAC"/>
    <w:multiLevelType w:val="hybridMultilevel"/>
    <w:lvl w:ilvl="0">
      <w:lvlJc w:val="left"/>
      <w:lvlText w:val="%1."/>
      <w:numFmt w:val="decimal"/>
      <w:start w:val="164"/>
    </w:lvl>
  </w:abstractNum>
  <w:abstractNum w:abstractNumId="99">
    <w:nsid w:val="45E6D486"/>
    <w:multiLevelType w:val="hybridMultilevel"/>
    <w:lvl w:ilvl="0">
      <w:lvlJc w:val="left"/>
      <w:lvlText w:val="%1."/>
      <w:numFmt w:val="decimal"/>
      <w:start w:val="165"/>
    </w:lvl>
  </w:abstractNum>
  <w:abstractNum w:abstractNumId="100">
    <w:nsid w:val="5C10FE21"/>
    <w:multiLevelType w:val="hybridMultilevel"/>
    <w:lvl w:ilvl="0">
      <w:lvlJc w:val="left"/>
      <w:lvlText w:val="%1."/>
      <w:numFmt w:val="decimal"/>
      <w:start w:val="167"/>
    </w:lvl>
  </w:abstractNum>
  <w:abstractNum w:abstractNumId="101">
    <w:nsid w:val="E7FFA2B"/>
    <w:multiLevelType w:val="hybridMultilevel"/>
    <w:lvl w:ilvl="0">
      <w:lvlJc w:val="left"/>
      <w:lvlText w:val="%1."/>
      <w:numFmt w:val="decimal"/>
      <w:start w:val="1"/>
    </w:lvl>
  </w:abstractNum>
  <w:abstractNum w:abstractNumId="102">
    <w:nsid w:val="3C5991AA"/>
    <w:multiLevelType w:val="hybridMultilevel"/>
    <w:lvl w:ilvl="0">
      <w:lvlJc w:val="left"/>
      <w:lvlText w:val="%1."/>
      <w:numFmt w:val="decimal"/>
      <w:start w:val="1"/>
    </w:lvl>
  </w:abstractNum>
  <w:abstractNum w:abstractNumId="103">
    <w:nsid w:val="4BD8591A"/>
    <w:multiLevelType w:val="hybridMultilevel"/>
    <w:lvl w:ilvl="0">
      <w:lvlJc w:val="left"/>
      <w:lvlText w:val="(%1)"/>
      <w:numFmt w:val="lowerLetter"/>
      <w:start w:val="1"/>
    </w:lvl>
  </w:abstractNum>
  <w:abstractNum w:abstractNumId="104">
    <w:nsid w:val="78DF6A55"/>
    <w:multiLevelType w:val="hybridMultilevel"/>
    <w:lvl w:ilvl="0">
      <w:lvlJc w:val="left"/>
      <w:lvlText w:val="(%1)"/>
      <w:numFmt w:val="lowerLetter"/>
      <w:start w:val="2"/>
    </w:lvl>
  </w:abstractNum>
  <w:abstractNum w:abstractNumId="105">
    <w:nsid w:val="39B7AAA2"/>
    <w:multiLevelType w:val="hybridMultilevel"/>
    <w:lvl w:ilvl="0">
      <w:lvlJc w:val="left"/>
      <w:lvlText w:val="%1."/>
      <w:numFmt w:val="decimal"/>
      <w:start w:val="1"/>
    </w:lvl>
    <w:lvl w:ilvl="1">
      <w:lvlJc w:val="left"/>
      <w:lvlText w:val="(%2)"/>
      <w:numFmt w:val="lowerRoman"/>
      <w:start w:val="1"/>
    </w:lvl>
  </w:abstractNum>
  <w:abstractNum w:abstractNumId="106">
    <w:nsid w:val="2B0D8DBE"/>
    <w:multiLevelType w:val="hybridMultilevel"/>
    <w:lvl w:ilvl="0">
      <w:lvlJc w:val="left"/>
      <w:lvlText w:val="%1."/>
      <w:numFmt w:val="decimal"/>
      <w:start w:val="4"/>
    </w:lvl>
  </w:abstractNum>
  <w:abstractNum w:abstractNumId="107">
    <w:nsid w:val="6C80EC70"/>
    <w:multiLevelType w:val="hybridMultilevel"/>
    <w:lvl w:ilvl="0">
      <w:lvlJc w:val="left"/>
      <w:lvlText w:val="1"/>
      <w:numFmt w:val="bullet"/>
      <w:start w:val="1"/>
    </w:lvl>
  </w:abstractNum>
  <w:abstractNum w:abstractNumId="108">
    <w:nsid w:val="379E21B5"/>
    <w:multiLevelType w:val="hybridMultilevel"/>
    <w:lvl w:ilvl="0">
      <w:lvlJc w:val="left"/>
      <w:lvlText w:val="2"/>
      <w:numFmt w:val="bullet"/>
      <w:start w:val="1"/>
    </w:lvl>
  </w:abstractNum>
  <w:abstractNum w:abstractNumId="109">
    <w:nsid w:val="69E373"/>
    <w:multiLevelType w:val="hybridMultilevel"/>
    <w:lvl w:ilvl="0">
      <w:lvlJc w:val="left"/>
      <w:lvlText w:val="3"/>
      <w:numFmt w:val="bullet"/>
      <w:start w:val="1"/>
    </w:lvl>
  </w:abstractNum>
  <w:abstractNum w:abstractNumId="110">
    <w:nsid w:val="2C27173B"/>
    <w:multiLevelType w:val="hybridMultilevel"/>
    <w:lvl w:ilvl="0">
      <w:lvlJc w:val="left"/>
      <w:lvlText w:val="4"/>
      <w:numFmt w:val="bullet"/>
      <w:start w:val="1"/>
    </w:lvl>
  </w:abstractNum>
  <w:abstractNum w:abstractNumId="111">
    <w:nsid w:val="4C9B0904"/>
    <w:multiLevelType w:val="hybridMultilevel"/>
    <w:lvl w:ilvl="0">
      <w:lvlJc w:val="left"/>
      <w:lvlText w:val="5"/>
      <w:numFmt w:val="bullet"/>
      <w:start w:val="1"/>
    </w:lvl>
  </w:abstractNum>
  <w:abstractNum w:abstractNumId="112">
    <w:nsid w:val="6AA7B75C"/>
    <w:multiLevelType w:val="hybridMultilevel"/>
    <w:lvl w:ilvl="0">
      <w:lvlJc w:val="left"/>
      <w:lvlText w:val="6"/>
      <w:numFmt w:val="bullet"/>
      <w:start w:val="1"/>
    </w:lvl>
  </w:abstractNum>
  <w:abstractNum w:abstractNumId="113">
    <w:nsid w:val="1DF029D3"/>
    <w:multiLevelType w:val="hybridMultilevel"/>
    <w:lvl w:ilvl="0">
      <w:lvlJc w:val="left"/>
      <w:lvlText w:val="%1."/>
      <w:numFmt w:val="decimal"/>
      <w:start w:val="1"/>
    </w:lvl>
  </w:abstractNum>
  <w:abstractNum w:abstractNumId="114">
    <w:nsid w:val="5675FF36"/>
    <w:multiLevelType w:val="hybridMultilevel"/>
    <w:lvl w:ilvl="0">
      <w:lvlJc w:val="left"/>
      <w:lvlText w:val="1"/>
      <w:numFmt w:val="bullet"/>
      <w:start w:val="1"/>
    </w:lvl>
  </w:abstractNum>
  <w:abstractNum w:abstractNumId="115">
    <w:nsid w:val="3DD15094"/>
    <w:multiLevelType w:val="hybridMultilevel"/>
    <w:lvl w:ilvl="0">
      <w:lvlJc w:val="left"/>
      <w:lvlText w:val="2"/>
      <w:numFmt w:val="bullet"/>
      <w:start w:val="1"/>
    </w:lvl>
  </w:abstractNum>
  <w:abstractNum w:abstractNumId="116">
    <w:nsid w:val="3DB012B3"/>
    <w:multiLevelType w:val="hybridMultilevel"/>
    <w:lvl w:ilvl="0">
      <w:lvlJc w:val="left"/>
      <w:lvlText w:val="3"/>
      <w:numFmt w:val="bullet"/>
      <w:start w:val="1"/>
    </w:lvl>
  </w:abstractNum>
  <w:abstractNum w:abstractNumId="117">
    <w:nsid w:val="2708C9AF"/>
    <w:multiLevelType w:val="hybridMultilevel"/>
    <w:lvl w:ilvl="0">
      <w:lvlJc w:val="left"/>
      <w:lvlText w:val="4"/>
      <w:numFmt w:val="bullet"/>
      <w:start w:val="1"/>
    </w:lvl>
  </w:abstractNum>
  <w:abstractNum w:abstractNumId="118">
    <w:nsid w:val="5B25ACE2"/>
    <w:multiLevelType w:val="hybridMultilevel"/>
    <w:lvl w:ilvl="0">
      <w:lvlJc w:val="left"/>
      <w:lvlText w:val="5"/>
      <w:numFmt w:val="bullet"/>
      <w:start w:val="1"/>
    </w:lvl>
  </w:abstractNum>
  <w:abstractNum w:abstractNumId="119">
    <w:nsid w:val="175DFCF0"/>
    <w:multiLevelType w:val="hybridMultilevel"/>
    <w:lvl w:ilvl="0">
      <w:lvlJc w:val="left"/>
      <w:lvlText w:val="%1."/>
      <w:numFmt w:val="decimal"/>
      <w:start w:val="1"/>
    </w:lvl>
  </w:abstractNum>
  <w:abstractNum w:abstractNumId="120">
    <w:nsid w:val="4F97E3E4"/>
    <w:multiLevelType w:val="hybridMultilevel"/>
    <w:lvl w:ilvl="0">
      <w:lvlJc w:val="left"/>
      <w:lvlText w:val="1"/>
      <w:numFmt w:val="bullet"/>
      <w:start w:val="1"/>
    </w:lvl>
  </w:abstractNum>
  <w:abstractNum w:abstractNumId="121">
    <w:nsid w:val="53B0A9E"/>
    <w:multiLevelType w:val="hybridMultilevel"/>
    <w:lvl w:ilvl="0">
      <w:lvlJc w:val="left"/>
      <w:lvlText w:val="2"/>
      <w:numFmt w:val="bullet"/>
      <w:start w:val="1"/>
    </w:lvl>
  </w:abstractNum>
  <w:abstractNum w:abstractNumId="122">
    <w:nsid w:val="34FD6B4F"/>
    <w:multiLevelType w:val="hybridMultilevel"/>
    <w:lvl w:ilvl="0">
      <w:lvlJc w:val="left"/>
      <w:lvlText w:val="3"/>
      <w:numFmt w:val="bullet"/>
      <w:start w:val="1"/>
    </w:lvl>
  </w:abstractNum>
  <w:abstractNum w:abstractNumId="123">
    <w:nsid w:val="5915FF32"/>
    <w:multiLevelType w:val="hybridMultilevel"/>
    <w:lvl w:ilvl="0">
      <w:lvlJc w:val="left"/>
      <w:lvlText w:val="4"/>
      <w:numFmt w:val="bullet"/>
      <w:start w:val="1"/>
    </w:lvl>
  </w:abstractNum>
  <w:abstractNum w:abstractNumId="124">
    <w:nsid w:val="56438D15"/>
    <w:multiLevelType w:val="hybridMultilevel"/>
    <w:lvl w:ilvl="0">
      <w:lvlJc w:val="left"/>
      <w:lvlText w:val="5"/>
      <w:numFmt w:val="bullet"/>
      <w:start w:val="1"/>
    </w:lvl>
  </w:abstractNum>
  <w:abstractNum w:abstractNumId="125">
    <w:nsid w:val="519E3149"/>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2022-07-26T07:04:19Z</dcterms:created>
  <dcterms:modified xsi:type="dcterms:W3CDTF">2022-07-26T07:04:19Z</dcterms:modified>
</cp:coreProperties>
</file>