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9540" w:type="dxa"/>
            <w:vAlign w:val="bottom"/>
            <w:gridSpan w:val="2"/>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44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0000EE"/>
              </w:rPr>
              <w:t>Announcement on The Stock Exchange of Hong Kong Limited Regarding Date of Board Meeting, dated May 11, 2026</w:t>
            </w:r>
          </w:p>
        </w:tc>
      </w:tr>
      <w:tr>
        <w:trPr>
          <w:trHeight w:val="453"/>
        </w:trPr>
        <w:tc>
          <w:tcPr>
            <w:tcW w:w="5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58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 Yu Qu</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128270</wp:posOffset>
            </wp:positionV>
            <wp:extent cx="822960" cy="788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296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9866)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NIO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Thursday, May 21, 2026 (Beijing/Hong Kong/Singapore Time) for the purposes of, among other things, approving the Company’s unaudited financial results for the first quarter 2026 (“</w:t>
      </w:r>
      <w:r>
        <w:rPr>
          <w:rFonts w:ascii="Times New Roman" w:cs="Times New Roman" w:eastAsia="Times New Roman" w:hAnsi="Times New Roman"/>
          <w:sz w:val="18"/>
          <w:szCs w:val="18"/>
          <w:b w:val="1"/>
          <w:bCs w:val="1"/>
          <w:color w:val="auto"/>
        </w:rPr>
        <w:t>Q1 2026 Results</w:t>
      </w:r>
      <w:r>
        <w:rPr>
          <w:rFonts w:ascii="Times New Roman" w:cs="Times New Roman" w:eastAsia="Times New Roman" w:hAnsi="Times New Roman"/>
          <w:sz w:val="18"/>
          <w:szCs w:val="18"/>
          <w:color w:val="auto"/>
        </w:rPr>
        <w:t xml:space="preserve">”). The Company will publish its Q1 2026 Results on Thursday, May 21, 2026 (Beijing/ Hong Kong/Singapore Time) on the website of The Stock Exchange of Hong Kong Limited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and the website of the Company at </w:t>
      </w:r>
      <w:r>
        <w:rPr>
          <w:rFonts w:ascii="Times New Roman" w:cs="Times New Roman" w:eastAsia="Times New Roman" w:hAnsi="Times New Roman"/>
          <w:sz w:val="18"/>
          <w:szCs w:val="18"/>
          <w:b w:val="1"/>
          <w:bCs w:val="1"/>
          <w:u w:val="single" w:color="auto"/>
          <w:color w:val="auto"/>
        </w:rPr>
        <w:t>ir.nio.com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will host an earnings conference call at 8:00 p.m. Beijing/Hong Kong/Singapore Time on May 21, 2026 (8:00 a.m.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 on May 21,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b w:val="1"/>
          <w:bCs w:val="1"/>
          <w:u w:val="single" w:color="auto"/>
          <w:color w:val="auto"/>
        </w:rPr>
        <w:t>https://ir.nio.com/news-events/events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https://s1.c-conf.com/diamondpass/10054768-rm1exy.html</w:t>
      </w:r>
    </w:p>
    <w:p>
      <w:pPr>
        <w:spacing w:after="0" w:line="22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Bin Li</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Founder,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11,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Bin Li as the chairman, Mr. Lihong Qin as the director, Mr. Eddy Georges Skaf and Mr. Nicholas Paul Collins as the non-executive directors, and Mr. Hai Wu, Mr. Denny Ting Bun Lee, Ms. Yu Long and Mr. Yonggang Wen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2026-05-11T05:21:10Z</dcterms:created>
  <dcterms:modified xsi:type="dcterms:W3CDTF">2026-05-11T05:21:10Z</dcterms:modified>
</cp:coreProperties>
</file>