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2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60" w:type="dxa"/>
            <w:vAlign w:val="bottom"/>
            <w:gridSpan w:val="3"/>
          </w:tcPr>
          <w:p>
            <w:pPr>
              <w:jc w:val="center"/>
              <w:ind w:right="60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Release—NIO Inc. Reports Unaudited Fourth Quarter and Full Year 2024 Financial Results</w:t>
            </w:r>
          </w:p>
        </w:tc>
      </w:tr>
      <w:tr>
        <w:trPr>
          <w:trHeight w:val="696"/>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40" w:type="dxa"/>
            <w:vAlign w:val="bottom"/>
            <w:tcBorders>
              <w:top w:val="single" w:sz="8" w:color="0000EE"/>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72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2025</w:t>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Reports Unaudited Fourth Quarter and Full Year 2024 Financial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Total Revenues reached RMB19,703.4 million (US$2,699.4 million)</w:t>
      </w:r>
      <w:r>
        <w:rPr>
          <w:rFonts w:ascii="Times New Roman" w:cs="Times New Roman" w:eastAsia="Times New Roman" w:hAnsi="Times New Roman"/>
          <w:sz w:val="29"/>
          <w:szCs w:val="29"/>
          <w:b w:val="1"/>
          <w:bCs w:val="1"/>
          <w:i w:val="1"/>
          <w:iCs w:val="1"/>
          <w:color w:val="auto"/>
          <w:vertAlign w:val="superscript"/>
        </w:rPr>
        <w:t>i</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Vehicle Deliveries were 72,689 units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Full Year Total Revenues reached RMB65,731.6 million (US$9,005.2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Full Year Vehicle Deliveries were 221,970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China, March 21, 2025 (GLOBE NEWSWIRE) -- NIO Inc. (NYSE: NIO; HKEX: 9866; SGX: NIO) (“NIO” or the “Company”), a pioneer and a leading company in the global smart electric vehicle market, today announced its unaudited financial results for the fourth quarter and full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Highlights for the Fourth Quarter and Full Year of 2024</w:t>
      </w:r>
    </w:p>
    <w:p>
      <w:pPr>
        <w:spacing w:after="0" w:line="225" w:lineRule="exact"/>
        <w:rPr>
          <w:sz w:val="20"/>
          <w:szCs w:val="20"/>
          <w:color w:val="auto"/>
        </w:rPr>
      </w:pPr>
    </w:p>
    <w:p>
      <w:pPr>
        <w:jc w:val="both"/>
        <w:ind w:left="340" w:hanging="332"/>
        <w:spacing w:after="0" w:line="26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deliveries </w:t>
      </w:r>
      <w:r>
        <w:rPr>
          <w:rFonts w:ascii="Times New Roman" w:cs="Times New Roman" w:eastAsia="Times New Roman" w:hAnsi="Times New Roman"/>
          <w:sz w:val="18"/>
          <w:szCs w:val="18"/>
          <w:color w:val="auto"/>
        </w:rPr>
        <w:t>were 72,689 in the fourth quarter of 2024, consisting of 52,760 vehicles from the Company’s premium smart electric vehicle brand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NIO and 19,929 vehicles from the Company’s family-oriented smart electric vehicle brand ONVO, representing an increase of 45.2% from the fourth quarter of 2023, and an increase of 17.5% from the third quarter of 2024.</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deliveries </w:t>
      </w:r>
      <w:r>
        <w:rPr>
          <w:rFonts w:ascii="Times New Roman" w:cs="Times New Roman" w:eastAsia="Times New Roman" w:hAnsi="Times New Roman"/>
          <w:sz w:val="18"/>
          <w:szCs w:val="18"/>
          <w:color w:val="auto"/>
        </w:rPr>
        <w:t>were 221,970 in 2024, representing an increase of 38.7% from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Results</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480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2024 Q4</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2024 Q3</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2024 Q2</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2024 Q1</w:t>
            </w:r>
          </w:p>
        </w:tc>
      </w:tr>
      <w:tr>
        <w:trPr>
          <w:trHeight w:val="216"/>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72,689</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61,855</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57,373</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480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2023 Q4</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2023 Q3</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2023 Q2</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2023 Q1</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50,045</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55,432</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Highlights for the Fourth Quarter of 2024</w:t>
      </w:r>
    </w:p>
    <w:p>
      <w:pPr>
        <w:spacing w:after="0" w:line="225" w:lineRule="exact"/>
        <w:rPr>
          <w:sz w:val="20"/>
          <w:szCs w:val="20"/>
          <w:color w:val="auto"/>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RMB17,475.6 million (US$2,394.1 million) in the fourth quarter of 2024, representing an increase of 13.2% from the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2023 and an increase of 4.7% from the third quarter of 2024.</w:t>
      </w:r>
    </w:p>
    <w:p>
      <w:pPr>
        <w:spacing w:after="0" w:line="14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Vehicle margin</w:t>
      </w:r>
      <w:r>
        <w:rPr>
          <w:rFonts w:ascii="Times New Roman" w:cs="Times New Roman" w:eastAsia="Times New Roman" w:hAnsi="Times New Roman"/>
          <w:sz w:val="29"/>
          <w:szCs w:val="29"/>
          <w:color w:val="auto"/>
          <w:vertAlign w:val="superscript"/>
        </w:rPr>
        <w:t>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13.1% in the fourth quarter of 2024, compared with 11.9% in fourth quarter of 2023 and 13.1% in the third quarter of 2024.</w:t>
      </w:r>
    </w:p>
    <w:p>
      <w:pPr>
        <w:spacing w:after="0" w:line="29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340" w:right="2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RMB19,703.4 million (US$2,699.4 million) in the fourth quarter of 2024, representing an increase of 15.2% from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and an increase of 5.5% from the third quarter of 2024.</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RMB2,308.9 million (US$316.3 million) in the fourth quarter of 2024, representing an increase of 80.5% from the fourth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and an increase of 15.0% from the third quarter of 2024.</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11.7% in the fourth quarter of 2024, compared with 7.5% in the fourth quarter of 2023 and 10.7% in the third quarter of 2024.</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RMB6,032.9 million (US$826.5 million) in the fourth quarter of 2024, representing a decrease of 8.9% from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and an increase of 15.2% from the third quarter of 2024. Excluding share-based compensation expenses, adjusted loss from operations (non-GAAP) was RMB5,543.6 million (US$759.5 million) in the fourth quarter of 2024, representing a decrease of 8.5% from the fourth quarter of 2023 and an increase of 20.8% from the third quarter of 2024.</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RMB7,111.5 million (US$974.3 million) in the fourth quarter of 2024, representing an increase of 32.5% from the fourth quarter of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 increase of 40.6% from the third quarter of 2024. Excluding share-based compensation expenses, adjusted net loss (non-GAAP) was RMB6,622.2 million (US$907.2 million) in the fourth quarter of 2024, representing an increase of 37.9% from the fourth quarter of 2023 and an increase of 50.1% from the third quarter of 2024.</w:t>
      </w:r>
    </w:p>
    <w:p>
      <w:pPr>
        <w:spacing w:after="0" w:line="176"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restricted cash, short-term investment and long-term time deposits </w:t>
      </w:r>
      <w:r>
        <w:rPr>
          <w:rFonts w:ascii="Times New Roman" w:cs="Times New Roman" w:eastAsia="Times New Roman" w:hAnsi="Times New Roman"/>
          <w:sz w:val="18"/>
          <w:szCs w:val="18"/>
          <w:color w:val="auto"/>
        </w:rPr>
        <w:t>were RMB41.9 billion (US$5.7 billion)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Financial Results for the Fourth Quarter of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 RMB million, except for percentage)</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00"/>
        </w:trPr>
        <w:tc>
          <w:tcPr>
            <w:tcW w:w="346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2024 Q4</w:t>
            </w: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2024 Q3</w:t>
            </w:r>
          </w:p>
        </w:tc>
        <w:tc>
          <w:tcPr>
            <w:tcW w:w="24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2023 Q4</w:t>
            </w: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r>
              <w:rPr>
                <w:rFonts w:ascii="Times New Roman" w:cs="Times New Roman" w:eastAsia="Times New Roman" w:hAnsi="Times New Roman"/>
                <w:sz w:val="29"/>
                <w:szCs w:val="29"/>
                <w:b w:val="1"/>
                <w:bCs w:val="1"/>
                <w:color w:val="auto"/>
                <w:vertAlign w:val="superscript"/>
              </w:rPr>
              <w:t>iii</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346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QoQ</w:t>
            </w:r>
          </w:p>
        </w:tc>
        <w:tc>
          <w:tcPr>
            <w:tcW w:w="3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17,475.6</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16,697.6</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15,438.7</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Vehicle Margin</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84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120bp</w:t>
            </w:r>
          </w:p>
        </w:tc>
      </w:tr>
      <w:tr>
        <w:trPr>
          <w:trHeight w:val="216"/>
        </w:trPr>
        <w:tc>
          <w:tcPr>
            <w:tcW w:w="3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19,703.4</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18,673.5</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17,103.2</w:t>
            </w:r>
          </w:p>
        </w:tc>
        <w:tc>
          <w:tcPr>
            <w:tcW w:w="8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2,308.9</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2,007.4</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1,279.2</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84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100bp</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420bp</w:t>
            </w:r>
          </w:p>
        </w:tc>
      </w:tr>
      <w:tr>
        <w:trPr>
          <w:trHeight w:val="216"/>
        </w:trPr>
        <w:tc>
          <w:tcPr>
            <w:tcW w:w="3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(6,032.9)</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(5,237.8)</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(6,625.3)</w:t>
            </w:r>
          </w:p>
        </w:tc>
        <w:tc>
          <w:tcPr>
            <w:tcW w:w="8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w:t>
            </w:r>
          </w:p>
        </w:tc>
        <w:tc>
          <w:tcPr>
            <w:tcW w:w="3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Loss from Operations (non-</w:t>
            </w: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(5,543.6)</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(4,590.7)</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(6,059.3)</w:t>
            </w:r>
          </w:p>
        </w:tc>
        <w:tc>
          <w:tcPr>
            <w:tcW w:w="8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w:t>
            </w:r>
          </w:p>
        </w:tc>
        <w:tc>
          <w:tcPr>
            <w:tcW w:w="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3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(7,111.5)</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(5,059.7)</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(5,367.7)</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 (non-GAAP)</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(6,622.2)</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(4,412.6)</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(4,801.7)</w:t>
            </w:r>
          </w:p>
        </w:tc>
        <w:tc>
          <w:tcPr>
            <w:tcW w:w="8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50.1%</w:t>
            </w:r>
          </w:p>
        </w:tc>
        <w:tc>
          <w:tcPr>
            <w:tcW w:w="3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w:t>
            </w:r>
          </w:p>
        </w:tc>
      </w:tr>
      <w:tr>
        <w:trPr>
          <w:trHeight w:val="630"/>
        </w:trPr>
        <w:tc>
          <w:tcPr>
            <w:tcW w:w="3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Highlights for the Full Year of 2024</w:t>
      </w:r>
    </w:p>
    <w:p>
      <w:pPr>
        <w:spacing w:after="0" w:line="2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RMB58,234.1 million (US$7,978.0 million) for the full year of 2024, representing an increase of 18.2% from the previous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was 12.3% for the full year of 2024, compared with 9.5% for the previous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RMB65,731.6 million (US$9,005.2 million) for the full year of 2024, representing an increase of 18.2% from the previous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RMB6,492.8 million (US$889.5 million) for the full year of 2024, representing an increase of 112.8% from the previous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9.9% for the full year of 2024, compared with 5.5% for the previous year.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RMB21,874.1 million (US$2,996.7 million) for the full year of 2024, representing a decrease of 3.4% from the previous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Excluding share-based compensation expenses, adjusted loss from operations (non-GAAP) was RMB19,945.6 million (US$2,732.5 million) in 2024, representing a decrease of 1.7% from the previous year.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RMB22,401.7 million (US$3,069.0 million) for the full year of 2024, representing an increase of 8.1% from the previous year.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share-based compensation expenses, adjusted net loss (non-GAAP) was RMB20,473.2 million (US$2,804.8 million) for the full year of 2024, representing an increase of 11.6% from the previous year.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Financial Results for Full Year 2024</w:t>
            </w: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53"/>
        </w:trPr>
        <w:tc>
          <w:tcPr>
            <w:tcW w:w="3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 RMB million, except for percentage)</w:t>
            </w:r>
          </w:p>
        </w:tc>
        <w:tc>
          <w:tcPr>
            <w:tcW w:w="3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99"/>
        </w:trPr>
        <w:tc>
          <w:tcPr>
            <w:tcW w:w="3120" w:type="dxa"/>
            <w:vAlign w:val="bottom"/>
            <w:tcBorders>
              <w:bottom w:val="single" w:sz="8" w:color="CCEEFF"/>
            </w:tcBorders>
          </w:tcPr>
          <w:p>
            <w:pPr>
              <w:spacing w:after="0"/>
              <w:rPr>
                <w:sz w:val="24"/>
                <w:szCs w:val="24"/>
                <w:color w:val="auto"/>
              </w:rPr>
            </w:pPr>
          </w:p>
        </w:tc>
        <w:tc>
          <w:tcPr>
            <w:tcW w:w="348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r>
              <w:rPr>
                <w:rFonts w:ascii="Times New Roman" w:cs="Times New Roman" w:eastAsia="Times New Roman" w:hAnsi="Times New Roman"/>
                <w:sz w:val="29"/>
                <w:szCs w:val="29"/>
                <w:b w:val="1"/>
                <w:bCs w:val="1"/>
                <w:color w:val="auto"/>
                <w:vertAlign w:val="superscript"/>
              </w:rPr>
              <w:t>iii</w:t>
            </w:r>
          </w:p>
        </w:tc>
        <w:tc>
          <w:tcPr>
            <w:tcW w:w="180" w:type="dxa"/>
            <w:vAlign w:val="bottom"/>
            <w:tcBorders>
              <w:bottom w:val="single" w:sz="8" w:color="CCEEFF"/>
            </w:tcBorders>
          </w:tcPr>
          <w:p>
            <w:pPr>
              <w:spacing w:after="0"/>
              <w:rPr>
                <w:sz w:val="24"/>
                <w:szCs w:val="24"/>
                <w:color w:val="auto"/>
              </w:rPr>
            </w:pPr>
          </w:p>
        </w:tc>
      </w:tr>
      <w:tr>
        <w:trPr>
          <w:trHeight w:val="210"/>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58,234.1</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49,257.3</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Margin</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280bp</w:t>
            </w:r>
          </w:p>
        </w:tc>
      </w:tr>
      <w:tr>
        <w:trPr>
          <w:trHeight w:val="216"/>
        </w:trPr>
        <w:tc>
          <w:tcPr>
            <w:tcW w:w="31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65,731.6</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55,617.9</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6,492.8</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3,051.8</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112.8%</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440bp</w:t>
            </w:r>
          </w:p>
        </w:tc>
      </w:tr>
      <w:tr>
        <w:trPr>
          <w:trHeight w:val="216"/>
        </w:trPr>
        <w:tc>
          <w:tcPr>
            <w:tcW w:w="31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(21,874.1)</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(22,655.2)</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Loss from Operations (non-GAAP)</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(19,945.6)</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(20,286.1)</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(22,401.7)</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(20,719.8)</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Loss (non-GAAP)</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(20,473.2)</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(18,350.7)</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630"/>
        </w:trPr>
        <w:tc>
          <w:tcPr>
            <w:tcW w:w="3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Deliveries in January and February 2025</w:t>
      </w:r>
    </w:p>
    <w:p>
      <w:pPr>
        <w:spacing w:after="0" w:line="229" w:lineRule="exact"/>
        <w:rPr>
          <w:sz w:val="20"/>
          <w:szCs w:val="20"/>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delivered 13,863 vehicles in January 2025 and 13,192 vehicles in February 2025. As of February 28, 2025, the Company had delivered 27,055 vehicles in 2025, with cumulative deliveries reaching 698,619.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NIO China Strategic Investment</w:t>
      </w:r>
    </w:p>
    <w:p>
      <w:pPr>
        <w:spacing w:after="0" w:line="229"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update to the previously announced NIO China strategic investment on September 29, 2024, as of the date hereof, the strategic investors have injected an aggregate of RMB2.8 billion in cash into NIO China, while NIO has injected an aggregate of RMB10 billion in cash into NIO China. NIO and the strategic investors are working towards the completion of the remaining portion of the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the Repurchase Right Offer for Convertible Senior Notes due 2027</w:t>
      </w:r>
    </w:p>
    <w:p>
      <w:pPr>
        <w:spacing w:after="0" w:line="229"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2025, NIO completed the repurchase right offer relating to the 2027 Notes. US$378.3 million in aggregate principal amount of the 2027 Notes were validly surrendered and not withdrawn prior to the expiration of the repurchase right offer. Following settlement of the repurchase, US$213,000 aggregate principal amount of the 2027 Notes remain outstanding and continue to be subject to the existing terms of the indenture and the 2027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CEO and CFO Comments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we achieved a new delivery record of 221,970 vehicles. Throughout the year, NIO brand maintained its position as the leader in China’s BEV market for vehicles priced over RMB300,000, capturing a 40% market share. The market share of the ONVO L60 have been steadily increasing since its launch, securing a top-three position in China’s BEV SUV market priced between RMB200,000 and 300,000,” said William Bin Li, founder, chairman and chief executive officer of NIO.</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year marks the beginning of a new product cycle for our three brands. NIO brand will further solidify its premium positioning by introducing more technology and experience-driven products. ONVO brand, targeting the mainstream mass market, will concentrate on increasing its sales volume and enriching its product portfolio. Firefly’s model will be officially launched and begin deliveries in April, serving as a key driver for our future international expansion. Additionally, we are continuously advancing our assisted and intelligent driving capabilities and have made breakthroughs in our NIO WorldModel architecture, which will be gradually rolled out to cover all driving scenarios,” added William Bin Li.</w:t>
      </w:r>
    </w:p>
    <w:p>
      <w:pPr>
        <w:spacing w:after="0" w:line="399"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2024, despite the ONVO L60 being in its early production phase, our vehicle gross margin reached 13.1%. The sustained expansion of after-sales services and their profitability, along with the growth in provision of technical services, contributed to a positive quarterly gross profit in our other sales,” added Stanley Yu Qu, NIO’s chief financial officer. “Looking ahead to 2025, we will sharpen our focus on enhancing profitability by driving cost reductions through technological advancements, optimizing operational efficiency and accelerating scalable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Results for the Fourth Quarter and Full Year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660" w:right="2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 the fourth quarter of 2024 were RMB19,703.4 million (US$2,699.4 million), representing an increase of 15.2% from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and an increase of 5.5% from the third quarter of 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for the full year of 2024 were RMB65,731.6 million (US$9,005.2 million), representing an increase of 18.2% from the previous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in the fourth quarter of 2024 were RMB17,475.6 million (US$2,394.1 million), representing an increase of 13.2% from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and an increase of 4.7% from the third quarter of 2024. The increase in vehicle sales over the fourth quarter of 2023 and the third quarter of 2024 was mainly due to the increase in delivery volume, partially offset by the lower average selling price as a result of changes in product mix.</w:t>
      </w:r>
    </w:p>
    <w:p>
      <w:pPr>
        <w:spacing w:after="0" w:line="17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for the full year of 2024 were RMB58,234.1 million (US$7,978.0 million), representing an increase of 18.2% from the previous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sales </w:t>
      </w:r>
      <w:r>
        <w:rPr>
          <w:rFonts w:ascii="Times New Roman" w:cs="Times New Roman" w:eastAsia="Times New Roman" w:hAnsi="Times New Roman"/>
          <w:sz w:val="18"/>
          <w:szCs w:val="18"/>
          <w:color w:val="auto"/>
        </w:rPr>
        <w:t>in the fourth quarter of 2024 were RMB2,227.8 million (US$305.2 million), representing an increase of 33.8% from the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2023 and an increase of 12.7% from the third quarter of 2024. The increase in other sales over the fourth quarter of 2023 was mainly due to i) the increase in sales of parts, accessories and after-sales vehicle services, and provision of power solutions, as a result of the continued growth in the number of users, ii) the increase in revenues from technical research and development services. The increase in other sales over the third quarter of 2024 was mainly due to i) the increase in revenues from technical research and development services, ii) the increase in sales of used cars, and iii) the increase in sales of parts, accessories and after-sales vehicle services.</w:t>
      </w:r>
    </w:p>
    <w:p>
      <w:pPr>
        <w:spacing w:after="0" w:line="1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sales </w:t>
      </w:r>
      <w:r>
        <w:rPr>
          <w:rFonts w:ascii="Times New Roman" w:cs="Times New Roman" w:eastAsia="Times New Roman" w:hAnsi="Times New Roman"/>
          <w:sz w:val="18"/>
          <w:szCs w:val="18"/>
          <w:color w:val="auto"/>
        </w:rPr>
        <w:t>for the full year of 2024 were RMB7,497.5 million (US$1,027.2 million), representing an increase of 17.9% from the previous year.</w:t>
      </w:r>
    </w:p>
    <w:p>
      <w:pPr>
        <w:spacing w:after="0" w:line="200" w:lineRule="exact"/>
        <w:rPr>
          <w:sz w:val="20"/>
          <w:szCs w:val="20"/>
          <w:color w:val="auto"/>
        </w:rPr>
      </w:pPr>
    </w:p>
    <w:p>
      <w:pPr>
        <w:spacing w:after="0" w:line="24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225" w:lineRule="exact"/>
        <w:rPr>
          <w:sz w:val="20"/>
          <w:szCs w:val="20"/>
          <w:color w:val="auto"/>
        </w:rPr>
      </w:pPr>
    </w:p>
    <w:p>
      <w:pPr>
        <w:jc w:val="both"/>
        <w:ind w:left="660" w:hanging="328"/>
        <w:spacing w:after="0" w:line="26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in the fourth quarter of 2024 was RMB17,394.5 million (US$2,383.0 million), representing an increase of 9.9% from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and an increase of 4.4% from the third quarter of 2024. The increase in cost of sales over the fourth quarter of 2023 was mainly attributable to an increase in delivery volume, partially offset by the decreased material cost per vehicle. Cost of sales remained relatively stable compared with the third quarter of 2024.</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for the full year of 2024 was RMB59,238.8 million (US$8,115.7 million), representing an increase of 12.7% from the previous year.</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 the fourth quarter of 2024 was RMB2,308.9 million (US$316.3 million), representing an increase of 80.5% from the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2023 and an increase of 15.0% from the third quarter of 2024.</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full year of 2024 was RMB6,492.8 million (US$889.5 million), representing an increase of 112.8% from the previous year.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in the fourth quarter of 2024 was 11.7%, compared with 7.5% in the fourth quarter of 2023 and 10.7% in the third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increase of gross margin over the fourth quarter of 2023 was mainly attributed to i) the increased vehicle margin, ii) the increase in sales from provision of technical research and development services as well as sales of parts, accessories and after-sales vehicle services, with relatively higher margins, and iii) the reduction in the gross loss rate from provision of power solutions due to the growing number of users. The increase in gross margin over the third quarter of 2024 was mainly attributable to the increase in provision of technical research and development services as well as sales of parts, accessories and after-sales vehicle services, with relatively higher margins.</w:t>
      </w:r>
    </w:p>
    <w:p>
      <w:pPr>
        <w:spacing w:after="0" w:line="1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for the full year of 2024 was 9.9%, compared with 5.5% for the full year of 2023.</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in the fourth quarter of 2024 was 13.1%, compared with 11.9% in the fourth quarter of 2023 and 13.1% in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increase in vehicle margin from the fourth quarter of 2023 was mainly attributable to the decreased material cost per unit. Vehicle margin remained stable compared with the third quarter of 2024.</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for the full year of 2024 was 12.3%, compared with 9.5% for the full year of 2023.</w:t>
      </w:r>
    </w:p>
    <w:p>
      <w:pPr>
        <w:spacing w:after="0" w:line="200" w:lineRule="exact"/>
        <w:rPr>
          <w:sz w:val="20"/>
          <w:szCs w:val="20"/>
          <w:color w:val="auto"/>
        </w:rPr>
      </w:pPr>
    </w:p>
    <w:p>
      <w:pPr>
        <w:spacing w:after="0" w:line="24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in the fourth quarter of 2024 were RMB3,635.8 million (US$498.1 million), representing a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8.5% from the fourth quarter of 2023 and an increase of 9.6% from the third quarter of 2024. Excluding share-based compensation expenses, research and development expenses (non-GAAP) were RMB3,291.7 million (US$451.0 million), representing a decrease of 9.0% from the fourth quarter of 2023 and an increase of 13.4% from the third quarter of 2024. The decrease in research and development expenses over the fourth quarter of 2023 was mainly due to i) the decreased personnel costs in research and development functions, and ii) the decreased design and development costs resulting from different stages of development for new products and technologies. The increase in research and development expenses over the third quarter of 2024 was mainly due to the incremental design and development costs for new products and technologies, partially offset by the decreased personnel costs in research and development functions.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for the full year of 2024 were RMB13,037.3 million (US$1,786.1 million), representing a decrease of 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previous year. Excluding share-based compensation expenses, research and development expenses (non-GAAP) were RMB11,741.2 million (US$1,608.5 million), representing a decrease of 1.5% from the previous year.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in the fourth quarter of 2024 were RMB4,878.0 million (US$668.3 million), representing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22.8% from the fourth quarter of 2023 and an increase of 18.7% from the third quarter of 2024. Excluding share-based compensation expenses, selling, general and administrative expenses (non-GAAP) were RMB4,752.4 million (US$651.1 million), representing an increase of 25.7% from the fourth quarter of 2023 and an increase of 21.8% from the third quarter of 2024. The increase in selling, general and administrative expenses over the fourth quarter of 2023 was mainly attributable to i) the increase in sales and marketing activities for new brands and products, and ii) the increase in personnel costs related to the Company’s sales and service network expansion. The increase in selling, general and administrative expenses over the third quarter of 2024 was mainly attributable to the increase in sales and marketing activities for new brands and products, and the increase in professional services costs for general corporate functions.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for the full year of 2024 were RMB15,741.1 million (US$2,156.5 million), representing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22.2% from the previous year. Excluding share-based compensation expenses, selling, general and administrative expenses (non-GAAP) were RMB15,180.5 million (US$2,079.7 million), representing an increase of 25.3% from last year.</w:t>
      </w:r>
    </w:p>
    <w:p>
      <w:pPr>
        <w:spacing w:after="0" w:line="39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25" w:lineRule="exact"/>
        <w:rPr>
          <w:sz w:val="20"/>
          <w:szCs w:val="20"/>
          <w:color w:val="auto"/>
        </w:rPr>
      </w:pPr>
    </w:p>
    <w:p>
      <w:pPr>
        <w:jc w:val="both"/>
        <w:ind w:left="660" w:hanging="328"/>
        <w:spacing w:after="0" w:line="181" w:lineRule="auto"/>
        <w:tabs>
          <w:tab w:leader="none" w:pos="660" w:val="left"/>
        </w:tabs>
        <w:numPr>
          <w:ilvl w:val="0"/>
          <w:numId w:val="11"/>
        </w:numPr>
        <w:rPr>
          <w:rFonts w:ascii="Times New Roman" w:cs="Times New Roman" w:eastAsia="Times New Roman" w:hAnsi="Times New Roman"/>
          <w:sz w:val="48"/>
          <w:szCs w:val="48"/>
          <w:color w:val="auto"/>
          <w:vertAlign w:val="subscript"/>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in the fourth quarter of 2024 was RMB6,032.9 million (US$826.5 million), representing a decrease of 8.9% from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and an increase of 15.2% from the third quarter of 2024. Excluding share-based compensation expenses, adjusted loss from operations (non-GAAP) was RMB5,543.6 million (US$759.5 million) in the fourth quarter of 2024, representing a decrease of 8.5% from the fourth quarter of 2023 and an increase of 20.8% from third quarter of 2024.</w:t>
      </w:r>
    </w:p>
    <w:p>
      <w:pPr>
        <w:spacing w:after="0" w:line="195" w:lineRule="exact"/>
        <w:rPr>
          <w:rFonts w:ascii="Times New Roman" w:cs="Times New Roman" w:eastAsia="Times New Roman" w:hAnsi="Times New Roman"/>
          <w:sz w:val="48"/>
          <w:szCs w:val="48"/>
          <w:color w:val="auto"/>
          <w:vertAlign w:val="subscript"/>
        </w:rPr>
      </w:pPr>
    </w:p>
    <w:p>
      <w:pPr>
        <w:jc w:val="both"/>
        <w:ind w:left="660" w:hanging="328"/>
        <w:spacing w:after="0" w:line="181" w:lineRule="auto"/>
        <w:tabs>
          <w:tab w:leader="none" w:pos="66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7"/>
          <w:szCs w:val="17"/>
          <w:b w:val="1"/>
          <w:bCs w:val="1"/>
          <w:color w:val="auto"/>
        </w:rPr>
        <w:t xml:space="preserve">Loss from operations </w:t>
      </w:r>
      <w:r>
        <w:rPr>
          <w:rFonts w:ascii="Times New Roman" w:cs="Times New Roman" w:eastAsia="Times New Roman" w:hAnsi="Times New Roman"/>
          <w:sz w:val="17"/>
          <w:szCs w:val="17"/>
          <w:color w:val="auto"/>
        </w:rPr>
        <w:t>for the full year of 2024 was RMB21,874.1 million (US$2,996.7 million), representing a decrease of 3.4% from last 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Excluding share-based compensation expenses, adjusted loss from operations (non-GAAP) was RMB19,945.6 million (US$2,732.5 million) in 2024, representing a decrease of 1.7% from last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and Earnings Per Share/ADS</w:t>
      </w:r>
    </w:p>
    <w:p>
      <w:pPr>
        <w:spacing w:after="0" w:line="225" w:lineRule="exact"/>
        <w:rPr>
          <w:sz w:val="20"/>
          <w:szCs w:val="20"/>
          <w:color w:val="auto"/>
        </w:rPr>
      </w:pPr>
    </w:p>
    <w:p>
      <w:pPr>
        <w:jc w:val="both"/>
        <w:ind w:left="660" w:hanging="328"/>
        <w:spacing w:after="0" w:line="181" w:lineRule="auto"/>
        <w:tabs>
          <w:tab w:leader="none" w:pos="66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7"/>
          <w:szCs w:val="17"/>
          <w:b w:val="1"/>
          <w:bCs w:val="1"/>
          <w:color w:val="auto"/>
        </w:rPr>
        <w:t xml:space="preserve">Interest and Investment loss </w:t>
      </w:r>
      <w:r>
        <w:rPr>
          <w:rFonts w:ascii="Times New Roman" w:cs="Times New Roman" w:eastAsia="Times New Roman" w:hAnsi="Times New Roman"/>
          <w:sz w:val="17"/>
          <w:szCs w:val="17"/>
          <w:color w:val="auto"/>
        </w:rPr>
        <w:t>in the fourth quarter of 2024 was RMB169.9 million (US$23.3 million), compared with interest and investment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of RMB1,368.1 million in the fourth quarter of 2023 and RMB310.1 million in the third quarter of 2024, primarily due to the fair value change of equity investments.</w:t>
      </w:r>
    </w:p>
    <w:p>
      <w:pPr>
        <w:spacing w:after="0" w:line="196" w:lineRule="exact"/>
        <w:rPr>
          <w:rFonts w:ascii="Times New Roman" w:cs="Times New Roman" w:eastAsia="Times New Roman" w:hAnsi="Times New Roman"/>
          <w:sz w:val="43"/>
          <w:szCs w:val="43"/>
          <w:color w:val="auto"/>
          <w:vertAlign w:val="subscript"/>
        </w:rPr>
      </w:pPr>
    </w:p>
    <w:p>
      <w:pPr>
        <w:jc w:val="both"/>
        <w:ind w:left="660" w:hanging="328"/>
        <w:spacing w:after="0" w:line="181" w:lineRule="auto"/>
        <w:tabs>
          <w:tab w:leader="none" w:pos="66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7"/>
          <w:szCs w:val="17"/>
          <w:b w:val="1"/>
          <w:bCs w:val="1"/>
          <w:color w:val="auto"/>
        </w:rPr>
        <w:t xml:space="preserve">Other loss, net </w:t>
      </w:r>
      <w:r>
        <w:rPr>
          <w:rFonts w:ascii="Times New Roman" w:cs="Times New Roman" w:eastAsia="Times New Roman" w:hAnsi="Times New Roman"/>
          <w:sz w:val="17"/>
          <w:szCs w:val="17"/>
          <w:color w:val="auto"/>
        </w:rPr>
        <w:t>in the fourth quarter of 2024 was RMB527.5 million (US$72.3 million), compared with other income of RMB253.9 million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fourth quarter of 2023 and RMB309.7 million in the third quarter of 2024, primarily due to the loss from the revaluation of our overseas Renminbi-related assets as a result of the depreciation of Renminbi against U.S. dollars in the fourth quarter of 2024.</w:t>
      </w:r>
    </w:p>
    <w:p>
      <w:pPr>
        <w:spacing w:after="0" w:line="196" w:lineRule="exact"/>
        <w:rPr>
          <w:sz w:val="20"/>
          <w:szCs w:val="20"/>
          <w:color w:val="auto"/>
        </w:rPr>
      </w:pPr>
    </w:p>
    <w:p>
      <w:pPr>
        <w:jc w:val="both"/>
        <w:ind w:left="660" w:hanging="328"/>
        <w:spacing w:after="0" w:line="26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in the fourth quarter of 2024 was RMB7,111.5 million (US$974.3 million), representing an increase of 32.5% from the fourth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and an increase of 40.6% from the third quarter of 2024. Excluding share-based compensation expenses, adjusted net loss (non-GAAP) was RMB6,622.2 million (US$907.2 million) in the fourth quarter of 2024, representing an increase of 37.9% from the fourth quarter of 2023 and an increase of 50.1% from the third quarter of 2024.</w:t>
      </w:r>
    </w:p>
    <w:p>
      <w:pPr>
        <w:spacing w:after="0" w:line="17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full year of 2024 was RMB22,401.7 million (US$3,069.0 million), compared with net loss of RMB20,719.8 million in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Excluding share-based compensation expenses, adjusted net loss (non-GAAP) was RMB20,473.2 million (US$2,804.8 million) in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attributable to NIO’s ordinary shareholders </w:t>
      </w:r>
      <w:r>
        <w:rPr>
          <w:rFonts w:ascii="Times New Roman" w:cs="Times New Roman" w:eastAsia="Times New Roman" w:hAnsi="Times New Roman"/>
          <w:sz w:val="18"/>
          <w:szCs w:val="18"/>
          <w:color w:val="auto"/>
        </w:rPr>
        <w:t>in the fourth quarter of 2024 was RMB 7,131.8 million (US$977.0 million), representing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increase of 27.5% from the fourth quarter of 2023 and an increase of 38.7% from the third quarter of 2024. Excluding share-based compensation expenses and accretion on redeemable non-controlling interests to redemption value, adjusted net loss attributable to NIO’s ordinary shareholders (non-GAAP) was RMB 6,548.9 million (US$897.2 million) in the fourth quarter of 2024.</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attributable to NIO’s ordinary shareholders </w:t>
      </w:r>
      <w:r>
        <w:rPr>
          <w:rFonts w:ascii="Times New Roman" w:cs="Times New Roman" w:eastAsia="Times New Roman" w:hAnsi="Times New Roman"/>
          <w:sz w:val="18"/>
          <w:szCs w:val="18"/>
          <w:color w:val="auto"/>
        </w:rPr>
        <w:t>for the full year of 2024 was RMB 22,657.7 million (US$3,104.1 million). The net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NIO’s ordinary shareholders was RMB21,147.0 million in 2023. Excluding share-based compensation expenses and accretion on redeemable non-controlling interests to redemption value, adjusted net loss attributable to NIO’s ordinary shareholders (non-GAAP) was RMB20,381.7 million (US$2,792.3 million) in 2024.</w:t>
      </w:r>
    </w:p>
    <w:p>
      <w:pPr>
        <w:spacing w:after="0" w:line="39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left="660" w:hanging="328"/>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Basic and diluted net loss per ordinary share/ADS </w:t>
      </w:r>
      <w:r>
        <w:rPr>
          <w:rFonts w:ascii="Times New Roman" w:cs="Times New Roman" w:eastAsia="Times New Roman" w:hAnsi="Times New Roman"/>
          <w:sz w:val="18"/>
          <w:szCs w:val="18"/>
          <w:color w:val="auto"/>
        </w:rPr>
        <w:t>in the fourth quarter of 2024 were both RMB3.45 (US$0.47), compared with RMB3.18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fourth quarter of 2023 and RMB2.50 in the third quarter of 2024. Excluding share-based compensation expenses and accretion on redeemable non-controlling interests to redemption value, adjusted basic and diluted net loss per share/ADS (non-GAAP) were both RMB3.17 (US$0.43), compared with RMB2.81 in the fourth quarter of 2023 and RMB2.14 in the third quarter of 2024.</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Basic and diluted net loss per ADS </w:t>
      </w:r>
      <w:r>
        <w:rPr>
          <w:rFonts w:ascii="Times New Roman" w:cs="Times New Roman" w:eastAsia="Times New Roman" w:hAnsi="Times New Roman"/>
          <w:sz w:val="18"/>
          <w:szCs w:val="18"/>
          <w:color w:val="auto"/>
        </w:rPr>
        <w:t>for the full year of 2024 were both RMB11.03 (US$1.51). Excluding share-based compensation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accretion on redeemable non-controlling interests to redemption value, adjusted basic and diluted net loss per ADS (non-GAAP) were both RMB9.92 (US$1.36) in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Balance of cash and cash equivalents, restricted cash, short-term investment and long-term time deposits </w:t>
      </w:r>
      <w:r>
        <w:rPr>
          <w:rFonts w:ascii="Times New Roman" w:cs="Times New Roman" w:eastAsia="Times New Roman" w:hAnsi="Times New Roman"/>
          <w:sz w:val="18"/>
          <w:szCs w:val="18"/>
          <w:color w:val="auto"/>
        </w:rPr>
        <w:t>was RMB41.9 billion (US$5.7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as of December 31, 2024. We have been incurring loss since inception. We incurred operating cash outflow for the year ended December 31, 2024 and our current liabilities exceeded current assets as of December 31, 2024. Based on our going concern and liquidity assessment, which considers our business plan including revenue growth, working capital management and the ability to raise funds from banks under available credit quotas when needed, we believe that our financial resources, including our available cash and cash equivalents, restricted cash and short-term investments, cash generated from operating activities and funds from available credit quotas will be sufficient to support our continuous operations in the ordinary course of business for the next twelve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2025, the Company expects:</w:t>
      </w:r>
    </w:p>
    <w:p>
      <w:pPr>
        <w:spacing w:after="0" w:line="221" w:lineRule="exact"/>
        <w:rPr>
          <w:sz w:val="20"/>
          <w:szCs w:val="20"/>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Deliveries of vehicles </w:t>
      </w:r>
      <w:r>
        <w:rPr>
          <w:rFonts w:ascii="Times New Roman" w:cs="Times New Roman" w:eastAsia="Times New Roman" w:hAnsi="Times New Roman"/>
          <w:sz w:val="18"/>
          <w:szCs w:val="18"/>
          <w:color w:val="auto"/>
        </w:rPr>
        <w:t>to be between 41,000 and 43,000 vehicles, representing an increase of approximately 36.4% to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43.1% from the same quarter of 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to be between RMB12,367 million (US$1,694 million) and RMB12,859 million (US$1,762 million), representing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24.8% to an increase of approximately 29.8% from the same quarter of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business outlook reflects the Company’s current and preliminary view on the business situation and market condition, which is subject to change.</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8:00 AM U.S. Eastern Time on March 21, 2025 (8:00 PM Beijing/Hong Kong/Singapore Time on March 21,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https://ir.nio.com/news-events/events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conference using dial-in numbers, please register in advance using the link provided below and dial in 10 minutes prior to the call. Dial-in numbers, passcode and unique access PIN would be provided upon registering.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https://s1.c-conf.com/diamondpass/10045556-h7fg45.html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conference call will be accessible by phone at the following numbers, until March 28, 2025:</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+1-855-883-1031</w:t>
            </w:r>
          </w:p>
        </w:tc>
      </w:t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19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+852-800-930-639</w:t>
            </w:r>
          </w:p>
        </w:tc>
      </w:t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9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+86-400-1209-216</w:t>
            </w:r>
          </w:p>
        </w:tc>
      </w:t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9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+65-800-1013-223</w:t>
            </w:r>
          </w:p>
        </w:tc>
      </w:t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+61-7-3107-6325</w:t>
            </w:r>
          </w:p>
        </w:tc>
      </w:t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Replay PIN:</w:t>
            </w:r>
          </w:p>
        </w:tc>
        <w:tc>
          <w:tcPr>
            <w:tcW w:w="1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10045556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Non-GAAP Disclosure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non-GAAP measures, such as adjusted cost of sales (non-GAAP), adjusted research and development expenses (non-GAAP), adjusted selling, general and administrative expenses (non-GAAP), adjusted loss from operations (non-GAAP), adjusted net loss (non-GAAP), adjusted net loss attributable to ordinary shareholders (non-GAAP) and adjusted basic and diluted net loss per share/ADS (non-GAAP), in evaluating its operating results and for financial and operational decision-making purposes. The Company defines adjusted cost of sales (non-GAAP), adjusted research and development expenses (non-GAAP), adjusted selling, general and administrative expenses (non-GAAP) and adjusted loss from operations (non-GAAP) and adjusted net loss (non-GAAP) as cost of sales, research and development expenses, selling, general and administrative expenses, loss from operations and net loss excluding share-based compensation expenses. The Company defines adjusted net loss attributable to ordinary shareholders (non-GAAP), adjusted basic and diluted net loss per share/ADS (non-GAAP) as net loss attributable to ordinary shareholders and basic and diluted net loss per share/ADS excluding share-based compensation expenses and accretion on redeemable non-controlling interests to redemption value. By excluding the impact of share-based compensation expenses and accretion on redeemable non-controlling interests to redemption value,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net loss or other consolidated statements of comprehensive loss data prepared in accordance with U.S. GAAP. The Company encourages investors and others to review its financial information in its entirety and not rely on a single financial measure.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mitigates these limitations by reconciling the non-GAAP financial measures to the most comparable U.S. GAAP performance measures, all of which should be considered when evaluating the Company’s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“Unaudited Reconciliation of GAAP and Non-GAAP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Renminbi amounts into U.S. dollars at specified rates solely for the convenience of the reader. Unless otherwise stated, all translations from Renminbi to U.S. dollars were made at the rate of RMB7.2993 to US$1.00, the noon buying rate in effect on December 31, 2024 in the H.10 statistical release of the Federal Reserve Board. The Company makes no representation that the Renminbi or U.S. dollars amounts referred could be converted into U.S. dollars or Renminbi, as the case may be, at any particular rate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NIO</w:t>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1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w:t>
            </w: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gridSpan w:val="2"/>
          </w:tcPr>
          <w:p>
            <w:pPr>
              <w:spacing w:after="0"/>
              <w:rPr>
                <w:sz w:val="19"/>
                <w:szCs w:val="19"/>
                <w:color w:val="auto"/>
              </w:rPr>
            </w:pPr>
          </w:p>
        </w:tc>
      </w:tr>
      <w:tr>
        <w:trPr>
          <w:trHeight w:val="209"/>
        </w:trPr>
        <w:tc>
          <w:tcPr>
            <w:tcW w:w="5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32,935,111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19,328,920</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2,648,051</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5,542,271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8,320,728</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1,139,935</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16,810,107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14,137,566</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1,936,839</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Trade and notes receivables</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4,657,652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1,676,246</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229,645</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1,722,603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7,702,404</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1,055,225</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5,277,726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7,087,223</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970,946</w:t>
            </w:r>
          </w:p>
        </w:tc>
        <w:tc>
          <w:tcPr>
            <w:tcW w:w="80" w:type="dxa"/>
            <w:vAlign w:val="bottom"/>
          </w:tcPr>
          <w:p>
            <w:pPr>
              <w:spacing w:after="0"/>
              <w:rPr>
                <w:sz w:val="18"/>
                <w:szCs w:val="18"/>
                <w:color w:val="auto"/>
              </w:rPr>
            </w:pPr>
          </w:p>
        </w:tc>
      </w:tr>
      <w:tr>
        <w:trPr>
          <w:trHeight w:val="22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3,434,763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3,632,956</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497,713</w:t>
            </w:r>
          </w:p>
        </w:tc>
        <w:tc>
          <w:tcPr>
            <w:tcW w:w="80" w:type="dxa"/>
            <w:vAlign w:val="bottom"/>
            <w:shd w:val="clear" w:color="auto" w:fill="CCEEFF"/>
          </w:tcPr>
          <w:p>
            <w:pPr>
              <w:spacing w:after="0"/>
              <w:rPr>
                <w:sz w:val="19"/>
                <w:szCs w:val="19"/>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70,380,233</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61,886,043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8,478,354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144,125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97,720</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13,388</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24,847,004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25,892,904</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3,547,313</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29,648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29,648</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4,062</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207,299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201,995</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27,673</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5,487,216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3,126,007</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428,261</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11,404,116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12,797,158</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1,753,203</w:t>
            </w:r>
          </w:p>
        </w:tc>
        <w:tc>
          <w:tcPr>
            <w:tcW w:w="80" w:type="dxa"/>
            <w:vAlign w:val="bottom"/>
            <w:shd w:val="clear" w:color="auto" w:fill="CCEEFF"/>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4,883,561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3,573,137</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489,518</w:t>
            </w:r>
          </w:p>
        </w:tc>
        <w:tc>
          <w:tcPr>
            <w:tcW w:w="80" w:type="dxa"/>
            <w:vAlign w:val="bottom"/>
          </w:tcPr>
          <w:p>
            <w:pPr>
              <w:spacing w:after="0"/>
              <w:rPr>
                <w:sz w:val="19"/>
                <w:szCs w:val="19"/>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47,002,969</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45,718,569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6,263,418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117,383,202</w:t>
            </w:r>
          </w:p>
        </w:tc>
        <w:tc>
          <w:tcPr>
            <w:tcW w:w="2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107,604,612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14,741,772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5,085,411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5,729,561</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784,947</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Trade and notes payable</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29,766,134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34,387,266</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4,711,036</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561,625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409,363</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56,083</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349,349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400,146</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54,820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1,743,156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1,945,987</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266,599</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4,736,087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3,397,622</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465,472</w:t>
            </w:r>
          </w:p>
        </w:tc>
        <w:tc>
          <w:tcPr>
            <w:tcW w:w="80" w:type="dxa"/>
            <w:vAlign w:val="bottom"/>
          </w:tcPr>
          <w:p>
            <w:pPr>
              <w:spacing w:after="0"/>
              <w:rPr>
                <w:sz w:val="18"/>
                <w:szCs w:val="18"/>
                <w:color w:val="auto"/>
              </w:rPr>
            </w:pPr>
          </w:p>
        </w:tc>
      </w:tr>
      <w:tr>
        <w:trPr>
          <w:trHeight w:val="23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other liabilities</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15,556,354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16,041,079</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2,197,619</w:t>
            </w:r>
          </w:p>
        </w:tc>
        <w:tc>
          <w:tcPr>
            <w:tcW w:w="80" w:type="dxa"/>
            <w:vAlign w:val="bottom"/>
            <w:shd w:val="clear" w:color="auto" w:fill="CCEEFF"/>
          </w:tcPr>
          <w:p>
            <w:pPr>
              <w:spacing w:after="0"/>
              <w:rPr>
                <w:sz w:val="19"/>
                <w:szCs w:val="19"/>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57,798,116</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62,311,024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8,536,576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13,042,861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11,440,755</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1,567,377</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10,070,057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11,260,735</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1,542,714</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212,347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127,467</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17,463</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 non-current</w:t>
            </w:r>
          </w:p>
        </w:tc>
        <w:tc>
          <w:tcPr>
            <w:tcW w:w="2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329,492</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45,140</w:t>
            </w:r>
          </w:p>
        </w:tc>
        <w:tc>
          <w:tcPr>
            <w:tcW w:w="80" w:type="dxa"/>
            <w:vAlign w:val="bottom"/>
            <w:shd w:val="clear" w:color="auto" w:fill="CCEEFF"/>
          </w:tcPr>
          <w:p>
            <w:pPr>
              <w:spacing w:after="0"/>
              <w:rPr>
                <w:sz w:val="18"/>
                <w:szCs w:val="18"/>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6,663,805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8,628,596</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1,182,114</w:t>
            </w:r>
          </w:p>
        </w:tc>
        <w:tc>
          <w:tcPr>
            <w:tcW w:w="80" w:type="dxa"/>
            <w:vAlign w:val="bottom"/>
          </w:tcPr>
          <w:p>
            <w:pPr>
              <w:spacing w:after="0"/>
              <w:rPr>
                <w:sz w:val="19"/>
                <w:szCs w:val="19"/>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29,989,070</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31,787,045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4,354,808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87,787,186</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94,098,069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12,891,384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9"/>
        </w:trPr>
        <w:tc>
          <w:tcPr>
            <w:tcW w:w="5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gridSpan w:val="2"/>
          </w:tcPr>
          <w:p>
            <w:pPr>
              <w:spacing w:after="0"/>
              <w:rPr>
                <w:sz w:val="19"/>
                <w:szCs w:val="19"/>
                <w:color w:val="auto"/>
              </w:rPr>
            </w:pPr>
          </w:p>
        </w:tc>
      </w:tr>
      <w:tr>
        <w:trPr>
          <w:trHeight w:val="210"/>
        </w:trPr>
        <w:tc>
          <w:tcPr>
            <w:tcW w:w="5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3,860,384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7,441,997</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1,019,549</w:t>
            </w:r>
          </w:p>
        </w:tc>
        <w:tc>
          <w:tcPr>
            <w:tcW w:w="80" w:type="dxa"/>
            <w:vAlign w:val="bottom"/>
          </w:tcPr>
          <w:p>
            <w:pPr>
              <w:spacing w:after="0"/>
              <w:rPr>
                <w:sz w:val="19"/>
                <w:szCs w:val="19"/>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9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3,860,384</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7,441,997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1,019,549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NIO Inc. shareholders’ equity</w:t>
            </w:r>
          </w:p>
        </w:tc>
        <w:tc>
          <w:tcPr>
            <w:tcW w:w="2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25,546,233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5,967,023</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817,478</w:t>
            </w:r>
          </w:p>
        </w:tc>
        <w:tc>
          <w:tcPr>
            <w:tcW w:w="80" w:type="dxa"/>
            <w:vAlign w:val="bottom"/>
            <w:shd w:val="clear" w:color="auto" w:fill="CCEEFF"/>
          </w:tcPr>
          <w:p>
            <w:pPr>
              <w:spacing w:after="0"/>
              <w:rPr>
                <w:sz w:val="19"/>
                <w:szCs w:val="19"/>
                <w:color w:val="auto"/>
              </w:rPr>
            </w:pPr>
          </w:p>
        </w:tc>
      </w:tr>
      <w:tr>
        <w:trPr>
          <w:trHeight w:val="210"/>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9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189,399</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25,735,632</w:t>
            </w:r>
          </w:p>
        </w:tc>
        <w:tc>
          <w:tcPr>
            <w:tcW w:w="2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6,064,546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830,839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9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117,383,202</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107,604,612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14,741,772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8"/>
        </w:trPr>
        <w:tc>
          <w:tcPr>
            <w:tcW w:w="5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2"/>
                <w:szCs w:val="22"/>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14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 sales</w:t>
            </w: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15,438,709</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16,697,558</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17,475,587</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2,394,146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sales</w:t>
            </w: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1,664,467</w:t>
            </w:r>
          </w:p>
        </w:tc>
        <w:tc>
          <w:tcPr>
            <w:tcW w:w="17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1,975,970</w:t>
            </w:r>
          </w:p>
        </w:tc>
        <w:tc>
          <w:tcPr>
            <w:tcW w:w="1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2,227,840</w:t>
            </w:r>
          </w:p>
        </w:tc>
        <w:tc>
          <w:tcPr>
            <w:tcW w:w="16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305,213</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17,103,176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18,673,528</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19,703,427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2,699,359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 sales</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(13,600,327)</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(14,516,999)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(15,190,937)</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(2,081,150)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sales</w:t>
            </w: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(2,223,621)</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(2,149,156)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(2,203,547)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(301,885)</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(15,823,948)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(16,666,155)</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(17,394,484)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(2,383,035)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1,279,228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2,007,373</w:t>
            </w:r>
          </w:p>
        </w:tc>
        <w:tc>
          <w:tcPr>
            <w:tcW w:w="2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2,308,943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(3,972,127)</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(3,318,740)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(3,635,826)</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(498,106)</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(3,972,706)</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(4,108,806)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(4,877,995)</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(668,283)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w:t>
            </w: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40,295</w:t>
            </w:r>
          </w:p>
        </w:tc>
        <w:tc>
          <w:tcPr>
            <w:tcW w:w="17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182,406</w:t>
            </w:r>
          </w:p>
        </w:tc>
        <w:tc>
          <w:tcPr>
            <w:tcW w:w="1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171,943</w:t>
            </w:r>
          </w:p>
        </w:tc>
        <w:tc>
          <w:tcPr>
            <w:tcW w:w="16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23,556</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(7,904,538)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(7,245,140)</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(8,341,878)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(1,142,833)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(6,625,310)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(5,237,767)</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(6,032,935)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income/(loss), net</w:t>
            </w: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1,368,062</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310,123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(169,919)</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(23,279)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(163,881)</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(203,761)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(247,586)</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6,846</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income/(loss) of equity investees</w:t>
            </w: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32,373</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(199,662)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(210,442)</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253,891</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309,654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(527,524)</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(72,270)</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(5,134,865)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(5,021,413)</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(7,181,560)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(983,869)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(232,880)</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(38,265)</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70,089</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9,602</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(5,367,745)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(5,059,678)</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(7,111,471)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on redeemable non-controlling interests to</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(78,767)</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(91,400)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(93,570)</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(profit)/loss attributable to non-controlling interests</w:t>
            </w: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(146,261)</w:t>
            </w:r>
          </w:p>
        </w:tc>
        <w:tc>
          <w:tcPr>
            <w:tcW w:w="17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9,443</w:t>
            </w:r>
          </w:p>
        </w:tc>
        <w:tc>
          <w:tcPr>
            <w:tcW w:w="1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73,272</w:t>
            </w:r>
          </w:p>
        </w:tc>
        <w:tc>
          <w:tcPr>
            <w:tcW w:w="16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10,038</w:t>
            </w:r>
          </w:p>
        </w:tc>
        <w:tc>
          <w:tcPr>
            <w:tcW w:w="0" w:type="dxa"/>
            <w:vAlign w:val="bottom"/>
          </w:tcPr>
          <w:p>
            <w:pPr>
              <w:spacing w:after="0"/>
              <w:rPr>
                <w:sz w:val="1"/>
                <w:szCs w:val="1"/>
                <w:color w:val="auto"/>
              </w:rPr>
            </w:pPr>
          </w:p>
        </w:tc>
      </w:tr>
      <w:tr>
        <w:trPr>
          <w:trHeight w:val="249"/>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NIO Inc.</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(5,592,773</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(5,141,635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(7,131,769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(977,048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(5,367,745)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(5,059,678)</w:t>
            </w:r>
          </w:p>
        </w:tc>
        <w:tc>
          <w:tcPr>
            <w:tcW w:w="20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(7,111,471)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(974,267)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unrealized loss related to available-for-sale debt</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net of tax</w:t>
            </w: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(770,560)</w:t>
            </w:r>
          </w:p>
        </w:tc>
        <w:tc>
          <w:tcPr>
            <w:tcW w:w="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(200,131)</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(298,383)</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351,100</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48,101</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(loss)/income</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(970,691)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(298,383)</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(6,338,436)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(5,358,061)</w:t>
            </w: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(6,760,371)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(926,166)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6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Accretion on redeemable non-controlling interests to</w:t>
            </w: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(78,767)</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(91,400)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(93,570)</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(profit)/loss attributable to non-controlling interests</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(146,261)</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9,443</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73,272</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10,038</w:t>
            </w:r>
          </w:p>
        </w:tc>
        <w:tc>
          <w:tcPr>
            <w:tcW w:w="0" w:type="dxa"/>
            <w:vAlign w:val="bottom"/>
          </w:tcPr>
          <w:p>
            <w:pPr>
              <w:spacing w:after="0"/>
              <w:rPr>
                <w:sz w:val="1"/>
                <w:szCs w:val="1"/>
                <w:color w:val="auto"/>
              </w:rPr>
            </w:pPr>
          </w:p>
        </w:tc>
      </w:tr>
      <w:tr>
        <w:trPr>
          <w:trHeight w:val="198"/>
        </w:trPr>
        <w:tc>
          <w:tcPr>
            <w:tcW w:w="4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attributable to non-controlling</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156,026</w:t>
            </w:r>
          </w:p>
        </w:tc>
        <w:tc>
          <w:tcPr>
            <w:tcW w:w="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loss attributable to ordinary shareholders</w:t>
            </w:r>
          </w:p>
        </w:tc>
        <w:tc>
          <w:tcPr>
            <w:tcW w:w="158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(6,407,438)</w:t>
            </w:r>
          </w:p>
        </w:tc>
        <w:tc>
          <w:tcPr>
            <w:tcW w:w="1780" w:type="dxa"/>
            <w:vAlign w:val="bottom"/>
            <w:gridSpan w:val="3"/>
            <w:vMerge w:val="restart"/>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(5,440,018)</w:t>
            </w: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(6,780,669)</w:t>
            </w:r>
          </w:p>
        </w:tc>
        <w:tc>
          <w:tcPr>
            <w:tcW w:w="1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(928,947)</w:t>
            </w:r>
          </w:p>
        </w:tc>
        <w:tc>
          <w:tcPr>
            <w:tcW w:w="0" w:type="dxa"/>
            <w:vAlign w:val="bottom"/>
          </w:tcPr>
          <w:p>
            <w:pPr>
              <w:spacing w:after="0"/>
              <w:rPr>
                <w:sz w:val="1"/>
                <w:szCs w:val="1"/>
                <w:color w:val="auto"/>
              </w:rPr>
            </w:pPr>
          </w:p>
        </w:tc>
      </w:tr>
      <w:tr>
        <w:trPr>
          <w:trHeight w:val="265"/>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NIO Inc.</w:t>
            </w:r>
          </w:p>
        </w:tc>
        <w:tc>
          <w:tcPr>
            <w:tcW w:w="1580" w:type="dxa"/>
            <w:vAlign w:val="bottom"/>
            <w:gridSpan w:val="2"/>
            <w:vMerge w:val="continue"/>
          </w:tcPr>
          <w:p>
            <w:pPr>
              <w:spacing w:after="0"/>
              <w:rPr>
                <w:sz w:val="23"/>
                <w:szCs w:val="23"/>
                <w:color w:val="auto"/>
              </w:rPr>
            </w:pPr>
          </w:p>
        </w:tc>
        <w:tc>
          <w:tcPr>
            <w:tcW w:w="1780" w:type="dxa"/>
            <w:vAlign w:val="bottom"/>
            <w:gridSpan w:val="3"/>
            <w:vMerge w:val="continue"/>
          </w:tcPr>
          <w:p>
            <w:pPr>
              <w:spacing w:after="0"/>
              <w:rPr>
                <w:sz w:val="23"/>
                <w:szCs w:val="23"/>
                <w:color w:val="auto"/>
              </w:rPr>
            </w:pPr>
          </w:p>
        </w:tc>
        <w:tc>
          <w:tcPr>
            <w:tcW w:w="1580" w:type="dxa"/>
            <w:vAlign w:val="bottom"/>
            <w:gridSpan w:val="2"/>
            <w:vMerge w:val="continue"/>
          </w:tcPr>
          <w:p>
            <w:pPr>
              <w:spacing w:after="0"/>
              <w:rPr>
                <w:sz w:val="23"/>
                <w:szCs w:val="23"/>
                <w:color w:val="auto"/>
              </w:rPr>
            </w:pPr>
          </w:p>
        </w:tc>
        <w:tc>
          <w:tcPr>
            <w:tcW w:w="164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46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ordinary shares/ADS used in</w:t>
            </w:r>
          </w:p>
        </w:tc>
        <w:tc>
          <w:tcPr>
            <w:tcW w:w="1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computing net loss per share/ADS</w:t>
            </w: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1,761,324,976</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2,055,159,231</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2,068,453,952</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2,068,453,952</w:t>
            </w: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per share/ADS attributable to ordinary</w:t>
            </w: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(3.18)</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(2.50)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630"/>
        </w:trPr>
        <w:tc>
          <w:tcPr>
            <w:tcW w:w="4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data/ADS data)</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80" w:type="dxa"/>
            <w:vAlign w:val="bottom"/>
          </w:tcPr>
          <w:p>
            <w:pPr>
              <w:spacing w:after="0"/>
              <w:rPr>
                <w:sz w:val="24"/>
                <w:szCs w:val="24"/>
                <w:color w:val="auto"/>
              </w:rPr>
            </w:pPr>
          </w:p>
        </w:tc>
        <w:tc>
          <w:tcPr>
            <w:tcW w:w="4260" w:type="dxa"/>
            <w:vAlign w:val="bottom"/>
            <w:gridSpan w:val="6"/>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r>
      <w:tr>
        <w:trPr>
          <w:trHeight w:val="270"/>
        </w:trPr>
        <w:tc>
          <w:tcPr>
            <w:tcW w:w="6980" w:type="dxa"/>
            <w:vAlign w:val="bottom"/>
          </w:tcPr>
          <w:p>
            <w:pPr>
              <w:spacing w:after="0"/>
              <w:rPr>
                <w:sz w:val="23"/>
                <w:szCs w:val="23"/>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 sales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49,257,270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58,234,086</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7,978,037</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sales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6,360,663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7,497,473</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1,027,150</w:t>
            </w: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55,617,933</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65,731,559</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9,005,187</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 sales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(44,587,572)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(51,094,616)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(6,999,934)</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sales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(7,978,565)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(8,144,181)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(1,115,748)</w:t>
            </w: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(52,566,137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(59,238,797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(8,115,682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3,051,796</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6,492,762</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889,505</w:t>
            </w:r>
          </w:p>
        </w:tc>
        <w:tc>
          <w:tcPr>
            <w:tcW w:w="100" w:type="dxa"/>
            <w:vAlign w:val="bottom"/>
            <w:shd w:val="clear" w:color="auto" w:fill="CCEEFF"/>
          </w:tcPr>
          <w:p>
            <w:pPr>
              <w:spacing w:after="0"/>
              <w:rPr>
                <w:sz w:val="18"/>
                <w:szCs w:val="18"/>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(13,431,399)</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(13,037,304)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(1,786,103)</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(12,884,556)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(15,741,057)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(2,156,516)</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608,975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411,526</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56,379</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(25,706,980)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(28,366,835)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(3,886,240)</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(22,655,184)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(21,874,073)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(2,996,735)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2,210,018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853,728</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116,960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(403,530)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(798,363)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Gain/(loss) on extinguishment of debt</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170,193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income/(loss) of equity investees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64,394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(503,193)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income/(loss) , net</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155,191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(98,143)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(13,446)</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(20,458,918)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(22,424,524)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(3,072,147)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(260,835)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22,815</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3,126</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(20,719,753)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(22,401,709)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(3,069,021)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(303,163)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(347,516)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(47,609)</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(profit)/loss attributable to non-controlling interests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(124,051)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91,533</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12,540</w:t>
            </w:r>
          </w:p>
        </w:tc>
      </w:tr>
      <w:tr>
        <w:trPr>
          <w:trHeight w:val="26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NIO Inc.</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(21,146,967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(22,657,692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(3,104,090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6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(20,719,753</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(22,401,709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(3,069,021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loss related to available-for-sale debt securities, net of tax</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(770,560)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11,514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149,668</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20,504</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(loss)/income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(759,046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149,668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(21,478,799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(22,252,041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(3,048,517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(303,163)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(347,516)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(47,609)</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(profit)/loss attributable to non-controlling interests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(124,051)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91,533</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12,540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attributable to non-controlling interests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156,026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ordinary shareholders of NIO Inc.</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(21,749,987)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(22,508,024)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(3,083,586)</w:t>
            </w: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shares/ADS used in computing net loss per share</w:t>
            </w: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1,700,203,886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2,054,614,522</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2,054,614,522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share/ADS attributable to ordinary shareholders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(12.44)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630"/>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900"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520" w:type="dxa"/>
            <w:vAlign w:val="bottom"/>
          </w:tcPr>
          <w:p>
            <w:pPr>
              <w:spacing w:after="0"/>
              <w:rPr>
                <w:sz w:val="24"/>
                <w:szCs w:val="24"/>
                <w:color w:val="auto"/>
              </w:rPr>
            </w:pPr>
          </w:p>
        </w:tc>
        <w:tc>
          <w:tcPr>
            <w:tcW w:w="4440" w:type="dxa"/>
            <w:vAlign w:val="bottom"/>
            <w:tcBorders>
              <w:bottom w:val="single" w:sz="8" w:color="auto"/>
            </w:tcBorders>
            <w:gridSpan w:val="7"/>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2024</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interests to</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redemption</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(17,394,484)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19,641</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(17,374,843)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(3,635,826)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344,088</w:t>
            </w: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(3,291,738)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(4,877,995)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125,564</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(4,752,431)</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(25,908,305)</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489,293</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(25,419,012)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(6,032,935)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489,293</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(5,543,642)</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(7,111,471)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489,293</w:t>
            </w: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(6,622,178)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(7,131,769)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489,293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93,570</w:t>
            </w: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(6,548,906)</w:t>
            </w: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 basic and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(RMB)</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 basic and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(USD)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520" w:type="dxa"/>
            <w:vAlign w:val="bottom"/>
          </w:tcPr>
          <w:p>
            <w:pPr>
              <w:spacing w:after="0"/>
              <w:rPr>
                <w:sz w:val="24"/>
                <w:szCs w:val="24"/>
                <w:color w:val="auto"/>
              </w:rPr>
            </w:pPr>
          </w:p>
        </w:tc>
        <w:tc>
          <w:tcPr>
            <w:tcW w:w="4440" w:type="dxa"/>
            <w:vAlign w:val="bottom"/>
            <w:tcBorders>
              <w:bottom w:val="single" w:sz="8" w:color="auto"/>
            </w:tcBorders>
            <w:gridSpan w:val="7"/>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interests to</w:t>
            </w: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redemption</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0" w:type="dxa"/>
            <w:vAlign w:val="bottom"/>
          </w:tcPr>
          <w:p>
            <w:pPr>
              <w:spacing w:after="0"/>
              <w:rPr>
                <w:sz w:val="1"/>
                <w:szCs w:val="1"/>
                <w:color w:val="auto"/>
              </w:rPr>
            </w:pPr>
          </w:p>
        </w:tc>
      </w:tr>
      <w:tr>
        <w:trPr>
          <w:trHeight w:val="252"/>
        </w:trPr>
        <w:tc>
          <w:tcPr>
            <w:tcW w:w="55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(16,666,155)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23,688</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(16,642,467)</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(3,318,740)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415,955</w:t>
            </w: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(2,902,785)</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(4,108,806)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207,413</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(3,901,393)</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(24,093,701)</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647,056</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(23,446,645)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(5,237,767)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647,056</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(4,590,711)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(5,059,678)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647,056</w:t>
            </w: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(4,412,622)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(5,141,635)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647,056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91,400</w:t>
            </w: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(4,403,179)</w:t>
            </w: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 basic and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(RMB)</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648"/>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4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 2023</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interests to</w:t>
            </w: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redemption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0" w:type="dxa"/>
            <w:vAlign w:val="bottom"/>
          </w:tcPr>
          <w:p>
            <w:pPr>
              <w:spacing w:after="0"/>
              <w:rPr>
                <w:sz w:val="1"/>
                <w:szCs w:val="1"/>
                <w:color w:val="auto"/>
              </w:rPr>
            </w:pPr>
          </w:p>
        </w:tc>
      </w:tr>
      <w:tr>
        <w:trPr>
          <w:trHeight w:val="252"/>
        </w:trPr>
        <w:tc>
          <w:tcPr>
            <w:tcW w:w="55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(15,823,948)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(15,804,828)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(3,972,127)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355,694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(3,616,433)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(3,972,706)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191,235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(3,781,471)</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(23,768,781)</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566,049</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(23,202,732)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(6,625,310)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566,049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(6,059,261)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(5,367,745)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566,049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(4,801,696)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(5,592,773)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566,049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78,767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(4,947,957)</w:t>
            </w: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 basic and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(RMB)</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648"/>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data/ADS data)</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5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interests to</w:t>
            </w: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redemption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0" w:type="dxa"/>
            <w:vAlign w:val="bottom"/>
          </w:tcPr>
          <w:p>
            <w:pPr>
              <w:spacing w:after="0"/>
              <w:rPr>
                <w:sz w:val="1"/>
                <w:szCs w:val="1"/>
                <w:color w:val="auto"/>
              </w:rPr>
            </w:pPr>
          </w:p>
        </w:tc>
      </w:tr>
      <w:tr>
        <w:trPr>
          <w:trHeight w:val="252"/>
        </w:trPr>
        <w:tc>
          <w:tcPr>
            <w:tcW w:w="55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(59,238,797)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(59,167,018)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(13,037,304)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1,296,136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(11,741,168)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(15,741,057)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560,597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(15,180,460)</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(88,017,158)</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1,928,512</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(86,088,646)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(21,874,073)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1,928,512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(19,945,561)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(22,401,709)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1,928,512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(20,473,197)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(22,657,692)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1,928,512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347,516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(20,381,664)</w:t>
            </w: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 basic and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(RMB)</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 basic and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(USD)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data/ADS data)</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5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interests to</w:t>
            </w: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redemption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0" w:type="dxa"/>
            <w:vAlign w:val="bottom"/>
          </w:tcPr>
          <w:p>
            <w:pPr>
              <w:spacing w:after="0"/>
              <w:rPr>
                <w:sz w:val="1"/>
                <w:szCs w:val="1"/>
                <w:color w:val="auto"/>
              </w:rPr>
            </w:pPr>
          </w:p>
        </w:tc>
      </w:tr>
      <w:tr>
        <w:trPr>
          <w:trHeight w:val="252"/>
        </w:trPr>
        <w:tc>
          <w:tcPr>
            <w:tcW w:w="55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(52,566,137)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(52,482,165)</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(13,431,399)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1,517,206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(11,914,193)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(12,884,556)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767,863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(12,116,693)</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(78,882,092)</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2,369,041</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(76,513,051)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(22,655,184)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2,369,041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(20,286,143)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(20,719,753)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2,369,041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(18,350,712)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(21,146,967)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2,369,041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303,163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(18,474,763)</w:t>
            </w: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 basic and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(RMB)</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60" w:firstLine="8"/>
        <w:spacing w:after="0" w:line="195" w:lineRule="auto"/>
        <w:tabs>
          <w:tab w:leader="none" w:pos="77"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translations from RMB to USD for the fourth quarter and full year of 2024 were made at the rate of RMB7.2993 to US$1.00, the noon buying rate in effect on December 31, 2024 in the H.10 statistical release of the Federal Reserve Board.</w:t>
      </w:r>
    </w:p>
    <w:p>
      <w:pPr>
        <w:spacing w:after="0" w:line="1" w:lineRule="exact"/>
        <w:rPr>
          <w:rFonts w:ascii="Times New Roman" w:cs="Times New Roman" w:eastAsia="Times New Roman" w:hAnsi="Times New Roman"/>
          <w:sz w:val="30"/>
          <w:szCs w:val="30"/>
          <w:color w:val="auto"/>
          <w:vertAlign w:val="superscript"/>
        </w:rPr>
      </w:pPr>
    </w:p>
    <w:p>
      <w:pPr>
        <w:ind w:right="800"/>
        <w:spacing w:after="0" w:line="22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ii</w:t>
      </w:r>
      <w:r>
        <w:rPr>
          <w:rFonts w:ascii="Times New Roman" w:cs="Times New Roman" w:eastAsia="Times New Roman" w:hAnsi="Times New Roman"/>
          <w:sz w:val="18"/>
          <w:szCs w:val="18"/>
          <w:color w:val="auto"/>
        </w:rPr>
        <w:t xml:space="preserve"> Vehicle margin is the margin of new vehicle sales, which is calculated based on revenues and cost of sales derived from new vehicle sales only. </w:t>
      </w:r>
      <w:r>
        <w:rPr>
          <w:rFonts w:ascii="Times New Roman" w:cs="Times New Roman" w:eastAsia="Times New Roman" w:hAnsi="Times New Roman"/>
          <w:sz w:val="29"/>
          <w:szCs w:val="29"/>
          <w:color w:val="auto"/>
          <w:vertAlign w:val="superscript"/>
        </w:rPr>
        <w:t>iii</w:t>
      </w:r>
      <w:r>
        <w:rPr>
          <w:rFonts w:ascii="Times New Roman" w:cs="Times New Roman" w:eastAsia="Times New Roman" w:hAnsi="Times New Roman"/>
          <w:sz w:val="18"/>
          <w:szCs w:val="18"/>
          <w:color w:val="auto"/>
        </w:rPr>
        <w:t xml:space="preserve"> Except for gross margin and vehicle margin, where absolute changes instead of percentage changes are calculated.</w:t>
      </w:r>
    </w:p>
    <w:p>
      <w:pPr>
        <w:spacing w:after="0" w:line="320"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2025-03-21T06:12:09Z</dcterms:created>
  <dcterms:modified xsi:type="dcterms:W3CDTF">2025-03-21T06:12:09Z</dcterms:modified>
</cp:coreProperties>
</file>