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0" w:type="dxa"/>
            <w:vAlign w:val="bottom"/>
            <w:gridSpan w:val="2"/>
          </w:tcPr>
          <w:p>
            <w:pPr>
              <w:ind w:left="28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200" w:type="dxa"/>
            <w:vAlign w:val="bottom"/>
            <w:gridSpan w:val="2"/>
          </w:tcPr>
          <w:p>
            <w:pPr>
              <w:ind w:left="4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040" w:type="dxa"/>
            <w:vAlign w:val="bottom"/>
            <w:gridSpan w:val="3"/>
          </w:tcPr>
          <w:p>
            <w:pPr>
              <w:jc w:val="center"/>
              <w:ind w:right="94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Announcement on The Stock Exchange of Hong Kong Limited Regarding Date of Board Meeting, dated November 7, 2024</w:t>
            </w:r>
          </w:p>
        </w:tc>
      </w:tr>
      <w:tr>
        <w:trPr>
          <w:trHeight w:val="453"/>
        </w:trPr>
        <w:tc>
          <w:tcPr>
            <w:tcW w:w="76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92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NIO Inc.</w:t>
            </w: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Under our weighted voting rights structure, our share capital comprises Class A ordinary shares and Class C ordinary shares. Each Class A ordinary share entitles the holder to exercise one vote, and each Class C ordinary share entitles the holder to exercise eight votes, respectively, on any resolution tabled at our general meetings, except as may otherwise be required by law or by the Rules Governing the Listing of Securities on The Stock Exchange of Hong Kong Limited or provided for in our memorandum and articles of association. Shareholders and prospective investors should be aware of the potential risks of investing in a company with a weighted voting rights structure. Our American depositary shares, each representing one of our Class A ordinary shares, are listed on the New York Stock Exchange in the United States under the symbol 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128270</wp:posOffset>
            </wp:positionV>
            <wp:extent cx="831850"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318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w:t>
      </w:r>
    </w:p>
    <w:p>
      <w:pPr>
        <w:spacing w:after="0" w:line="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9866)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of directors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NIO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hold a Board meeting on Wednesday, November 20, 2024 (Beijing/Hong Kong/Singapore Time) for the purposes of, among other things, approving the Company’s unaudited financial results for the third quarter 2024 (“</w:t>
      </w:r>
      <w:r>
        <w:rPr>
          <w:rFonts w:ascii="Times New Roman" w:cs="Times New Roman" w:eastAsia="Times New Roman" w:hAnsi="Times New Roman"/>
          <w:sz w:val="18"/>
          <w:szCs w:val="18"/>
          <w:b w:val="1"/>
          <w:bCs w:val="1"/>
          <w:color w:val="auto"/>
        </w:rPr>
        <w:t>Q3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The Company will publish its Q3 2024 Results on Wednesday, November 20, 2024 (Beijing/Hong Kong/Singapore Time) on the website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 Exchange of Hong Kong Limited at </w:t>
      </w:r>
      <w:r>
        <w:rPr>
          <w:rFonts w:ascii="Times New Roman" w:cs="Times New Roman" w:eastAsia="Times New Roman" w:hAnsi="Times New Roman"/>
          <w:sz w:val="18"/>
          <w:szCs w:val="18"/>
          <w:b w:val="1"/>
          <w:bCs w:val="1"/>
          <w:u w:val="single" w:color="auto"/>
          <w:color w:val="auto"/>
        </w:rPr>
        <w:t>www.hkexnews.hk</w:t>
      </w:r>
      <w:r>
        <w:rPr>
          <w:rFonts w:ascii="Times New Roman" w:cs="Times New Roman" w:eastAsia="Times New Roman" w:hAnsi="Times New Roman"/>
          <w:sz w:val="18"/>
          <w:szCs w:val="18"/>
          <w:color w:val="auto"/>
        </w:rPr>
        <w:t xml:space="preserve"> and the website of the Company at </w:t>
      </w:r>
      <w:r>
        <w:rPr>
          <w:rFonts w:ascii="Times New Roman" w:cs="Times New Roman" w:eastAsia="Times New Roman" w:hAnsi="Times New Roman"/>
          <w:sz w:val="18"/>
          <w:szCs w:val="18"/>
          <w:b w:val="1"/>
          <w:bCs w:val="1"/>
          <w:u w:val="single" w:color="auto"/>
          <w:color w:val="auto"/>
        </w:rPr>
        <w:t>ir.nio.com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management will host an earnings conference call at 8:00 p.m. Beijing/Hong Kong/Singapore Time on November 20, 2024 (7:00 a.m.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Eastern Time on November 20,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be available on the Company’s investor relations website at </w:t>
      </w:r>
      <w:r>
        <w:rPr>
          <w:rFonts w:ascii="Times New Roman" w:cs="Times New Roman" w:eastAsia="Times New Roman" w:hAnsi="Times New Roman"/>
          <w:sz w:val="18"/>
          <w:szCs w:val="18"/>
          <w:b w:val="1"/>
          <w:bCs w:val="1"/>
          <w:u w:val="single" w:color="auto"/>
          <w:color w:val="auto"/>
        </w:rPr>
        <w:t>https://ir.nio.com/news-events/events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participants who wish to join the conference using dial-in numbers, please register in advance using the link provided below and dial in 10 minutes prior to the call. Dial-in numbers, passcode and unique access PIN would be provided upon registering.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https://s1.c-conf.com/diamondpass/10043136-gh7y6t.html</w:t>
      </w:r>
    </w:p>
    <w:p>
      <w:pPr>
        <w:spacing w:after="0" w:line="22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Bin Li</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Founder, 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November 7, 2024</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 of the date of this announcement, the Board of the Company comprises Mr. Bin Li as the chairman, Mr. Lihong Qin, Mr. Eddy Georges Skaf and Mr. Nicholas Paul Collins as the directors, and Mr. Hai Wu, Mr. Denny Ting Bun Lee, Ms. Yu Long and Mr. Yonggang Wen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2024-11-07T05:28:24Z</dcterms:created>
  <dcterms:modified xsi:type="dcterms:W3CDTF">2024-11-07T05:28:24Z</dcterms:modified>
</cp:coreProperties>
</file>