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We, NIO Inc., hereby announce that our 2026 annual general meeting of shareholders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was held in Shanghai on June 24, 2026, and the proposed resolutions set out in the notice of AGM were duly passed.</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made an announcement dated June 24, 2026 with The Stock Exchange of Hong Kong Limited in relation to the poll results of the 2026 AGM. For details, please refer to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900" w:right="7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7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440" w:type="dxa"/>
            <w:vAlign w:val="bottom"/>
          </w:tcPr>
          <w:p>
            <w:pPr>
              <w:spacing w:after="0"/>
              <w:rPr>
                <w:sz w:val="24"/>
                <w:szCs w:val="24"/>
                <w:color w:val="auto"/>
              </w:rPr>
            </w:pPr>
          </w:p>
        </w:tc>
        <w:tc>
          <w:tcPr>
            <w:tcW w:w="776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40" w:type="dxa"/>
            <w:vAlign w:val="bottom"/>
            <w:gridSpan w:val="3"/>
          </w:tcPr>
          <w:p>
            <w:pPr>
              <w:jc w:val="center"/>
              <w:ind w:right="94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Announcement on The Stock Exchange of Hong Kong Limited Regarding Poll Results of the 2026 Annual General Meeting,</w:t>
            </w:r>
          </w:p>
        </w:tc>
      </w:tr>
      <w:tr>
        <w:trPr>
          <w:trHeight w:val="196"/>
        </w:trPr>
        <w:tc>
          <w:tcPr>
            <w:tcW w:w="76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90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dated June 24, 2026</w:t>
            </w:r>
          </w:p>
        </w:tc>
        <w:tc>
          <w:tcPr>
            <w:tcW w:w="200" w:type="dxa"/>
            <w:vAlign w:val="bottom"/>
          </w:tcPr>
          <w:p>
            <w:pPr>
              <w:spacing w:after="0"/>
              <w:rPr>
                <w:sz w:val="17"/>
                <w:szCs w:val="17"/>
                <w:color w:val="auto"/>
              </w:rPr>
            </w:pPr>
          </w:p>
        </w:tc>
      </w:tr>
      <w:tr>
        <w:trPr>
          <w:trHeight w:val="696"/>
        </w:trPr>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40" w:type="dxa"/>
            <w:vAlign w:val="bottom"/>
            <w:tcBorders>
              <w:top w:val="single" w:sz="8" w:color="0000EE"/>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Bin Li</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Bin Li</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ind w:left="20" w:right="2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ind w:left="20" w:right="20"/>
        <w:spacing w:after="0" w:line="257" w:lineRule="auto"/>
        <w:rPr>
          <w:sz w:val="20"/>
          <w:szCs w:val="20"/>
          <w:color w:val="auto"/>
        </w:rPr>
      </w:pPr>
      <w:r>
        <w:rPr>
          <w:rFonts w:ascii="Times New Roman" w:cs="Times New Roman" w:eastAsia="Times New Roman" w:hAnsi="Times New Roman"/>
          <w:sz w:val="18"/>
          <w:szCs w:val="18"/>
          <w:i w:val="1"/>
          <w:iCs w:val="1"/>
          <w:color w:val="auto"/>
        </w:rPr>
        <w:t>Under our weighted voting rights structure, our share capital comprises Class A ordinary shares and Class C ordinary shares. Each Class A ordinary share entitles the holder to exercise one vote, and each Class C ordinary share entitles the holder to exercise eight votes, respectively, on any resolution tabled at our general meetings, except as may otherwise be required by law or by the Rules Governing the Listing of Securities on The Stock Exchange of Hong Kong Limited or provided for in our memorandum and articles of association. Shareholders and prospective investors should be aware of the potential risks of investing in a company with a weighted voting rights structure. Our American depositary shares, each representing one of our Class A ordinary shares, are listed on the New York Stock Exchange in the United States under the symbol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128270</wp:posOffset>
            </wp:positionV>
            <wp:extent cx="1431290" cy="1089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3129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9866)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POLL RESULTS OF THE 2026 ANNUAL GENERAL MEETING</w:t>
      </w:r>
    </w:p>
    <w:p>
      <w:pPr>
        <w:spacing w:after="0" w:line="229" w:lineRule="exact"/>
        <w:rPr>
          <w:sz w:val="20"/>
          <w:szCs w:val="20"/>
          <w:color w:val="auto"/>
        </w:rPr>
      </w:pPr>
    </w:p>
    <w:p>
      <w:pPr>
        <w:ind w:left="40" w:right="20"/>
        <w:spacing w:after="0" w:line="282" w:lineRule="auto"/>
        <w:rPr>
          <w:sz w:val="20"/>
          <w:szCs w:val="20"/>
          <w:color w:val="auto"/>
        </w:rPr>
      </w:pPr>
      <w:r>
        <w:rPr>
          <w:rFonts w:ascii="Times New Roman" w:cs="Times New Roman" w:eastAsia="Times New Roman" w:hAnsi="Times New Roman"/>
          <w:sz w:val="18"/>
          <w:szCs w:val="18"/>
          <w:color w:val="auto"/>
        </w:rPr>
        <w:t>We wish to announce that the proposed resolutions set out in our notice of the annual general meeting dated May 22, 2026 were taken by poll and duly passed at our annual general meeting held on June 24, 2026.</w:t>
      </w:r>
    </w:p>
    <w:p>
      <w:pPr>
        <w:spacing w:after="0" w:line="16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Bin Li</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Founder, Chairman and Chief Executive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Hong Kong, June 24, 2026</w:t>
      </w:r>
    </w:p>
    <w:p>
      <w:pPr>
        <w:spacing w:after="0" w:line="22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of directors of the Company comprises Mr. Bin Li as the chairman, Mr. Lihong Qin as the director, Mr. Eddy Georges Skaf and Mr. Nicholas Paul Collins as the non-executive directors, and Mr. Hai Wu, Mr. Denny Ting Bun Lee, Ms. Yu Long and Mr. Yonggang Wen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2026-06-24T08:02:52Z</dcterms:created>
  <dcterms:modified xsi:type="dcterms:W3CDTF">2026-06-24T08:02:52Z</dcterms:modified>
</cp:coreProperties>
</file>