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2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2"/>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20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200" w:type="dxa"/>
            <w:vAlign w:val="bottom"/>
            <w:gridSpan w:val="2"/>
          </w:tcPr>
          <w:p>
            <w:pPr>
              <w:ind w:left="41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820" w:type="dxa"/>
            <w:vAlign w:val="bottom"/>
            <w:tcBorders>
              <w:top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200" w:type="dxa"/>
            <w:vAlign w:val="bottom"/>
            <w:tcBorders>
              <w:top w:val="single" w:sz="8" w:color="auto"/>
            </w:tcBorders>
            <w:gridSpan w:val="2"/>
          </w:tcPr>
          <w:p>
            <w:pPr>
              <w:jc w:val="center"/>
              <w:ind w:right="2000"/>
              <w:spacing w:after="0"/>
              <w:rPr>
                <w:sz w:val="20"/>
                <w:szCs w:val="20"/>
                <w:color w:val="auto"/>
              </w:rPr>
            </w:pPr>
            <w:r>
              <w:rPr>
                <w:rFonts w:ascii="Times New Roman" w:cs="Times New Roman" w:eastAsia="Times New Roman" w:hAnsi="Times New Roman"/>
                <w:sz w:val="18"/>
                <w:szCs w:val="18"/>
                <w:color w:val="0000EE"/>
                <w:w w:val="99"/>
              </w:rPr>
              <w:t>Press Release—NIO Announces RMB3.3 Billion Investment in NIO China from Strategic Investors</w:t>
            </w:r>
          </w:p>
        </w:tc>
      </w:tr>
      <w:tr>
        <w:trPr>
          <w:trHeight w:val="696"/>
        </w:trPr>
        <w:tc>
          <w:tcPr>
            <w:tcW w:w="76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0" w:type="dxa"/>
            <w:vAlign w:val="bottom"/>
            <w:tcBorders>
              <w:top w:val="single" w:sz="8" w:color="0000EE"/>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/s/ Yu Qu</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6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Announces RMB3.3 Billion Investment in NIO China from Strategic Investors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SHANGHAI, China, September 29, 2024 (GLOBE NEWSWIRE) -- NIO Inc. (NYSE: NIO; HKEX: 9866; SGX: NIO) (“NIO” or the “Company”), a pioneer and a leading company in the global smart electric vehicle market, today announced that it has entered into definitive agreements for investment in NIO Holding Co., Ltd., a PRC subsidiary in which it holds 92.1% controlling equity interest (“NIO China”), with Hefei Jianheng New Energy Automobile Investment Fund Partnership (Limited Partnership), Anhui Provincial Emerging Industry Investment Co., Ltd. and CS Capital Co., Ltd. (collectively, the “Strategic Investors”), pursuant to which the Strategic Investors will invest an aggregate of RMB3.3 billion in cash (the “Strategic Investment Amount”) to subscribe for newly issued shares of NIO China. Concurrently, NIO will invest an aggregate of RMB10 billion in cash (the “NIO Investment Amount”) to subscribe for newly issued shares of NIO China (collectively, the “Investment Transaction”). Upon completion of the Investment Transaction, NIO will hold 88.3% of controlling equity interest in NIO China, while the Strategic Investors together with the other existing shareholders will collectively hold the remaining 11.7% of equity interest in NIO China.</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NIO Investment Amount, NIO also has the right to invest an additional RMB20 billion to subscribe for additional shares in NIO China by December 31, 2025 based on the same price and terms of the Investment Transaction.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Investment Transaction is subject to regulatory and internal approvals, as well as the satisfaction of customary closing conditions. The Strategic Investors and NIO will each inject cash into NIO China in two installments, with 70% of the Strategic Investment Amount and NIO Investment Amount to be made by the end of November 2024, with the remaining 30% to be made by the end of December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investment not only demonstrates the strategic investors’ firm support for the high-quality development of the electric vehicle industry but also underscores their strong recognition of NIO’s unique values and industry leadership. With an enhanced balance sheet, NIO is strategically positioned to maintain its long-term advantages in technology, products, services, and user community, promote its multi-brand strategy and penetrate broader markets, and propel the Company into the next stage of sustainable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NIO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and family-oriented smart electric vehicles through the ONVO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2024-09-30T05:31:07Z</dcterms:created>
  <dcterms:modified xsi:type="dcterms:W3CDTF">2024-09-30T05:31:07Z</dcterms:modified>
</cp:coreProperties>
</file>