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32"/>
          <w:szCs w:val="32"/>
          <w:b w:val="1"/>
          <w:bCs w:val="1"/>
          <w:color w:val="auto"/>
        </w:rPr>
        <w:t>SCHEDULE 13D</w:t>
      </w:r>
    </w:p>
    <w:p>
      <w:pPr>
        <w:spacing w:after="0" w:line="228"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0"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40"/>
          <w:szCs w:val="40"/>
          <w:b w:val="1"/>
          <w:bCs w:val="1"/>
          <w:color w:val="auto"/>
        </w:rPr>
        <w:t>NIO Inc.</w:t>
      </w:r>
    </w:p>
    <w:p>
      <w:pPr>
        <w:spacing w:after="0" w:line="41"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1"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Class A Ordinary Shares, par value $0.00025 per share</w:t>
      </w:r>
    </w:p>
    <w:p>
      <w:pPr>
        <w:spacing w:after="0" w:line="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188"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62914V106**</w:t>
      </w:r>
    </w:p>
    <w:p>
      <w:pPr>
        <w:spacing w:after="0" w:line="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(CUSIP Number)</w:t>
      </w:r>
    </w:p>
    <w:p>
      <w:pPr>
        <w:spacing w:after="0" w:line="188"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CYVN Investments RSC Ltd</w:t>
      </w:r>
    </w:p>
    <w:p>
      <w:pPr>
        <w:spacing w:after="0" w:line="31"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Samer Salah Abdelhaq</w:t>
      </w:r>
    </w:p>
    <w:p>
      <w:pPr>
        <w:spacing w:after="0" w:line="9"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Office at 9th Floor, Level 9, Al Khatem Tower</w:t>
      </w:r>
    </w:p>
    <w:p>
      <w:pPr>
        <w:spacing w:after="0" w:line="9"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Abu Dhabi Global Market Square</w:t>
      </w:r>
    </w:p>
    <w:p>
      <w:pPr>
        <w:spacing w:after="0" w:line="9"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Al Maryah Island, Abu Dhabi, United Arab Emirates</w:t>
      </w:r>
    </w:p>
    <w:p>
      <w:pPr>
        <w:spacing w:after="0" w:line="9"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+971 56 418 1611</w:t>
      </w:r>
    </w:p>
    <w:p>
      <w:pPr>
        <w:spacing w:after="0" w:line="2"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(Name, Address and Telephone Number of Person Authorized to Receive Notices and Communications)</w:t>
      </w:r>
    </w:p>
    <w:p>
      <w:pPr>
        <w:spacing w:after="0" w:line="188"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December 18, 2023</w:t>
      </w:r>
    </w:p>
    <w:p>
      <w:pPr>
        <w:spacing w:after="0" w:line="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ind w:left="4" w:right="120"/>
        <w:spacing w:after="0" w:line="239"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 Rule 13d-1(e), Rule 13d-1(f) or Rule 13d-1(g), check the following box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145415</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41" w:lineRule="exact"/>
        <w:rPr>
          <w:sz w:val="24"/>
          <w:szCs w:val="24"/>
          <w:color w:val="auto"/>
        </w:rPr>
      </w:pPr>
    </w:p>
    <w:p>
      <w:pPr>
        <w:ind w:left="4" w:right="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Note: </w:t>
      </w:r>
      <w:r>
        <w:rPr>
          <w:rFonts w:ascii="Times New Roman" w:cs="Times New Roman" w:eastAsia="Times New Roman" w:hAnsi="Times New Roman"/>
          <w:sz w:val="18"/>
          <w:szCs w:val="18"/>
          <w:color w:val="auto"/>
        </w:rPr>
        <w:t>Schedules filed in paper format shall include a signed original and five copies of the schedule, including all exhibits. See Rule 13d-1(a) for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parties to 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35560</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14" w:lineRule="exact"/>
        <w:rPr>
          <w:sz w:val="24"/>
          <w:szCs w:val="24"/>
          <w:color w:val="auto"/>
        </w:rPr>
      </w:pPr>
    </w:p>
    <w:p>
      <w:pPr>
        <w:ind w:left="424" w:hanging="424"/>
        <w:spacing w:after="0" w:line="261" w:lineRule="auto"/>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ind w:left="424" w:right="640" w:hanging="424"/>
        <w:spacing w:after="0" w:line="260" w:lineRule="auto"/>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CUSIP number 62914V106 has been assigned to the American Depositary Shares of the Issuer, which are quoted on the New York Stock Exchange under the symbol “NIO.” Each American Depositary Share represents one Class A Ordinary Share.</w:t>
      </w:r>
    </w:p>
    <w:p>
      <w:pPr>
        <w:spacing w:after="0" w:line="181" w:lineRule="exact"/>
        <w:rPr>
          <w:sz w:val="24"/>
          <w:szCs w:val="24"/>
          <w:color w:val="auto"/>
        </w:rPr>
      </w:pPr>
    </w:p>
    <w:p>
      <w:pPr>
        <w:jc w:val="both"/>
        <w:ind w:left="4"/>
        <w:spacing w:after="0" w:line="266"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(the “Exchange Act”) or otherwise subject to the liabilities of that section of the Exchange Act but shall be subject to all other provisions of the Exchange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132080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174625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44"/>
          </w:cols>
          <w:pgMar w:left="436" w:top="376" w:right="519" w:bottom="1440" w:gutter="0" w:footer="0" w:header="0"/>
        </w:sectPr>
      </w:pPr>
    </w:p>
    <w:bookmarkStart w:id="1" w:name="page2"/>
    <w:bookmarkEnd w:id="1"/>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62914V106</w:t>
      </w:r>
    </w:p>
    <w:p>
      <w:pPr>
        <w:spacing w:after="0" w:line="250" w:lineRule="exact"/>
        <w:rPr>
          <w:sz w:val="20"/>
          <w:szCs w:val="20"/>
          <w:color w:val="auto"/>
        </w:rPr>
      </w:pPr>
    </w:p>
    <w:tbl>
      <w:tblPr>
        <w:tblLayout w:type="fixed"/>
        <w:tblInd w:w="14" w:type="dxa"/>
        <w:tblCellMar>
          <w:top w:w="0" w:type="dxa"/>
          <w:left w:w="0" w:type="dxa"/>
          <w:bottom w:w="0" w:type="dxa"/>
          <w:right w:w="0" w:type="dxa"/>
        </w:tblCellMar>
      </w:tblPr>
      <w:tr>
        <w:trPr>
          <w:trHeight w:val="248"/>
        </w:trPr>
        <w:tc>
          <w:tcPr>
            <w:tcW w:w="340" w:type="dxa"/>
            <w:vAlign w:val="bottom"/>
            <w:tcBorders>
              <w:top w:val="single" w:sz="8" w:color="auto"/>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Borders>
              <w:top w:val="single" w:sz="8" w:color="auto"/>
              <w:right w:val="single" w:sz="8" w:color="auto"/>
            </w:tcBorders>
          </w:tcPr>
          <w:p>
            <w:pPr>
              <w:spacing w:after="0"/>
              <w:rPr>
                <w:sz w:val="21"/>
                <w:szCs w:val="21"/>
                <w:color w:val="auto"/>
              </w:rPr>
            </w:pPr>
          </w:p>
        </w:tc>
        <w:tc>
          <w:tcPr>
            <w:tcW w:w="10340" w:type="dxa"/>
            <w:vAlign w:val="bottom"/>
            <w:tcBorders>
              <w:top w:val="single" w:sz="8" w:color="auto"/>
              <w:right w:val="single" w:sz="8" w:color="auto"/>
            </w:tcBorders>
            <w:gridSpan w:val="4"/>
          </w:tcPr>
          <w:p>
            <w:pPr>
              <w:ind w:left="120"/>
              <w:spacing w:after="0"/>
              <w:rPr>
                <w:sz w:val="20"/>
                <w:szCs w:val="20"/>
                <w:color w:val="auto"/>
              </w:rPr>
            </w:pPr>
            <w:r>
              <w:rPr>
                <w:rFonts w:ascii="Times New Roman" w:cs="Times New Roman" w:eastAsia="Times New Roman" w:hAnsi="Times New Roman"/>
                <w:sz w:val="18"/>
                <w:szCs w:val="18"/>
                <w:color w:val="auto"/>
              </w:rPr>
              <w:t>NAME OF REPORTING PERSON</w:t>
            </w: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10340" w:type="dxa"/>
            <w:vAlign w:val="bottom"/>
            <w:tcBorders>
              <w:bottom w:val="single" w:sz="8" w:color="auto"/>
              <w:right w:val="single" w:sz="8" w:color="auto"/>
            </w:tcBorders>
            <w:gridSpan w:val="4"/>
          </w:tcPr>
          <w:p>
            <w:pPr>
              <w:ind w:left="120"/>
              <w:spacing w:after="0"/>
              <w:rPr>
                <w:sz w:val="20"/>
                <w:szCs w:val="20"/>
                <w:color w:val="auto"/>
              </w:rPr>
            </w:pPr>
            <w:r>
              <w:rPr>
                <w:rFonts w:ascii="Times New Roman" w:cs="Times New Roman" w:eastAsia="Times New Roman" w:hAnsi="Times New Roman"/>
                <w:sz w:val="18"/>
                <w:szCs w:val="18"/>
                <w:color w:val="auto"/>
              </w:rPr>
              <w:t>CYVN Investments RSC Ltd</w:t>
            </w:r>
          </w:p>
        </w:tc>
        <w:tc>
          <w:tcPr>
            <w:tcW w:w="0" w:type="dxa"/>
            <w:vAlign w:val="bottom"/>
          </w:tcPr>
          <w:p>
            <w:pPr>
              <w:spacing w:after="0"/>
              <w:rPr>
                <w:sz w:val="1"/>
                <w:szCs w:val="1"/>
                <w:color w:val="auto"/>
              </w:rPr>
            </w:pPr>
          </w:p>
        </w:tc>
      </w:tr>
      <w:tr>
        <w:trPr>
          <w:trHeight w:val="162"/>
        </w:trPr>
        <w:tc>
          <w:tcPr>
            <w:tcW w:w="340" w:type="dxa"/>
            <w:vAlign w:val="bottom"/>
            <w:tcBorders>
              <w:left w:val="single" w:sz="8" w:color="auto"/>
            </w:tcBorders>
          </w:tcPr>
          <w:p>
            <w:pPr>
              <w:jc w:val="right"/>
              <w:spacing w:after="0" w:line="162" w:lineRule="exact"/>
              <w:rPr>
                <w:sz w:val="20"/>
                <w:szCs w:val="20"/>
                <w:color w:val="auto"/>
              </w:rPr>
            </w:pPr>
            <w:r>
              <w:rPr>
                <w:rFonts w:ascii="Times New Roman" w:cs="Times New Roman" w:eastAsia="Times New Roman" w:hAnsi="Times New Roman"/>
                <w:sz w:val="18"/>
                <w:szCs w:val="18"/>
                <w:color w:val="auto"/>
              </w:rPr>
              <w:t>2</w:t>
            </w:r>
          </w:p>
        </w:tc>
        <w:tc>
          <w:tcPr>
            <w:tcW w:w="240" w:type="dxa"/>
            <w:vAlign w:val="bottom"/>
            <w:tcBorders>
              <w:right w:val="single" w:sz="8" w:color="auto"/>
            </w:tcBorders>
          </w:tcPr>
          <w:p>
            <w:pPr>
              <w:spacing w:after="0"/>
              <w:rPr>
                <w:sz w:val="14"/>
                <w:szCs w:val="14"/>
                <w:color w:val="auto"/>
              </w:rPr>
            </w:pPr>
          </w:p>
        </w:tc>
        <w:tc>
          <w:tcPr>
            <w:tcW w:w="10340" w:type="dxa"/>
            <w:vAlign w:val="bottom"/>
            <w:tcBorders>
              <w:right w:val="single" w:sz="8" w:color="auto"/>
            </w:tcBorders>
            <w:gridSpan w:val="4"/>
          </w:tcPr>
          <w:p>
            <w:pPr>
              <w:ind w:left="120"/>
              <w:spacing w:after="0" w:line="162"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0" w:type="dxa"/>
            <w:vAlign w:val="bottom"/>
          </w:tcPr>
          <w:p>
            <w:pPr>
              <w:spacing w:after="0"/>
              <w:rPr>
                <w:sz w:val="1"/>
                <w:szCs w:val="1"/>
                <w:color w:val="auto"/>
              </w:rPr>
            </w:pPr>
          </w:p>
        </w:tc>
      </w:tr>
      <w:tr>
        <w:trPr>
          <w:trHeight w:val="303"/>
        </w:trPr>
        <w:tc>
          <w:tcPr>
            <w:tcW w:w="340" w:type="dxa"/>
            <w:vAlign w:val="bottom"/>
            <w:tcBorders>
              <w:left w:val="single" w:sz="8" w:color="auto"/>
            </w:tcBorders>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1420" w:type="dxa"/>
            <w:vAlign w:val="bottom"/>
            <w:gridSpan w:val="3"/>
          </w:tcPr>
          <w:p>
            <w:pPr>
              <w:ind w:left="12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89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bottom w:val="single" w:sz="8" w:color="auto"/>
            </w:tcBorders>
          </w:tcPr>
          <w:p>
            <w:pPr>
              <w:spacing w:after="0"/>
              <w:rPr>
                <w:sz w:val="19"/>
                <w:szCs w:val="19"/>
                <w:color w:val="auto"/>
              </w:rPr>
            </w:pPr>
          </w:p>
        </w:tc>
        <w:tc>
          <w:tcPr>
            <w:tcW w:w="240" w:type="dxa"/>
            <w:vAlign w:val="bottom"/>
            <w:tcBorders>
              <w:bottom w:val="single" w:sz="8" w:color="auto"/>
              <w:right w:val="single" w:sz="8" w:color="auto"/>
            </w:tcBorders>
          </w:tcPr>
          <w:p>
            <w:pPr>
              <w:spacing w:after="0"/>
              <w:rPr>
                <w:sz w:val="19"/>
                <w:szCs w:val="19"/>
                <w:color w:val="auto"/>
              </w:rPr>
            </w:pPr>
          </w:p>
        </w:tc>
        <w:tc>
          <w:tcPr>
            <w:tcW w:w="1420" w:type="dxa"/>
            <w:vAlign w:val="bottom"/>
            <w:tcBorders>
              <w:bottom w:val="single" w:sz="8" w:color="auto"/>
            </w:tcBorders>
            <w:gridSpan w:val="3"/>
          </w:tcPr>
          <w:p>
            <w:pPr>
              <w:spacing w:after="0"/>
              <w:rPr>
                <w:sz w:val="19"/>
                <w:szCs w:val="19"/>
                <w:color w:val="auto"/>
              </w:rPr>
            </w:pPr>
          </w:p>
        </w:tc>
        <w:tc>
          <w:tcPr>
            <w:tcW w:w="89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Borders>
              <w:right w:val="single" w:sz="8" w:color="auto"/>
            </w:tcBorders>
          </w:tcPr>
          <w:p>
            <w:pPr>
              <w:spacing w:after="0"/>
              <w:rPr>
                <w:sz w:val="19"/>
                <w:szCs w:val="19"/>
                <w:color w:val="auto"/>
              </w:rPr>
            </w:pPr>
          </w:p>
        </w:tc>
        <w:tc>
          <w:tcPr>
            <w:tcW w:w="14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w w:val="99"/>
              </w:rPr>
              <w:t>SEC USE ONLY</w:t>
            </w:r>
          </w:p>
        </w:tc>
        <w:tc>
          <w:tcPr>
            <w:tcW w:w="89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4"/>
        </w:trPr>
        <w:tc>
          <w:tcPr>
            <w:tcW w:w="340" w:type="dxa"/>
            <w:vAlign w:val="bottom"/>
            <w:tcBorders>
              <w:left w:val="single" w:sz="8" w:color="auto"/>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10340" w:type="dxa"/>
            <w:vAlign w:val="bottom"/>
            <w:tcBorders>
              <w:bottom w:val="single" w:sz="8" w:color="auto"/>
              <w:right w:val="single" w:sz="8" w:color="auto"/>
            </w:tcBorders>
            <w:gridSpan w:val="4"/>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Borders>
              <w:right w:val="single" w:sz="8" w:color="auto"/>
            </w:tcBorders>
          </w:tcPr>
          <w:p>
            <w:pPr>
              <w:spacing w:after="0"/>
              <w:rPr>
                <w:sz w:val="19"/>
                <w:szCs w:val="19"/>
                <w:color w:val="auto"/>
              </w:rPr>
            </w:pPr>
          </w:p>
        </w:tc>
        <w:tc>
          <w:tcPr>
            <w:tcW w:w="10340" w:type="dxa"/>
            <w:vAlign w:val="bottom"/>
            <w:tcBorders>
              <w:right w:val="single" w:sz="8" w:color="auto"/>
            </w:tcBorders>
            <w:gridSpan w:val="4"/>
          </w:tcPr>
          <w:p>
            <w:pPr>
              <w:ind w:left="120"/>
              <w:spacing w:after="0"/>
              <w:rPr>
                <w:sz w:val="20"/>
                <w:szCs w:val="20"/>
                <w:color w:val="auto"/>
              </w:rPr>
            </w:pPr>
            <w:r>
              <w:rPr>
                <w:rFonts w:ascii="Times New Roman" w:cs="Times New Roman" w:eastAsia="Times New Roman" w:hAnsi="Times New Roman"/>
                <w:sz w:val="18"/>
                <w:szCs w:val="18"/>
                <w:color w:val="auto"/>
              </w:rPr>
              <w:t>SOURCE OF FUNDS</w:t>
            </w: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1060" w:type="dxa"/>
            <w:vAlign w:val="bottom"/>
            <w:tcBorders>
              <w:bottom w:val="single" w:sz="8" w:color="auto"/>
            </w:tcBorders>
            <w:gridSpan w:val="2"/>
          </w:tcPr>
          <w:p>
            <w:pPr>
              <w:ind w:left="300"/>
              <w:spacing w:after="0"/>
              <w:rPr>
                <w:sz w:val="20"/>
                <w:szCs w:val="20"/>
                <w:color w:val="auto"/>
              </w:rPr>
            </w:pPr>
            <w:r>
              <w:rPr>
                <w:rFonts w:ascii="Times New Roman" w:cs="Times New Roman" w:eastAsia="Times New Roman" w:hAnsi="Times New Roman"/>
                <w:sz w:val="18"/>
                <w:szCs w:val="18"/>
                <w:color w:val="auto"/>
              </w:rPr>
              <w:t>OO</w:t>
            </w:r>
          </w:p>
        </w:tc>
        <w:tc>
          <w:tcPr>
            <w:tcW w:w="360" w:type="dxa"/>
            <w:vAlign w:val="bottom"/>
            <w:tcBorders>
              <w:bottom w:val="single" w:sz="8" w:color="auto"/>
            </w:tcBorders>
          </w:tcPr>
          <w:p>
            <w:pPr>
              <w:spacing w:after="0"/>
              <w:rPr>
                <w:sz w:val="24"/>
                <w:szCs w:val="24"/>
                <w:color w:val="auto"/>
              </w:rPr>
            </w:pPr>
          </w:p>
        </w:tc>
        <w:tc>
          <w:tcPr>
            <w:tcW w:w="89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Borders>
              <w:right w:val="single" w:sz="8" w:color="auto"/>
            </w:tcBorders>
          </w:tcPr>
          <w:p>
            <w:pPr>
              <w:spacing w:after="0"/>
              <w:rPr>
                <w:sz w:val="24"/>
                <w:szCs w:val="24"/>
                <w:color w:val="auto"/>
              </w:rPr>
            </w:pPr>
          </w:p>
        </w:tc>
        <w:tc>
          <w:tcPr>
            <w:tcW w:w="10340" w:type="dxa"/>
            <w:vAlign w:val="bottom"/>
            <w:tcBorders>
              <w:right w:val="single" w:sz="8" w:color="auto"/>
            </w:tcBorders>
            <w:gridSpan w:val="4"/>
          </w:tcPr>
          <w:p>
            <w:pPr>
              <w:ind w:left="120"/>
              <w:spacing w:after="0" w:line="207" w:lineRule="exact"/>
              <w:rPr>
                <w:sz w:val="20"/>
                <w:szCs w:val="20"/>
                <w:color w:val="auto"/>
              </w:rPr>
            </w:pPr>
            <w:r>
              <w:rPr>
                <w:rFonts w:ascii="Times New Roman" w:cs="Times New Roman" w:eastAsia="Times New Roman" w:hAnsi="Times New Roman"/>
                <w:sz w:val="18"/>
                <w:szCs w:val="18"/>
                <w:color w:val="auto"/>
              </w:rPr>
              <w:t xml:space="preserve">CHECK BOX IF DISCLOSURE OF LEGAL PROCEEDINGS IS REQUIRED PURSUANT TO ITEMS 2(d) or 2(e)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86"/>
        </w:trPr>
        <w:tc>
          <w:tcPr>
            <w:tcW w:w="340" w:type="dxa"/>
            <w:vAlign w:val="bottom"/>
            <w:tcBorders>
              <w:left w:val="single" w:sz="8" w:color="auto"/>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10340" w:type="dxa"/>
            <w:vAlign w:val="bottom"/>
            <w:tcBorders>
              <w:bottom w:val="single" w:sz="8" w:color="auto"/>
              <w:right w:val="single" w:sz="8" w:color="auto"/>
            </w:tcBorders>
            <w:gridSpan w:val="4"/>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tcBorders>
              <w:right w:val="single" w:sz="8" w:color="auto"/>
            </w:tcBorders>
          </w:tcPr>
          <w:p>
            <w:pPr>
              <w:spacing w:after="0"/>
              <w:rPr>
                <w:sz w:val="19"/>
                <w:szCs w:val="19"/>
                <w:color w:val="auto"/>
              </w:rPr>
            </w:pPr>
          </w:p>
        </w:tc>
        <w:tc>
          <w:tcPr>
            <w:tcW w:w="10340" w:type="dxa"/>
            <w:vAlign w:val="bottom"/>
            <w:tcBorders>
              <w:right w:val="single" w:sz="8" w:color="auto"/>
            </w:tcBorders>
            <w:gridSpan w:val="4"/>
          </w:tcPr>
          <w:p>
            <w:pPr>
              <w:ind w:left="12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10340" w:type="dxa"/>
            <w:vAlign w:val="bottom"/>
            <w:tcBorders>
              <w:bottom w:val="single" w:sz="8" w:color="auto"/>
              <w:right w:val="single" w:sz="8" w:color="auto"/>
            </w:tcBorders>
            <w:gridSpan w:val="4"/>
          </w:tcPr>
          <w:p>
            <w:pPr>
              <w:ind w:left="120"/>
              <w:spacing w:after="0"/>
              <w:rPr>
                <w:sz w:val="20"/>
                <w:szCs w:val="20"/>
                <w:color w:val="auto"/>
              </w:rPr>
            </w:pPr>
            <w:r>
              <w:rPr>
                <w:rFonts w:ascii="Times New Roman" w:cs="Times New Roman" w:eastAsia="Times New Roman" w:hAnsi="Times New Roman"/>
                <w:sz w:val="18"/>
                <w:szCs w:val="18"/>
                <w:color w:val="auto"/>
              </w:rPr>
              <w:t>Abu Dhabi Global Market, Abu Dhabi, United Arab Emirates</w:t>
            </w:r>
          </w:p>
        </w:tc>
        <w:tc>
          <w:tcPr>
            <w:tcW w:w="0" w:type="dxa"/>
            <w:vAlign w:val="bottom"/>
          </w:tcPr>
          <w:p>
            <w:pPr>
              <w:spacing w:after="0"/>
              <w:rPr>
                <w:sz w:val="1"/>
                <w:szCs w:val="1"/>
                <w:color w:val="auto"/>
              </w:rPr>
            </w:pPr>
          </w:p>
        </w:tc>
      </w:tr>
      <w:tr>
        <w:trPr>
          <w:trHeight w:val="234"/>
        </w:trPr>
        <w:tc>
          <w:tcPr>
            <w:tcW w:w="340" w:type="dxa"/>
            <w:vAlign w:val="bottom"/>
            <w:tcBorders>
              <w:lef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89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387"/>
        </w:trPr>
        <w:tc>
          <w:tcPr>
            <w:tcW w:w="1560" w:type="dxa"/>
            <w:vAlign w:val="bottom"/>
            <w:tcBorders>
              <w:left w:val="single" w:sz="8" w:color="auto"/>
              <w:right w:val="single" w:sz="8" w:color="auto"/>
            </w:tcBorders>
            <w:gridSpan w:val="3"/>
          </w:tcPr>
          <w:p>
            <w:pPr>
              <w:jc w:val="center"/>
              <w:ind w:left="50"/>
              <w:spacing w:after="0"/>
              <w:rPr>
                <w:sz w:val="20"/>
                <w:szCs w:val="20"/>
                <w:color w:val="auto"/>
              </w:rPr>
            </w:pPr>
            <w:r>
              <w:rPr>
                <w:rFonts w:ascii="Times New Roman" w:cs="Times New Roman" w:eastAsia="Times New Roman" w:hAnsi="Times New Roman"/>
                <w:sz w:val="18"/>
                <w:szCs w:val="18"/>
                <w:color w:val="auto"/>
              </w:rPr>
              <w:t>NUMBER OF</w:t>
            </w:r>
          </w:p>
        </w:tc>
        <w:tc>
          <w:tcPr>
            <w:tcW w:w="80" w:type="dxa"/>
            <w:vAlign w:val="bottom"/>
          </w:tcPr>
          <w:p>
            <w:pPr>
              <w:spacing w:after="0"/>
              <w:rPr>
                <w:sz w:val="24"/>
                <w:szCs w:val="24"/>
                <w:color w:val="auto"/>
              </w:rPr>
            </w:pPr>
          </w:p>
        </w:tc>
        <w:tc>
          <w:tcPr>
            <w:tcW w:w="360" w:type="dxa"/>
            <w:vAlign w:val="bottom"/>
            <w:tcBorders>
              <w:right w:val="single" w:sz="8" w:color="auto"/>
            </w:tcBorders>
          </w:tcPr>
          <w:p>
            <w:pPr>
              <w:spacing w:after="0"/>
              <w:rPr>
                <w:sz w:val="24"/>
                <w:szCs w:val="24"/>
                <w:color w:val="auto"/>
              </w:rPr>
            </w:pPr>
          </w:p>
        </w:tc>
        <w:tc>
          <w:tcPr>
            <w:tcW w:w="89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124,833,157</w:t>
            </w:r>
          </w:p>
        </w:tc>
        <w:tc>
          <w:tcPr>
            <w:tcW w:w="0" w:type="dxa"/>
            <w:vAlign w:val="bottom"/>
          </w:tcPr>
          <w:p>
            <w:pPr>
              <w:spacing w:after="0"/>
              <w:rPr>
                <w:sz w:val="1"/>
                <w:szCs w:val="1"/>
                <w:color w:val="auto"/>
              </w:rPr>
            </w:pPr>
          </w:p>
        </w:tc>
      </w:tr>
      <w:tr>
        <w:trPr>
          <w:trHeight w:val="68"/>
        </w:trPr>
        <w:tc>
          <w:tcPr>
            <w:tcW w:w="340" w:type="dxa"/>
            <w:vAlign w:val="bottom"/>
            <w:tcBorders>
              <w:left w:val="single" w:sz="8" w:color="auto"/>
            </w:tcBorders>
          </w:tcPr>
          <w:p>
            <w:pPr>
              <w:spacing w:after="0"/>
              <w:rPr>
                <w:sz w:val="5"/>
                <w:szCs w:val="5"/>
                <w:color w:val="auto"/>
              </w:rPr>
            </w:pPr>
          </w:p>
        </w:tc>
        <w:tc>
          <w:tcPr>
            <w:tcW w:w="1220" w:type="dxa"/>
            <w:vAlign w:val="bottom"/>
            <w:tcBorders>
              <w:right w:val="single" w:sz="8" w:color="auto"/>
            </w:tcBorders>
            <w:gridSpan w:val="2"/>
            <w:vMerge w:val="restart"/>
          </w:tcPr>
          <w:p>
            <w:pPr>
              <w:jc w:val="center"/>
              <w:ind w:right="114"/>
              <w:spacing w:after="0"/>
              <w:rPr>
                <w:sz w:val="20"/>
                <w:szCs w:val="20"/>
                <w:color w:val="auto"/>
              </w:rPr>
            </w:pPr>
            <w:r>
              <w:rPr>
                <w:rFonts w:ascii="Times New Roman" w:cs="Times New Roman" w:eastAsia="Times New Roman" w:hAnsi="Times New Roman"/>
                <w:sz w:val="18"/>
                <w:szCs w:val="18"/>
                <w:color w:val="auto"/>
              </w:rPr>
              <w:t>SHARES</w:t>
            </w:r>
          </w:p>
        </w:tc>
        <w:tc>
          <w:tcPr>
            <w:tcW w:w="80" w:type="dxa"/>
            <w:vAlign w:val="bottom"/>
            <w:tcBorders>
              <w:bottom w:val="single" w:sz="8" w:color="auto"/>
            </w:tcBorders>
          </w:tcPr>
          <w:p>
            <w:pPr>
              <w:spacing w:after="0"/>
              <w:rPr>
                <w:sz w:val="5"/>
                <w:szCs w:val="5"/>
                <w:color w:val="auto"/>
              </w:rPr>
            </w:pPr>
          </w:p>
        </w:tc>
        <w:tc>
          <w:tcPr>
            <w:tcW w:w="360" w:type="dxa"/>
            <w:vAlign w:val="bottom"/>
            <w:tcBorders>
              <w:bottom w:val="single" w:sz="8" w:color="auto"/>
              <w:right w:val="single" w:sz="8" w:color="auto"/>
            </w:tcBorders>
          </w:tcPr>
          <w:p>
            <w:pPr>
              <w:spacing w:after="0"/>
              <w:rPr>
                <w:sz w:val="5"/>
                <w:szCs w:val="5"/>
                <w:color w:val="auto"/>
              </w:rPr>
            </w:pPr>
          </w:p>
        </w:tc>
        <w:tc>
          <w:tcPr>
            <w:tcW w:w="89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340" w:type="dxa"/>
            <w:vAlign w:val="bottom"/>
            <w:tcBorders>
              <w:left w:val="single" w:sz="8" w:color="auto"/>
            </w:tcBorders>
          </w:tcPr>
          <w:p>
            <w:pPr>
              <w:spacing w:after="0"/>
              <w:rPr>
                <w:sz w:val="10"/>
                <w:szCs w:val="10"/>
                <w:color w:val="auto"/>
              </w:rPr>
            </w:pPr>
          </w:p>
        </w:tc>
        <w:tc>
          <w:tcPr>
            <w:tcW w:w="1220" w:type="dxa"/>
            <w:vAlign w:val="bottom"/>
            <w:tcBorders>
              <w:right w:val="single" w:sz="8" w:color="auto"/>
            </w:tcBorders>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Borders>
              <w:right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892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04"/>
        </w:trPr>
        <w:tc>
          <w:tcPr>
            <w:tcW w:w="1560" w:type="dxa"/>
            <w:vAlign w:val="bottom"/>
            <w:tcBorders>
              <w:left w:val="single" w:sz="8" w:color="auto"/>
              <w:right w:val="single" w:sz="8" w:color="auto"/>
            </w:tcBorders>
            <w:gridSpan w:val="3"/>
            <w:vMerge w:val="restart"/>
          </w:tcPr>
          <w:p>
            <w:pPr>
              <w:jc w:val="center"/>
              <w:ind w:left="10"/>
              <w:spacing w:after="0"/>
              <w:rPr>
                <w:sz w:val="20"/>
                <w:szCs w:val="20"/>
                <w:color w:val="auto"/>
              </w:rPr>
            </w:pPr>
            <w:r>
              <w:rPr>
                <w:rFonts w:ascii="Times New Roman" w:cs="Times New Roman" w:eastAsia="Times New Roman" w:hAnsi="Times New Roman"/>
                <w:sz w:val="18"/>
                <w:szCs w:val="18"/>
                <w:color w:val="auto"/>
                <w:w w:val="97"/>
              </w:rPr>
              <w:t>BENEFICIALLY</w:t>
            </w:r>
          </w:p>
        </w:tc>
        <w:tc>
          <w:tcPr>
            <w:tcW w:w="80" w:type="dxa"/>
            <w:vAlign w:val="bottom"/>
          </w:tcPr>
          <w:p>
            <w:pPr>
              <w:spacing w:after="0"/>
              <w:rPr>
                <w:sz w:val="9"/>
                <w:szCs w:val="9"/>
                <w:color w:val="auto"/>
              </w:rPr>
            </w:pPr>
          </w:p>
        </w:tc>
        <w:tc>
          <w:tcPr>
            <w:tcW w:w="360" w:type="dxa"/>
            <w:vAlign w:val="bottom"/>
            <w:tcBorders>
              <w:right w:val="single" w:sz="8" w:color="auto"/>
            </w:tcBorders>
            <w:vMerge w:val="continue"/>
          </w:tcPr>
          <w:p>
            <w:pPr>
              <w:spacing w:after="0"/>
              <w:rPr>
                <w:sz w:val="9"/>
                <w:szCs w:val="9"/>
                <w:color w:val="auto"/>
              </w:rPr>
            </w:pPr>
          </w:p>
        </w:tc>
        <w:tc>
          <w:tcPr>
            <w:tcW w:w="89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560" w:type="dxa"/>
            <w:vAlign w:val="bottom"/>
            <w:tcBorders>
              <w:left w:val="single" w:sz="8" w:color="auto"/>
              <w:right w:val="single" w:sz="8" w:color="auto"/>
            </w:tcBorders>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Borders>
              <w:right w:val="single" w:sz="8" w:color="auto"/>
            </w:tcBorders>
          </w:tcPr>
          <w:p>
            <w:pPr>
              <w:spacing w:after="0"/>
              <w:rPr>
                <w:sz w:val="9"/>
                <w:szCs w:val="9"/>
                <w:color w:val="auto"/>
              </w:rPr>
            </w:pPr>
          </w:p>
        </w:tc>
        <w:tc>
          <w:tcPr>
            <w:tcW w:w="89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1220" w:type="dxa"/>
            <w:vAlign w:val="bottom"/>
            <w:tcBorders>
              <w:right w:val="single" w:sz="8" w:color="auto"/>
            </w:tcBorders>
            <w:gridSpan w:val="2"/>
          </w:tcPr>
          <w:p>
            <w:pPr>
              <w:jc w:val="center"/>
              <w:ind w:right="114"/>
              <w:spacing w:after="0"/>
              <w:rPr>
                <w:sz w:val="20"/>
                <w:szCs w:val="20"/>
                <w:color w:val="auto"/>
              </w:rPr>
            </w:pPr>
            <w:r>
              <w:rPr>
                <w:rFonts w:ascii="Times New Roman" w:cs="Times New Roman" w:eastAsia="Times New Roman" w:hAnsi="Times New Roman"/>
                <w:sz w:val="18"/>
                <w:szCs w:val="18"/>
                <w:color w:val="auto"/>
              </w:rPr>
              <w:t>OWNED BY</w:t>
            </w:r>
          </w:p>
        </w:tc>
        <w:tc>
          <w:tcPr>
            <w:tcW w:w="8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892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20"/>
        </w:trPr>
        <w:tc>
          <w:tcPr>
            <w:tcW w:w="340" w:type="dxa"/>
            <w:vAlign w:val="bottom"/>
            <w:tcBorders>
              <w:left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980" w:type="dxa"/>
            <w:vAlign w:val="bottom"/>
            <w:tcBorders>
              <w:right w:val="single" w:sz="8" w:color="auto"/>
            </w:tcBorders>
            <w:vMerge w:val="restart"/>
          </w:tcPr>
          <w:p>
            <w:pPr>
              <w:jc w:val="center"/>
              <w:ind w:right="354"/>
              <w:spacing w:after="0"/>
              <w:rPr>
                <w:sz w:val="20"/>
                <w:szCs w:val="20"/>
                <w:color w:val="auto"/>
              </w:rPr>
            </w:pPr>
            <w:r>
              <w:rPr>
                <w:rFonts w:ascii="Times New Roman" w:cs="Times New Roman" w:eastAsia="Times New Roman" w:hAnsi="Times New Roman"/>
                <w:sz w:val="18"/>
                <w:szCs w:val="18"/>
                <w:color w:val="auto"/>
              </w:rPr>
              <w:t>EACH</w:t>
            </w:r>
          </w:p>
        </w:tc>
        <w:tc>
          <w:tcPr>
            <w:tcW w:w="80" w:type="dxa"/>
            <w:vAlign w:val="bottom"/>
            <w:tcBorders>
              <w:bottom w:val="single" w:sz="8" w:color="auto"/>
            </w:tcBorders>
          </w:tcPr>
          <w:p>
            <w:pPr>
              <w:spacing w:after="0"/>
              <w:rPr>
                <w:sz w:val="10"/>
                <w:szCs w:val="10"/>
                <w:color w:val="auto"/>
              </w:rPr>
            </w:pPr>
          </w:p>
        </w:tc>
        <w:tc>
          <w:tcPr>
            <w:tcW w:w="360" w:type="dxa"/>
            <w:vAlign w:val="bottom"/>
            <w:tcBorders>
              <w:bottom w:val="single" w:sz="8" w:color="auto"/>
              <w:right w:val="single" w:sz="8" w:color="auto"/>
            </w:tcBorders>
          </w:tcPr>
          <w:p>
            <w:pPr>
              <w:spacing w:after="0"/>
              <w:rPr>
                <w:sz w:val="10"/>
                <w:szCs w:val="10"/>
                <w:color w:val="auto"/>
              </w:rPr>
            </w:pPr>
          </w:p>
        </w:tc>
        <w:tc>
          <w:tcPr>
            <w:tcW w:w="892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340" w:type="dxa"/>
            <w:vAlign w:val="bottom"/>
            <w:tcBorders>
              <w:left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980" w:type="dxa"/>
            <w:vAlign w:val="bottom"/>
            <w:tcBorders>
              <w:right w:val="single" w:sz="8" w:color="auto"/>
            </w:tcBorders>
            <w:vMerge w:val="continue"/>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Borders>
              <w:right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c>
          <w:tcPr>
            <w:tcW w:w="892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58"/>
        </w:trPr>
        <w:tc>
          <w:tcPr>
            <w:tcW w:w="340" w:type="dxa"/>
            <w:vAlign w:val="bottom"/>
            <w:tcBorders>
              <w:left w:val="single" w:sz="8" w:color="auto"/>
            </w:tcBorders>
          </w:tcPr>
          <w:p>
            <w:pPr>
              <w:spacing w:after="0"/>
              <w:rPr>
                <w:sz w:val="13"/>
                <w:szCs w:val="13"/>
                <w:color w:val="auto"/>
              </w:rPr>
            </w:pPr>
          </w:p>
        </w:tc>
        <w:tc>
          <w:tcPr>
            <w:tcW w:w="1220" w:type="dxa"/>
            <w:vAlign w:val="bottom"/>
            <w:tcBorders>
              <w:right w:val="single" w:sz="8" w:color="auto"/>
            </w:tcBorders>
            <w:gridSpan w:val="2"/>
            <w:vMerge w:val="restart"/>
          </w:tcPr>
          <w:p>
            <w:pPr>
              <w:jc w:val="center"/>
              <w:ind w:right="94"/>
              <w:spacing w:after="0"/>
              <w:rPr>
                <w:sz w:val="20"/>
                <w:szCs w:val="20"/>
                <w:color w:val="auto"/>
              </w:rPr>
            </w:pPr>
            <w:r>
              <w:rPr>
                <w:rFonts w:ascii="Times New Roman" w:cs="Times New Roman" w:eastAsia="Times New Roman" w:hAnsi="Times New Roman"/>
                <w:sz w:val="18"/>
                <w:szCs w:val="18"/>
                <w:color w:val="auto"/>
                <w:w w:val="98"/>
              </w:rPr>
              <w:t>REPORTING</w:t>
            </w:r>
          </w:p>
        </w:tc>
        <w:tc>
          <w:tcPr>
            <w:tcW w:w="80" w:type="dxa"/>
            <w:vAlign w:val="bottom"/>
          </w:tcPr>
          <w:p>
            <w:pPr>
              <w:spacing w:after="0"/>
              <w:rPr>
                <w:sz w:val="13"/>
                <w:szCs w:val="13"/>
                <w:color w:val="auto"/>
              </w:rPr>
            </w:pPr>
          </w:p>
        </w:tc>
        <w:tc>
          <w:tcPr>
            <w:tcW w:w="360" w:type="dxa"/>
            <w:vAlign w:val="bottom"/>
            <w:tcBorders>
              <w:right w:val="single" w:sz="8" w:color="auto"/>
            </w:tcBorders>
            <w:vMerge w:val="continue"/>
          </w:tcPr>
          <w:p>
            <w:pPr>
              <w:spacing w:after="0"/>
              <w:rPr>
                <w:sz w:val="13"/>
                <w:szCs w:val="13"/>
                <w:color w:val="auto"/>
              </w:rPr>
            </w:pPr>
          </w:p>
        </w:tc>
        <w:tc>
          <w:tcPr>
            <w:tcW w:w="892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340" w:type="dxa"/>
            <w:vAlign w:val="bottom"/>
            <w:tcBorders>
              <w:left w:val="single" w:sz="8" w:color="auto"/>
            </w:tcBorders>
          </w:tcPr>
          <w:p>
            <w:pPr>
              <w:spacing w:after="0"/>
              <w:rPr>
                <w:sz w:val="5"/>
                <w:szCs w:val="5"/>
                <w:color w:val="auto"/>
              </w:rPr>
            </w:pPr>
          </w:p>
        </w:tc>
        <w:tc>
          <w:tcPr>
            <w:tcW w:w="1220" w:type="dxa"/>
            <w:vAlign w:val="bottom"/>
            <w:tcBorders>
              <w:right w:val="single" w:sz="8" w:color="auto"/>
            </w:tcBorders>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Borders>
              <w:right w:val="single" w:sz="8" w:color="auto"/>
            </w:tcBorders>
          </w:tcPr>
          <w:p>
            <w:pPr>
              <w:spacing w:after="0"/>
              <w:rPr>
                <w:sz w:val="5"/>
                <w:szCs w:val="5"/>
                <w:color w:val="auto"/>
              </w:rPr>
            </w:pPr>
          </w:p>
        </w:tc>
        <w:tc>
          <w:tcPr>
            <w:tcW w:w="89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1220" w:type="dxa"/>
            <w:vAlign w:val="bottom"/>
            <w:tcBorders>
              <w:right w:val="single" w:sz="8" w:color="auto"/>
            </w:tcBorders>
            <w:gridSpan w:val="2"/>
          </w:tcPr>
          <w:p>
            <w:pPr>
              <w:jc w:val="center"/>
              <w:ind w:right="114"/>
              <w:spacing w:after="0"/>
              <w:rPr>
                <w:sz w:val="20"/>
                <w:szCs w:val="20"/>
                <w:color w:val="auto"/>
              </w:rPr>
            </w:pPr>
            <w:r>
              <w:rPr>
                <w:rFonts w:ascii="Times New Roman" w:cs="Times New Roman" w:eastAsia="Times New Roman" w:hAnsi="Times New Roman"/>
                <w:sz w:val="18"/>
                <w:szCs w:val="18"/>
                <w:color w:val="auto"/>
              </w:rPr>
              <w:t>PERSON</w:t>
            </w:r>
          </w:p>
        </w:tc>
        <w:tc>
          <w:tcPr>
            <w:tcW w:w="8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892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124,833,157</w:t>
            </w:r>
          </w:p>
        </w:tc>
        <w:tc>
          <w:tcPr>
            <w:tcW w:w="0" w:type="dxa"/>
            <w:vAlign w:val="bottom"/>
          </w:tcPr>
          <w:p>
            <w:pPr>
              <w:spacing w:after="0"/>
              <w:rPr>
                <w:sz w:val="1"/>
                <w:szCs w:val="1"/>
                <w:color w:val="auto"/>
              </w:rPr>
            </w:pPr>
          </w:p>
        </w:tc>
      </w:tr>
      <w:tr>
        <w:trPr>
          <w:trHeight w:val="180"/>
        </w:trPr>
        <w:tc>
          <w:tcPr>
            <w:tcW w:w="340" w:type="dxa"/>
            <w:vAlign w:val="bottom"/>
            <w:tcBorders>
              <w:left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Borders>
              <w:right w:val="single" w:sz="8" w:color="auto"/>
            </w:tcBorders>
          </w:tcPr>
          <w:p>
            <w:pPr>
              <w:jc w:val="center"/>
              <w:ind w:right="354"/>
              <w:spacing w:after="0" w:line="160" w:lineRule="exact"/>
              <w:rPr>
                <w:sz w:val="20"/>
                <w:szCs w:val="20"/>
                <w:color w:val="auto"/>
              </w:rPr>
            </w:pPr>
            <w:r>
              <w:rPr>
                <w:rFonts w:ascii="Times New Roman" w:cs="Times New Roman" w:eastAsia="Times New Roman" w:hAnsi="Times New Roman"/>
                <w:sz w:val="18"/>
                <w:szCs w:val="18"/>
                <w:color w:val="auto"/>
                <w:w w:val="97"/>
              </w:rPr>
              <w:t>WITH</w:t>
            </w:r>
          </w:p>
        </w:tc>
        <w:tc>
          <w:tcPr>
            <w:tcW w:w="80" w:type="dxa"/>
            <w:vAlign w:val="bottom"/>
            <w:tcBorders>
              <w:bottom w:val="single" w:sz="8" w:color="auto"/>
            </w:tcBorders>
          </w:tcPr>
          <w:p>
            <w:pPr>
              <w:spacing w:after="0"/>
              <w:rPr>
                <w:sz w:val="15"/>
                <w:szCs w:val="15"/>
                <w:color w:val="auto"/>
              </w:rPr>
            </w:pPr>
          </w:p>
        </w:tc>
        <w:tc>
          <w:tcPr>
            <w:tcW w:w="360" w:type="dxa"/>
            <w:vAlign w:val="bottom"/>
            <w:tcBorders>
              <w:bottom w:val="single" w:sz="8" w:color="auto"/>
              <w:right w:val="single" w:sz="8" w:color="auto"/>
            </w:tcBorders>
          </w:tcPr>
          <w:p>
            <w:pPr>
              <w:spacing w:after="0"/>
              <w:rPr>
                <w:sz w:val="15"/>
                <w:szCs w:val="15"/>
                <w:color w:val="auto"/>
              </w:rPr>
            </w:pPr>
          </w:p>
        </w:tc>
        <w:tc>
          <w:tcPr>
            <w:tcW w:w="892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89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8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right w:val="single" w:sz="8" w:color="auto"/>
            </w:tcBorders>
          </w:tcPr>
          <w:p>
            <w:pPr>
              <w:spacing w:after="0"/>
              <w:rPr>
                <w:sz w:val="24"/>
                <w:szCs w:val="24"/>
                <w:color w:val="auto"/>
              </w:rPr>
            </w:pPr>
          </w:p>
        </w:tc>
        <w:tc>
          <w:tcPr>
            <w:tcW w:w="89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4"/>
        </w:trPr>
        <w:tc>
          <w:tcPr>
            <w:tcW w:w="580" w:type="dxa"/>
            <w:vAlign w:val="bottom"/>
            <w:tcBorders>
              <w:left w:val="single" w:sz="8" w:color="auto"/>
              <w:right w:val="single" w:sz="8" w:color="auto"/>
            </w:tcBorders>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11</w:t>
            </w:r>
          </w:p>
        </w:tc>
        <w:tc>
          <w:tcPr>
            <w:tcW w:w="14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AGGREGATE</w:t>
            </w:r>
          </w:p>
        </w:tc>
        <w:tc>
          <w:tcPr>
            <w:tcW w:w="89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106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124,833,157</w:t>
            </w:r>
          </w:p>
        </w:tc>
        <w:tc>
          <w:tcPr>
            <w:tcW w:w="360" w:type="dxa"/>
            <w:vAlign w:val="bottom"/>
            <w:tcBorders>
              <w:bottom w:val="single" w:sz="8" w:color="auto"/>
            </w:tcBorders>
          </w:tcPr>
          <w:p>
            <w:pPr>
              <w:spacing w:after="0"/>
              <w:rPr>
                <w:sz w:val="24"/>
                <w:szCs w:val="24"/>
                <w:color w:val="auto"/>
              </w:rPr>
            </w:pPr>
          </w:p>
        </w:tc>
        <w:tc>
          <w:tcPr>
            <w:tcW w:w="89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tcBorders>
              <w:right w:val="single" w:sz="8" w:color="auto"/>
            </w:tcBorders>
          </w:tcPr>
          <w:p>
            <w:pPr>
              <w:spacing w:after="0"/>
              <w:rPr>
                <w:sz w:val="24"/>
                <w:szCs w:val="24"/>
                <w:color w:val="auto"/>
              </w:rPr>
            </w:pPr>
          </w:p>
        </w:tc>
        <w:tc>
          <w:tcPr>
            <w:tcW w:w="10340" w:type="dxa"/>
            <w:vAlign w:val="bottom"/>
            <w:tcBorders>
              <w:right w:val="single" w:sz="8" w:color="auto"/>
            </w:tcBorders>
            <w:gridSpan w:val="4"/>
          </w:tcPr>
          <w:p>
            <w:pPr>
              <w:ind w:left="120"/>
              <w:spacing w:after="0" w:line="207" w:lineRule="exact"/>
              <w:rPr>
                <w:sz w:val="20"/>
                <w:szCs w:val="20"/>
                <w:color w:val="auto"/>
              </w:rPr>
            </w:pPr>
            <w:r>
              <w:rPr>
                <w:rFonts w:ascii="Times New Roman" w:cs="Times New Roman" w:eastAsia="Times New Roman" w:hAnsi="Times New Roman"/>
                <w:sz w:val="18"/>
                <w:szCs w:val="18"/>
                <w:color w:val="auto"/>
              </w:rPr>
              <w:t xml:space="preserve">CHECK BOX IF THE AGGREGATE AMOUNT IN ROW (11) EXCLUDES CERTAIN SHARES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86"/>
        </w:trPr>
        <w:tc>
          <w:tcPr>
            <w:tcW w:w="340" w:type="dxa"/>
            <w:vAlign w:val="bottom"/>
            <w:tcBorders>
              <w:left w:val="single" w:sz="8" w:color="auto"/>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gridSpan w:val="2"/>
          </w:tcPr>
          <w:p>
            <w:pPr>
              <w:spacing w:after="0"/>
              <w:rPr>
                <w:sz w:val="24"/>
                <w:szCs w:val="24"/>
                <w:color w:val="auto"/>
              </w:rPr>
            </w:pPr>
          </w:p>
        </w:tc>
        <w:tc>
          <w:tcPr>
            <w:tcW w:w="89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tcBorders>
              <w:right w:val="single" w:sz="8" w:color="auto"/>
            </w:tcBorders>
          </w:tcPr>
          <w:p>
            <w:pPr>
              <w:spacing w:after="0"/>
              <w:rPr>
                <w:sz w:val="19"/>
                <w:szCs w:val="19"/>
                <w:color w:val="auto"/>
              </w:rPr>
            </w:pPr>
          </w:p>
        </w:tc>
        <w:tc>
          <w:tcPr>
            <w:tcW w:w="10340" w:type="dxa"/>
            <w:vAlign w:val="bottom"/>
            <w:tcBorders>
              <w:right w:val="single" w:sz="8" w:color="auto"/>
            </w:tcBorders>
            <w:gridSpan w:val="4"/>
          </w:tcPr>
          <w:p>
            <w:pPr>
              <w:ind w:left="12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0" w:type="dxa"/>
            <w:vAlign w:val="bottom"/>
          </w:tcPr>
          <w:p>
            <w:pPr>
              <w:spacing w:after="0"/>
              <w:rPr>
                <w:sz w:val="1"/>
                <w:szCs w:val="1"/>
                <w:color w:val="auto"/>
              </w:rPr>
            </w:pPr>
          </w:p>
        </w:tc>
      </w:tr>
      <w:tr>
        <w:trPr>
          <w:trHeight w:val="454"/>
        </w:trPr>
        <w:tc>
          <w:tcPr>
            <w:tcW w:w="340" w:type="dxa"/>
            <w:vAlign w:val="bottom"/>
            <w:tcBorders>
              <w:left w:val="single" w:sz="8" w:color="auto"/>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7.6%</w:t>
            </w:r>
            <w:r>
              <w:rPr>
                <w:rFonts w:ascii="Times New Roman" w:cs="Times New Roman" w:eastAsia="Times New Roman" w:hAnsi="Times New Roman"/>
                <w:sz w:val="26"/>
                <w:szCs w:val="26"/>
                <w:color w:val="auto"/>
                <w:vertAlign w:val="superscript"/>
              </w:rPr>
              <w:t>1</w:t>
            </w: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9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4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tcBorders>
              <w:right w:val="single" w:sz="8" w:color="auto"/>
            </w:tcBorders>
          </w:tcPr>
          <w:p>
            <w:pPr>
              <w:spacing w:after="0"/>
              <w:rPr>
                <w:sz w:val="19"/>
                <w:szCs w:val="19"/>
                <w:color w:val="auto"/>
              </w:rPr>
            </w:pPr>
          </w:p>
        </w:tc>
        <w:tc>
          <w:tcPr>
            <w:tcW w:w="10340" w:type="dxa"/>
            <w:vAlign w:val="bottom"/>
            <w:tcBorders>
              <w:right w:val="single" w:sz="8" w:color="auto"/>
            </w:tcBorders>
            <w:gridSpan w:val="4"/>
          </w:tcPr>
          <w:p>
            <w:pPr>
              <w:ind w:left="120"/>
              <w:spacing w:after="0"/>
              <w:rPr>
                <w:sz w:val="20"/>
                <w:szCs w:val="20"/>
                <w:color w:val="auto"/>
              </w:rPr>
            </w:pPr>
            <w:r>
              <w:rPr>
                <w:rFonts w:ascii="Times New Roman" w:cs="Times New Roman" w:eastAsia="Times New Roman" w:hAnsi="Times New Roman"/>
                <w:sz w:val="18"/>
                <w:szCs w:val="18"/>
                <w:color w:val="auto"/>
              </w:rPr>
              <w:t>TYPE OF REPORTING PERSON</w:t>
            </w:r>
          </w:p>
        </w:tc>
        <w:tc>
          <w:tcPr>
            <w:tcW w:w="0" w:type="dxa"/>
            <w:vAlign w:val="bottom"/>
          </w:tcPr>
          <w:p>
            <w:pPr>
              <w:spacing w:after="0"/>
              <w:rPr>
                <w:sz w:val="1"/>
                <w:szCs w:val="1"/>
                <w:color w:val="auto"/>
              </w:rPr>
            </w:pPr>
          </w:p>
        </w:tc>
      </w:tr>
      <w:tr>
        <w:trPr>
          <w:trHeight w:val="448"/>
        </w:trPr>
        <w:tc>
          <w:tcPr>
            <w:tcW w:w="340" w:type="dxa"/>
            <w:vAlign w:val="bottom"/>
            <w:tcBorders>
              <w:left w:val="single" w:sz="8" w:color="auto"/>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106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CO</w:t>
            </w:r>
          </w:p>
        </w:tc>
        <w:tc>
          <w:tcPr>
            <w:tcW w:w="360" w:type="dxa"/>
            <w:vAlign w:val="bottom"/>
            <w:tcBorders>
              <w:bottom w:val="single" w:sz="8" w:color="auto"/>
            </w:tcBorders>
          </w:tcPr>
          <w:p>
            <w:pPr>
              <w:spacing w:after="0"/>
              <w:rPr>
                <w:sz w:val="24"/>
                <w:szCs w:val="24"/>
                <w:color w:val="auto"/>
              </w:rPr>
            </w:pPr>
          </w:p>
        </w:tc>
        <w:tc>
          <w:tcPr>
            <w:tcW w:w="89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94615</wp:posOffset>
            </wp:positionV>
            <wp:extent cx="7715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424" w:right="200" w:hanging="424"/>
        <w:spacing w:after="0" w:line="208" w:lineRule="auto"/>
        <w:tabs>
          <w:tab w:leader="none" w:pos="424" w:val="left"/>
        </w:tabs>
        <w:numPr>
          <w:ilvl w:val="0"/>
          <w:numId w:val="3"/>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Shares beneficially owned represent approximately 7.0% of the total Ordinary Shares outstanding, which include Class A Ordinary Shares and Class C Ordinary Shares. See Item 5 below.</w:t>
      </w:r>
    </w:p>
    <w:p>
      <w:pPr>
        <w:sectPr>
          <w:pgSz w:w="11900" w:h="16838" w:orient="portrait"/>
          <w:cols w:equalWidth="0" w:num="1">
            <w:col w:w="10904"/>
          </w:cols>
          <w:pgMar w:left="436" w:top="270" w:right="55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AMENDMENT NO. 1 TO SCHEDULE 13D</w:t>
      </w:r>
    </w:p>
    <w:p>
      <w:pPr>
        <w:spacing w:after="0" w:line="229"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following constitutes Amendment No. 1 (“Amendment No. 1”) to the Schedule 13D filed with the Securities and Exchange Commission (“SEC”) by CYVN Investments RSC Ltd (“CYVN Investments”) on July 24, 2023. This Amendment No. 1 amends and supplements the Schedule 13D as specifically set forth herein.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capitalized terms contained herein but not otherwise defined shall have the meanings ascribed to such terms in the Schedule 13D, as amended.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given in response to each item shall be deemed incorporated by reference in all other items, as applicable.</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Source and Amount of Funds or Other Consideration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3 of this Schedule 13D is supplemented and superseded, as the case may be, as follows: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in Item 4 is incorporated herein by reference.</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Funding Agreement</w:t>
      </w:r>
    </w:p>
    <w:p>
      <w:pPr>
        <w:spacing w:after="0" w:line="11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On December 19, 2023, CYVN Investments entered into a Funding Agreement (the “Funding Agreement”) with CYVN Holdings L.L.C., a limited liability company organized under the laws of Abu Dhabi, United Arab Emirates, an entity wholly owned by the Government of Abu Dhabi represented by the Abu Dhabi Department of Finance and an affiliate of CYVN Investments (“CYVN Holdings”). Pursuant to the Funding Agreement, CYVN Holdings agreed to provide cash sufficient to pay the Aggregate Purchase Price (as defined below) to the Issuer (the “Purchase Funds”). Pursuant to the Funding Agreement, CYVN Investments must reimburse CYVN Holdings for the requested portion of the Purchase Funds upon the request of CYVN Holdings from time to time. In the event CYVN Investments sells any Class A Ordinary Shares acquired pursuant to the Share Subscription Agreement (as defined below) prior to the reimbursement of the Aggregate Purchase Price to CYVN Holdings, CYVN Investments shall provide prompt notice of such sale to CYVN Holdings and the purchase price with respect to any such sale shall first be used to reimburse CYVN Holdings for any outstanding portion of the Aggregate Purchase Price, unless otherwise agreed to by CYVN Holdings.</w:t>
      </w:r>
    </w:p>
    <w:p>
      <w:pPr>
        <w:spacing w:after="0" w:line="188"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 xml:space="preserve">The foregoing description of the Funding Agreement does not purport to be complete and is qualified in its entirety by the full text of the Funding Agreement, which is filed as </w:t>
      </w:r>
      <w:r>
        <w:rPr>
          <w:rFonts w:ascii="Times New Roman" w:cs="Times New Roman" w:eastAsia="Times New Roman" w:hAnsi="Times New Roman"/>
          <w:sz w:val="18"/>
          <w:szCs w:val="18"/>
          <w:u w:val="single" w:color="auto"/>
          <w:color w:val="auto"/>
        </w:rPr>
        <w:t>Exhibit 99.1</w:t>
      </w:r>
      <w:r>
        <w:rPr>
          <w:rFonts w:ascii="Times New Roman" w:cs="Times New Roman" w:eastAsia="Times New Roman" w:hAnsi="Times New Roman"/>
          <w:sz w:val="18"/>
          <w:szCs w:val="18"/>
          <w:color w:val="auto"/>
        </w:rPr>
        <w:t xml:space="preserve"> and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Purpose of Transaction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4 of this Schedule 13D is supplemented and superseded, as the case may be, as follows: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Subscription Agreement</w:t>
      </w:r>
    </w:p>
    <w:p>
      <w:pPr>
        <w:spacing w:after="0" w:line="11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On December 18, 2023, CYVN Investments entered into a share subscription agreement (the “Share Subscription Agreement”) with the Issuer to purchase 294,000,000 Class A Ordinary Shares of the Issuer from the Issuer for an aggregate purchase price of US$2,205,000,000 (the “Aggregate Purchase Price”), representing US$7.50 per Class A Ordinary Share (the “Purchase Price”). The issuance and sale of the Class A Ordinary Shares pursuant to the Share Subscription Agreement is subject to certain closing conditions and the Share Subscription Agreement may be terminated by either CYVN Investments or the Issuer if the transactions pursuant to the Share Subscription Agreement do not close by December 31, 2023 (such closing, the “SSA Closing”). If the SSA Closing occurs, CYVN Investments will beneficially own 418,833,157 Class A Ordinary Shares of the Issuer.</w:t>
      </w:r>
    </w:p>
    <w:p>
      <w:pPr>
        <w:spacing w:after="0" w:line="187"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Pursuant to the terms of the Share Subscription Agreement, upon the SSA Closing and for so long as CYVN Investments and its affiliates beneficially own (i) not less than 15% of the then total issued and outstanding share capital of the Issuer (on a non-fully diluted basis), CYVN Investments will be entitled to nominate two directors to the Issuer’s Board of Directors (the “Board”) (each such persons, a “Purchaser Designee”, and collectively the “Purchaser Designees”), and (ii) less than 15% but not less than 5% of the then total issued and outstanding share</w:t>
      </w:r>
    </w:p>
    <w:p>
      <w:pPr>
        <w:sectPr>
          <w:pgSz w:w="11900" w:h="16838" w:orient="portrait"/>
          <w:cols w:equalWidth="0" w:num="1">
            <w:col w:w="11000"/>
          </w:cols>
          <w:pgMar w:left="440" w:top="266" w:right="459" w:bottom="1440" w:gutter="0" w:footer="0" w:header="0"/>
        </w:sectPr>
      </w:pPr>
    </w:p>
    <w:bookmarkStart w:id="3" w:name="page4"/>
    <w:bookmarkEnd w:id="3"/>
    <w:p>
      <w:pPr>
        <w:ind w:right="60"/>
        <w:spacing w:after="0" w:line="26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capital of the Issuer (on a non-fully diluted basis), CYVN Investments will be entitled to nominate one Purchaser Designee, in each case subject to the Issuer’s governing documents and the requirements of the New York Stock Exchange, The Stock Exchange of Hong Kong Limited, The Singapore Exchange Securities Trading Limited or any other applicable securities exchange, and the Issuer is required to take all necessary actions to add such Purchaser Designees to the Board at the next regularly scheduled meeting of the Board after the SSA Closing upon exercise of such director nomination rights. The Issuer and the Board have agreed to take customary and reasonable actions to obtain shareholder approval of the Purchaser Designees as directors on the Board to the extent such approval is necessary under applicable law, and CYVN Investments has the right to nominate a replacement Purchaser Designee if any Purchaser Designee ceases to serve on the Board for any reason during his or her term. In the event that CYVN Investments ceases to be entitled to nominate one or both of the Purchaser Designees to the Board, CYVN Investments will take all necessary actions to cause the applicable Purchaser Designee or Purchaser Designees serving on the Board to tender his or her resignation from the Board. CYVN Investments’ right to nominate a Purchaser Designee to the Board terminates automatically if CYVN Investments and its affiliates beneficially own less than 5% of the then total issued and outstanding share capital of the Issuer (on a non-fully diluted basis). The director nomination rights in the Share Subscription Agreement replace the previously disclosed director nomination rights included in the Share Subscription Agreement, dated June 20, 2023.</w:t>
      </w:r>
    </w:p>
    <w:p>
      <w:pPr>
        <w:spacing w:after="0" w:line="17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addition, pursuant to the Share Subscription Agreement, the Board will establish a strategy committee (the “Strategy Committee”) consisting of Mr. Bin Li, as Chairman, one Purchaser Designee, and up to three other members of the Board from time to time. Further, for so long as there are two Purchaser Designees serving on the Board, the second Purchaser Designee will be an observer on the Strategy Committee. The Strategy Committee will be responsible for overseeing the development and implementation of the Issuer’s overall business strategies proposed or approved by the Board in the areas of (A) brand and product development, portfolio and design, (B) technology roadmap, (C) international market entry and expansion, and (D) other areas that the Board deems appropriate.</w:t>
      </w:r>
    </w:p>
    <w:p>
      <w:pPr>
        <w:spacing w:after="0" w:line="187"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Pursuant to the Share Subscription Agreement, for so long as CYVN Investments and its affiliates beneficially own not less then 15% of the total issued and outstanding share capital of the Issuer (on a non-fully diluted basis), CYVN Holdings will be entitled to, with certain exceptions, a preemptive right to purchase up to its pro rata share of any new equity securities that the Issuer may propose to sell, offer or issue to any party, for the same purchase price and on substantially the same terms as are offered to other participants in such issuance. In addition, subject to any applicable or local laws or regulations, for so long as CYVN Investments and its affiliates beneficially own not less than 15% of the then total issued and outstanding share capital of the Issuer (on a non-fully diluted basis), CYVN Investments will be entitled to a right of first refusal with respect to any transaction or series of related transactions involving the issuance and sale of any equity or equity-linked interest in any newly established joint ventures or subsidiaries (whether existing or newly established) of the Issuer in global jurisdictions other than mainland China, Hong Kong, Macau and Taiwan. Further, except for the Issuer’s battery swapping technology, for so long as CYVN Investments and its affiliates beneficially own not less than 15% of the then total issued and outstanding share capital of the Issuer (on a non-fully diluted basis), the Issuer may not license its technologies to any other original equipment manufacturers, for purposes of utilizing such technologies in connection with the development and manufacturing of vehicle models with starting manufacturer’s suggested retail price of over US$50,000, without the prior written consent of CYVN Investments.</w:t>
      </w:r>
    </w:p>
    <w:p>
      <w:pPr>
        <w:spacing w:after="0" w:line="19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addition, pursuant to the Share Subscription Agreement, CYVN Investments may not, during the period ending six months after the SSA Closing, transfer any portion or interest of the Class A Ordinary Shares purchased pursuant to the Share Subscription Agreement without the prior written consent of the Issuer other than transfers to an affiliate, to the Issuer, or in certain other transactions, including a change of control transaction, detailed in the Share Subscription Agreement. The Issuer agreed that it will not, without the consent of CYVN Investments, during the period ending six months after the SSA Closing, offer, sell, contract to sell, or grant any option, right or warrant to purchase with respect to, any of the Issuer’s equity securities at a purchase price per Class A Ordinary Share (as adjusted for the American depository share-to-Class A Ordinary Share ratio) or a conversion price per Class A Ordinary Share (in the case of any security convertible into, exchangeable or exercisable for the Class A Ordinary Share) that is below the Purchase Price.</w:t>
      </w:r>
    </w:p>
    <w:p>
      <w:pPr>
        <w:spacing w:after="0" w:line="192"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 xml:space="preserve">The foregoing description of the Share Subscription Agreement does not purport to be complete and is qualified in its entirety by the full text of the Share Subscription Agreement, which is filed as </w:t>
      </w:r>
      <w:r>
        <w:rPr>
          <w:rFonts w:ascii="Times New Roman" w:cs="Times New Roman" w:eastAsia="Times New Roman" w:hAnsi="Times New Roman"/>
          <w:sz w:val="18"/>
          <w:szCs w:val="18"/>
          <w:u w:val="single" w:color="auto"/>
          <w:color w:val="auto"/>
        </w:rPr>
        <w:t>Exhibit 99.2</w:t>
      </w:r>
      <w:r>
        <w:rPr>
          <w:rFonts w:ascii="Times New Roman" w:cs="Times New Roman" w:eastAsia="Times New Roman" w:hAnsi="Times New Roman"/>
          <w:sz w:val="18"/>
          <w:szCs w:val="18"/>
          <w:color w:val="auto"/>
        </w:rPr>
        <w:t xml:space="preserve"> and is incorporated herein by reference.</w:t>
      </w:r>
    </w:p>
    <w:p>
      <w:pPr>
        <w:sectPr>
          <w:pgSz w:w="11900" w:h="16838" w:orient="portrait"/>
          <w:cols w:equalWidth="0" w:num="1">
            <w:col w:w="11000"/>
          </w:cols>
          <w:pgMar w:left="440" w:top="270" w:right="459" w:bottom="1440" w:gutter="0" w:footer="0" w:header="0"/>
        </w:sectPr>
      </w:pPr>
    </w:p>
    <w:bookmarkStart w:id="4" w:name="page5"/>
    <w:bookmarkEnd w:id="4"/>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5. Interest in Securities of the Issuer</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Item 5 of the Schedule 13D is hereby amended and restated as follows:</w:t>
      </w:r>
    </w:p>
    <w:p>
      <w:pPr>
        <w:spacing w:after="0" w:line="225" w:lineRule="exact"/>
        <w:rPr>
          <w:sz w:val="20"/>
          <w:szCs w:val="20"/>
          <w:color w:val="auto"/>
        </w:rPr>
      </w:pPr>
    </w:p>
    <w:p>
      <w:pPr>
        <w:ind w:left="4" w:hanging="4"/>
        <w:spacing w:after="0" w:line="258" w:lineRule="auto"/>
        <w:tabs>
          <w:tab w:leader="none" w:pos="24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(b) Items 7 through 11 and 13 of the cover page of this Schedule 13D are incorporated herein by reference. Such information is based on 1,637,474,374 Class A Ordinary Shares of the Issuer outstanding as of December 14, 2023, based on a representation by the Issuer in the Share Subscription Agreement. Shares beneficially owned represent approximately 7.0% of the total Ordinary Shares outstanding, based upon an aggregate of 1,785,974,374 Ordinary Shares issued and outstanding, which is the sum of (i) 1,637,474,374 Class A Ordinary Shares plus (ii) 148,500,000 Class C Ordinary Shares (based on information provided by the Issuer).</w:t>
      </w:r>
    </w:p>
    <w:p>
      <w:pPr>
        <w:spacing w:after="0" w:line="183" w:lineRule="exact"/>
        <w:rPr>
          <w:sz w:val="20"/>
          <w:szCs w:val="20"/>
          <w:color w:val="auto"/>
        </w:rPr>
      </w:pPr>
    </w:p>
    <w:p>
      <w:pPr>
        <w:ind w:left="4" w:right="40" w:hanging="4"/>
        <w:spacing w:after="0" w:line="282" w:lineRule="auto"/>
        <w:tabs>
          <w:tab w:leader="none" w:pos="249"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in Item 3 and Item 4 is incorporated herein by reference. Except as disclosed in this Schedule 13D, as amended, there have been no transactions by CYVN Investments or the Scheduled Persons in the securities of the Issuer during the past sixty days.</w:t>
      </w:r>
    </w:p>
    <w:p>
      <w:pPr>
        <w:spacing w:after="0" w:line="161" w:lineRule="exact"/>
        <w:rPr>
          <w:rFonts w:ascii="Times New Roman" w:cs="Times New Roman" w:eastAsia="Times New Roman" w:hAnsi="Times New Roman"/>
          <w:sz w:val="18"/>
          <w:szCs w:val="18"/>
          <w:color w:val="auto"/>
        </w:rPr>
      </w:pPr>
    </w:p>
    <w:p>
      <w:pPr>
        <w:ind w:left="4" w:right="400" w:hanging="4"/>
        <w:spacing w:after="0" w:line="282" w:lineRule="auto"/>
        <w:tabs>
          <w:tab w:leader="none" w:pos="259"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in this Schedule 13D, as amended, no other person is known to have the right to receive or the power to direct the receipt of dividends from, or the proceeds from the sale of, the Class A Ordinary Shares beneficially owned by CYVN Investments.</w:t>
      </w:r>
    </w:p>
    <w:p>
      <w:pPr>
        <w:spacing w:after="0" w:line="161" w:lineRule="exact"/>
        <w:rPr>
          <w:rFonts w:ascii="Times New Roman" w:cs="Times New Roman" w:eastAsia="Times New Roman" w:hAnsi="Times New Roman"/>
          <w:sz w:val="18"/>
          <w:szCs w:val="18"/>
          <w:color w:val="auto"/>
        </w:rPr>
      </w:pPr>
    </w:p>
    <w:p>
      <w:pPr>
        <w:ind w:left="244" w:hanging="244"/>
        <w:spacing w:after="0"/>
        <w:tabs>
          <w:tab w:leader="none" w:pos="24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ind w:left="4" w:right="2780"/>
        <w:spacing w:after="0" w:line="412" w:lineRule="auto"/>
        <w:rPr>
          <w:sz w:val="20"/>
          <w:szCs w:val="20"/>
          <w:color w:val="auto"/>
        </w:rPr>
      </w:pPr>
      <w:r>
        <w:rPr>
          <w:rFonts w:ascii="Times New Roman" w:cs="Times New Roman" w:eastAsia="Times New Roman" w:hAnsi="Times New Roman"/>
          <w:sz w:val="18"/>
          <w:szCs w:val="18"/>
          <w:b w:val="1"/>
          <w:bCs w:val="1"/>
          <w:color w:val="auto"/>
        </w:rPr>
        <w:t xml:space="preserve">Item 6. Contracts, Arrangements, Understandings or Relationships with Respect to Securities of the Issuer </w:t>
      </w:r>
      <w:r>
        <w:rPr>
          <w:rFonts w:ascii="Times New Roman" w:cs="Times New Roman" w:eastAsia="Times New Roman" w:hAnsi="Times New Roman"/>
          <w:sz w:val="18"/>
          <w:szCs w:val="18"/>
          <w:color w:val="auto"/>
        </w:rPr>
        <w:t>Item 6 of this Schedule 13D is supplemented and superseded, as the case may be, as follows:</w:t>
      </w:r>
    </w:p>
    <w:p>
      <w:pPr>
        <w:spacing w:after="0" w:line="4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information in Item 3 and Item 4 is incorporated herein by reference.</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Funding Agreement is filed as Exhibit 99.1 and is incorporated herein by reference.</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Share Subscription Agreement is filed as Exhibit 99.2 and is incorporated herein by reference.</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7. Materials to be Filed as Exhibits</w:t>
      </w:r>
    </w:p>
    <w:p>
      <w:pPr>
        <w:spacing w:after="0" w:line="135" w:lineRule="exact"/>
        <w:rPr>
          <w:sz w:val="20"/>
          <w:szCs w:val="20"/>
          <w:color w:val="auto"/>
        </w:rPr>
      </w:pPr>
    </w:p>
    <w:p>
      <w:pPr>
        <w:ind w:left="4"/>
        <w:spacing w:after="0"/>
        <w:tabs>
          <w:tab w:leader="none" w:pos="1344" w:val="left"/>
        </w:tabs>
        <w:rPr>
          <w:sz w:val="20"/>
          <w:szCs w:val="20"/>
          <w:color w:val="auto"/>
        </w:rPr>
      </w:pPr>
      <w:r>
        <w:rPr>
          <w:rFonts w:ascii="Times New Roman" w:cs="Times New Roman" w:eastAsia="Times New Roman" w:hAnsi="Times New Roman"/>
          <w:sz w:val="18"/>
          <w:szCs w:val="18"/>
          <w:color w:val="auto"/>
        </w:rPr>
        <w:t>Exhibit 99.1:</w:t>
      </w:r>
      <w:r>
        <w:rPr>
          <w:sz w:val="20"/>
          <w:szCs w:val="20"/>
          <w:color w:val="auto"/>
        </w:rPr>
        <w:tab/>
      </w:r>
      <w:r>
        <w:rPr>
          <w:rFonts w:ascii="Times New Roman" w:cs="Times New Roman" w:eastAsia="Times New Roman" w:hAnsi="Times New Roman"/>
          <w:sz w:val="18"/>
          <w:szCs w:val="18"/>
          <w:color w:val="auto"/>
        </w:rPr>
        <w:t>Funding Agreement, dated December 19, 2023, by and between CYVN Investments RSC Ltd and CYVN Holdings L.L.C.</w:t>
      </w:r>
    </w:p>
    <w:p>
      <w:pPr>
        <w:spacing w:after="0" w:line="117" w:lineRule="exact"/>
        <w:rPr>
          <w:sz w:val="20"/>
          <w:szCs w:val="20"/>
          <w:color w:val="auto"/>
        </w:rPr>
      </w:pPr>
    </w:p>
    <w:p>
      <w:pPr>
        <w:ind w:left="4"/>
        <w:spacing w:after="0"/>
        <w:tabs>
          <w:tab w:leader="none" w:pos="1344" w:val="left"/>
        </w:tabs>
        <w:rPr>
          <w:sz w:val="20"/>
          <w:szCs w:val="20"/>
          <w:color w:val="auto"/>
        </w:rPr>
      </w:pPr>
      <w:r>
        <w:rPr>
          <w:rFonts w:ascii="Times New Roman" w:cs="Times New Roman" w:eastAsia="Times New Roman" w:hAnsi="Times New Roman"/>
          <w:sz w:val="18"/>
          <w:szCs w:val="18"/>
          <w:color w:val="auto"/>
        </w:rPr>
        <w:t>Exhibit 99.2:</w:t>
      </w:r>
      <w:r>
        <w:rPr>
          <w:sz w:val="20"/>
          <w:szCs w:val="20"/>
          <w:color w:val="auto"/>
        </w:rPr>
        <w:tab/>
      </w:r>
      <w:r>
        <w:rPr>
          <w:rFonts w:ascii="Times New Roman" w:cs="Times New Roman" w:eastAsia="Times New Roman" w:hAnsi="Times New Roman"/>
          <w:sz w:val="18"/>
          <w:szCs w:val="18"/>
          <w:color w:val="auto"/>
        </w:rPr>
        <w:t>Share Subscription Agreement, dated as of December 18, 2023, by and between CYVN Investments RSC Ltd and NIO Inc.</w:t>
      </w:r>
    </w:p>
    <w:p>
      <w:pPr>
        <w:sectPr>
          <w:pgSz w:w="11900" w:h="16838" w:orient="portrait"/>
          <w:cols w:equalWidth="0" w:num="1">
            <w:col w:w="10944"/>
          </w:cols>
          <w:pgMar w:left="436" w:top="266" w:right="519" w:bottom="1440" w:gutter="0" w:footer="0" w:header="0"/>
        </w:sectPr>
      </w:pPr>
    </w:p>
    <w:bookmarkStart w:id="5" w:name="page6"/>
    <w:bookmarkEnd w:id="5"/>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Dated as of December 20, 2023</w:t>
      </w:r>
    </w:p>
    <w:p>
      <w:pPr>
        <w:spacing w:after="0" w:line="22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CYVN INVESTMENTS RSC LTD</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Samer Salah Abdelhaq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Samer Salah Abdelhaq</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Eddy Skaf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Eddy Skaf</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Director</w:t>
      </w:r>
    </w:p>
    <w:p>
      <w:pPr>
        <w:sectPr>
          <w:pgSz w:w="11900" w:h="16838" w:orient="portrait"/>
          <w:cols w:equalWidth="0" w:num="1">
            <w:col w:w="10460"/>
          </w:cols>
          <w:pgMar w:left="440" w:top="266" w:right="99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FUNDING AGREEMENT</w:t>
      </w:r>
    </w:p>
    <w:p>
      <w:pPr>
        <w:spacing w:after="0" w:line="225" w:lineRule="exact"/>
        <w:rPr>
          <w:sz w:val="20"/>
          <w:szCs w:val="20"/>
          <w:color w:val="auto"/>
        </w:rPr>
      </w:pPr>
    </w:p>
    <w:p>
      <w:pPr>
        <w:jc w:val="both"/>
        <w:ind w:right="44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FUNDING AGREEMENT </w:t>
      </w:r>
      <w:r>
        <w:rPr>
          <w:rFonts w:ascii="Times New Roman" w:cs="Times New Roman" w:eastAsia="Times New Roman" w:hAnsi="Times New Roman"/>
          <w:sz w:val="18"/>
          <w:szCs w:val="18"/>
          <w:color w:val="auto"/>
        </w:rPr>
        <w:t>(this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dated December 19, 2023 by and between CYVN Investments RSC Ltd, a restricted scope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incorporated in the Abu Dhabi Global Market, Abu Dhabi, United Arab Emirates (“</w:t>
      </w:r>
      <w:r>
        <w:rPr>
          <w:rFonts w:ascii="Times New Roman" w:cs="Times New Roman" w:eastAsia="Times New Roman" w:hAnsi="Times New Roman"/>
          <w:sz w:val="18"/>
          <w:szCs w:val="18"/>
          <w:b w:val="1"/>
          <w:bCs w:val="1"/>
          <w:i w:val="1"/>
          <w:iCs w:val="1"/>
          <w:color w:val="auto"/>
        </w:rPr>
        <w:t>Investments</w:t>
      </w:r>
      <w:r>
        <w:rPr>
          <w:rFonts w:ascii="Times New Roman" w:cs="Times New Roman" w:eastAsia="Times New Roman" w:hAnsi="Times New Roman"/>
          <w:sz w:val="18"/>
          <w:szCs w:val="18"/>
          <w:color w:val="auto"/>
        </w:rPr>
        <w:t>”) and CYVN Holdings L.L.C., a limited liability company organized under the laws of Abu Dhabi, United Arab Emirates (“</w:t>
      </w:r>
      <w:r>
        <w:rPr>
          <w:rFonts w:ascii="Times New Roman" w:cs="Times New Roman" w:eastAsia="Times New Roman" w:hAnsi="Times New Roman"/>
          <w:sz w:val="18"/>
          <w:szCs w:val="18"/>
          <w:b w:val="1"/>
          <w:bCs w:val="1"/>
          <w:i w:val="1"/>
          <w:iCs w:val="1"/>
          <w:color w:val="auto"/>
        </w:rPr>
        <w:t>Holdings</w:t>
      </w:r>
      <w:r>
        <w:rPr>
          <w:rFonts w:ascii="Times New Roman" w:cs="Times New Roman" w:eastAsia="Times New Roman" w:hAnsi="Times New Roman"/>
          <w:sz w:val="18"/>
          <w:szCs w:val="18"/>
          <w:color w:val="auto"/>
        </w:rPr>
        <w:t>”).</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WITNESSETH</w:t>
      </w:r>
    </w:p>
    <w:p>
      <w:pPr>
        <w:spacing w:after="0" w:line="225" w:lineRule="exact"/>
        <w:rPr>
          <w:sz w:val="20"/>
          <w:szCs w:val="20"/>
          <w:color w:val="auto"/>
        </w:rPr>
      </w:pPr>
    </w:p>
    <w:p>
      <w:pPr>
        <w:ind w:right="4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on December 18, 2023, Investments entered into a definitive agreement to purchase Class A Ordinary Shares, par value US$0.00025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 share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of NIO Inc., an exempted company incorporated in the Cayman Islands (“</w:t>
      </w:r>
      <w:r>
        <w:rPr>
          <w:rFonts w:ascii="Times New Roman" w:cs="Times New Roman" w:eastAsia="Times New Roman" w:hAnsi="Times New Roman"/>
          <w:sz w:val="18"/>
          <w:szCs w:val="18"/>
          <w:b w:val="1"/>
          <w:bCs w:val="1"/>
          <w:i w:val="1"/>
          <w:iCs w:val="1"/>
          <w:color w:val="auto"/>
        </w:rPr>
        <w:t>NIO</w:t>
      </w:r>
      <w:r>
        <w:rPr>
          <w:rFonts w:ascii="Times New Roman" w:cs="Times New Roman" w:eastAsia="Times New Roman" w:hAnsi="Times New Roman"/>
          <w:sz w:val="18"/>
          <w:szCs w:val="18"/>
          <w:color w:val="auto"/>
        </w:rPr>
        <w:t>”) from NIO, pursuant to a Share Subscription Agreement by and between NIO and Investments, substantially in the form attached hereto as Exhibit A (the “</w:t>
      </w:r>
      <w:r>
        <w:rPr>
          <w:rFonts w:ascii="Times New Roman" w:cs="Times New Roman" w:eastAsia="Times New Roman" w:hAnsi="Times New Roman"/>
          <w:sz w:val="18"/>
          <w:szCs w:val="18"/>
          <w:b w:val="1"/>
          <w:bCs w:val="1"/>
          <w:i w:val="1"/>
          <w:iCs w:val="1"/>
          <w:color w:val="auto"/>
        </w:rPr>
        <w:t>SSA</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right="3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premises and other good and valuable consideration, Investments and Holdings hereby agree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follows:</w:t>
      </w:r>
    </w:p>
    <w:p>
      <w:pPr>
        <w:spacing w:after="0" w:line="159" w:lineRule="exact"/>
        <w:rPr>
          <w:sz w:val="20"/>
          <w:szCs w:val="20"/>
          <w:color w:val="auto"/>
        </w:rPr>
      </w:pPr>
    </w:p>
    <w:p>
      <w:pPr>
        <w:ind w:left="620" w:hanging="184"/>
        <w:spacing w:after="0"/>
        <w:tabs>
          <w:tab w:leader="none" w:pos="6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Funding</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right="420" w:firstLine="436"/>
        <w:spacing w:after="0" w:line="286" w:lineRule="auto"/>
        <w:tabs>
          <w:tab w:leader="none" w:pos="68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closing of the transactions contemplated by the SSA, Holdings hereby agrees to provide Investments with cash (the “</w:t>
      </w:r>
      <w:r>
        <w:rPr>
          <w:rFonts w:ascii="Times New Roman" w:cs="Times New Roman" w:eastAsia="Times New Roman" w:hAnsi="Times New Roman"/>
          <w:sz w:val="18"/>
          <w:szCs w:val="18"/>
          <w:b w:val="1"/>
          <w:bCs w:val="1"/>
          <w:i w:val="1"/>
          <w:iCs w:val="1"/>
          <w:color w:val="auto"/>
        </w:rPr>
        <w:t>Funding</w:t>
      </w:r>
      <w:r>
        <w:rPr>
          <w:rFonts w:ascii="Times New Roman" w:cs="Times New Roman" w:eastAsia="Times New Roman" w:hAnsi="Times New Roman"/>
          <w:sz w:val="18"/>
          <w:szCs w:val="18"/>
          <w:color w:val="auto"/>
        </w:rPr>
        <w:t>”) sufficient to pay the Aggregate Purchase Price (as defined in the SSA) to NIO.</w:t>
      </w:r>
    </w:p>
    <w:p>
      <w:pPr>
        <w:spacing w:after="0" w:line="158" w:lineRule="exact"/>
        <w:rPr>
          <w:rFonts w:ascii="Times New Roman" w:cs="Times New Roman" w:eastAsia="Times New Roman" w:hAnsi="Times New Roman"/>
          <w:sz w:val="18"/>
          <w:szCs w:val="18"/>
          <w:color w:val="auto"/>
        </w:rPr>
      </w:pPr>
    </w:p>
    <w:p>
      <w:pPr>
        <w:ind w:right="140" w:firstLine="436"/>
        <w:spacing w:after="0" w:line="282" w:lineRule="auto"/>
        <w:tabs>
          <w:tab w:leader="none" w:pos="6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hereby agrees not to amend the SSA in a manner that changes the price to be paid for the Shares under the SSA without the prior consent of Holdings.</w:t>
      </w:r>
    </w:p>
    <w:p>
      <w:pPr>
        <w:spacing w:after="0" w:line="162" w:lineRule="exact"/>
        <w:rPr>
          <w:sz w:val="20"/>
          <w:szCs w:val="20"/>
          <w:color w:val="auto"/>
        </w:rPr>
      </w:pPr>
    </w:p>
    <w:p>
      <w:pPr>
        <w:ind w:right="200" w:firstLine="436"/>
        <w:spacing w:after="0" w:line="261" w:lineRule="auto"/>
        <w:tabs>
          <w:tab w:leader="none" w:pos="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Investments acknowledges and agrees that Investments shall be responsible for all financial obligations and other liabilities, including tax obligations and liabilities, with respect to the Shares purchased pursuant to the SSA (including any liabilities arising under the SSA), and Investments shall indemnify Holdings against any such liabilities, including any tax liabilities. In addition, Investments agrees to pay any advisor fees and expenses of Holdings relating to the Funding.</w:t>
      </w:r>
    </w:p>
    <w:p>
      <w:pPr>
        <w:spacing w:after="0" w:line="179" w:lineRule="exact"/>
        <w:rPr>
          <w:rFonts w:ascii="Times New Roman" w:cs="Times New Roman" w:eastAsia="Times New Roman" w:hAnsi="Times New Roman"/>
          <w:sz w:val="18"/>
          <w:szCs w:val="18"/>
          <w:color w:val="auto"/>
        </w:rPr>
      </w:pPr>
    </w:p>
    <w:p>
      <w:pPr>
        <w:ind w:right="120" w:firstLine="436"/>
        <w:spacing w:after="0" w:line="258" w:lineRule="auto"/>
        <w:tabs>
          <w:tab w:leader="none" w:pos="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Reimbursement of Aggregate Purchase Price</w:t>
      </w:r>
      <w:r>
        <w:rPr>
          <w:rFonts w:ascii="Times New Roman" w:cs="Times New Roman" w:eastAsia="Times New Roman" w:hAnsi="Times New Roman"/>
          <w:sz w:val="18"/>
          <w:szCs w:val="18"/>
          <w:color w:val="auto"/>
        </w:rPr>
        <w:t>. Upon the request of Holdings from time to time, Investments shall reimburse Holdings for the requested portion of the Aggregate Purchase Price, with such reimbursement to be in U.S. dollars or another form of consideration agreed to by the parties. In the event Investments sells any Shares acquired pursuant to the SSA prior to the reimbursement of the Aggregate Purchase Price to Holdings hereunder, Investments shall provide prompt notice of such sale to Holdings and the purchase price with respect to any such sale shall first be used to reimburse Holdings for any outstanding portion of the Aggregate Purchase Price, unless otherwise agreed to by Holdings.</w:t>
      </w:r>
    </w:p>
    <w:p>
      <w:pPr>
        <w:spacing w:after="0" w:line="183" w:lineRule="exact"/>
        <w:rPr>
          <w:rFonts w:ascii="Times New Roman" w:cs="Times New Roman" w:eastAsia="Times New Roman" w:hAnsi="Times New Roman"/>
          <w:sz w:val="18"/>
          <w:szCs w:val="18"/>
          <w:color w:val="auto"/>
        </w:rPr>
      </w:pPr>
    </w:p>
    <w:p>
      <w:pPr>
        <w:ind w:right="720" w:firstLine="436"/>
        <w:spacing w:after="0" w:line="266" w:lineRule="auto"/>
        <w:tabs>
          <w:tab w:leader="none" w:pos="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If required by law, or upon a reasonable request, the parties shall provide any tax forms, certifications, information or documentation as may be necessary to avoid incurring withholding tax or otherwise to comply with any applicable tax or information reporting agreements or arrangements in connection with this Agreement.</w:t>
      </w:r>
    </w:p>
    <w:p>
      <w:pPr>
        <w:sectPr>
          <w:pgSz w:w="11900" w:h="16838" w:orient="portrait"/>
          <w:cols w:equalWidth="0" w:num="1">
            <w:col w:w="11020"/>
          </w:cols>
          <w:pgMar w:left="440" w:top="117" w:right="439" w:bottom="1440" w:gutter="0" w:footer="0" w:header="0"/>
        </w:sectPr>
      </w:pPr>
    </w:p>
    <w:bookmarkStart w:id="7" w:name="page8"/>
    <w:bookmarkEnd w:id="7"/>
    <w:p>
      <w:pPr>
        <w:ind w:left="-140" w:right="160" w:firstLine="436"/>
        <w:spacing w:after="0" w:line="282" w:lineRule="auto"/>
        <w:tabs>
          <w:tab w:leader="none" w:pos="4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Termination and Amendment</w:t>
      </w:r>
      <w:r>
        <w:rPr>
          <w:rFonts w:ascii="Times New Roman" w:cs="Times New Roman" w:eastAsia="Times New Roman" w:hAnsi="Times New Roman"/>
          <w:sz w:val="18"/>
          <w:szCs w:val="18"/>
          <w:color w:val="auto"/>
        </w:rPr>
        <w:t>. This Agreement may only be terminated, amended or waived with the written consent of the Investments and Holdings.</w:t>
      </w:r>
    </w:p>
    <w:p>
      <w:pPr>
        <w:spacing w:after="0" w:line="161" w:lineRule="exact"/>
        <w:rPr>
          <w:rFonts w:ascii="Times New Roman" w:cs="Times New Roman" w:eastAsia="Times New Roman" w:hAnsi="Times New Roman"/>
          <w:sz w:val="18"/>
          <w:szCs w:val="18"/>
          <w:color w:val="auto"/>
        </w:rPr>
      </w:pPr>
    </w:p>
    <w:p>
      <w:pPr>
        <w:jc w:val="both"/>
        <w:ind w:left="-140" w:firstLine="436"/>
        <w:spacing w:after="0" w:line="289" w:lineRule="auto"/>
        <w:tabs>
          <w:tab w:leader="none" w:pos="4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Governing Law</w:t>
      </w:r>
      <w:r>
        <w:rPr>
          <w:rFonts w:ascii="Times New Roman" w:cs="Times New Roman" w:eastAsia="Times New Roman" w:hAnsi="Times New Roman"/>
          <w:sz w:val="17"/>
          <w:szCs w:val="17"/>
          <w:color w:val="auto"/>
        </w:rPr>
        <w:t>. This Agreement shall be governed by and construed in accordance with the laws of the Emirate of Abu Dhabi and the federal laws of the United Arab Emirates and without regard to the conflict of law rules thereof. Any dispute, controversy or claim arising out of or relating to this Agreement, or the interpretation, breach, termination or validity hereof, shall be submitted to and finally resolved by the Abu Dhabi courts.</w:t>
      </w:r>
    </w:p>
    <w:p>
      <w:pPr>
        <w:spacing w:after="0" w:line="157" w:lineRule="exact"/>
        <w:rPr>
          <w:rFonts w:ascii="Times New Roman" w:cs="Times New Roman" w:eastAsia="Times New Roman" w:hAnsi="Times New Roman"/>
          <w:sz w:val="17"/>
          <w:szCs w:val="17"/>
          <w:color w:val="auto"/>
        </w:rPr>
      </w:pPr>
    </w:p>
    <w:p>
      <w:pPr>
        <w:jc w:val="both"/>
        <w:ind w:left="-140" w:right="280" w:firstLine="436"/>
        <w:spacing w:after="0" w:line="266" w:lineRule="auto"/>
        <w:tabs>
          <w:tab w:leader="none" w:pos="4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one or more counterparts, all of which shall be considered one and the same agreement. Delivery of an executed counterpart of a signature page of this Agreement by electronic image scan transmission shall be effective as delivery of a manually executed counterpart of this Agreement.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Follows]</w:t>
      </w:r>
    </w:p>
    <w:p>
      <w:pPr>
        <w:sectPr>
          <w:pgSz w:w="11900" w:h="16838" w:orient="portrait"/>
          <w:cols w:equalWidth="0" w:num="1">
            <w:col w:w="10720"/>
          </w:cols>
          <w:pgMar w:left="580" w:top="270" w:right="599" w:bottom="1440" w:gutter="0" w:footer="0" w:header="0"/>
        </w:sectPr>
      </w:pPr>
    </w:p>
    <w:bookmarkStart w:id="8" w:name="page9"/>
    <w:bookmarkEnd w:id="8"/>
    <w:p>
      <w:pPr>
        <w:ind w:left="4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w:t>
      </w:r>
      <w:r>
        <w:rPr>
          <w:rFonts w:ascii="Times New Roman" w:cs="Times New Roman" w:eastAsia="Times New Roman" w:hAnsi="Times New Roman"/>
          <w:sz w:val="18"/>
          <w:szCs w:val="18"/>
          <w:color w:val="auto"/>
        </w:rPr>
        <w:t>, the parties hereto have executed this Agreement as of the date set forth below.</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60" w:type="dxa"/>
            <w:vAlign w:val="bottom"/>
          </w:tcPr>
          <w:p>
            <w:pPr>
              <w:spacing w:after="0"/>
              <w:rPr>
                <w:sz w:val="20"/>
                <w:szCs w:val="20"/>
                <w:color w:val="auto"/>
              </w:rPr>
            </w:pPr>
          </w:p>
        </w:tc>
        <w:tc>
          <w:tcPr>
            <w:tcW w:w="7560" w:type="dxa"/>
            <w:vAlign w:val="bottom"/>
            <w:gridSpan w:val="2"/>
          </w:tcPr>
          <w:p>
            <w:pPr>
              <w:ind w:left="2060"/>
              <w:spacing w:after="0"/>
              <w:rPr>
                <w:sz w:val="20"/>
                <w:szCs w:val="20"/>
                <w:color w:val="auto"/>
              </w:rPr>
            </w:pPr>
            <w:r>
              <w:rPr>
                <w:rFonts w:ascii="Times New Roman" w:cs="Times New Roman" w:eastAsia="Times New Roman" w:hAnsi="Times New Roman"/>
                <w:sz w:val="18"/>
                <w:szCs w:val="18"/>
                <w:b w:val="1"/>
                <w:bCs w:val="1"/>
                <w:color w:val="auto"/>
              </w:rPr>
              <w:t>CYVN HOLDINGS L.L.C.</w:t>
            </w:r>
          </w:p>
        </w:tc>
      </w:tr>
      <w:tr>
        <w:trPr>
          <w:trHeight w:val="432"/>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December 19, 2023</w:t>
            </w:r>
          </w:p>
        </w:tc>
        <w:tc>
          <w:tcPr>
            <w:tcW w:w="270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Jassem Mohamed Obaid Bu Ataba Alzaabi</w:t>
            </w:r>
          </w:p>
        </w:tc>
      </w:tr>
      <w:tr>
        <w:trPr>
          <w:trHeight w:val="205"/>
        </w:trPr>
        <w:tc>
          <w:tcPr>
            <w:tcW w:w="3460" w:type="dxa"/>
            <w:vAlign w:val="bottom"/>
          </w:tcPr>
          <w:p>
            <w:pPr>
              <w:spacing w:after="0"/>
              <w:rPr>
                <w:sz w:val="17"/>
                <w:szCs w:val="17"/>
                <w:color w:val="auto"/>
              </w:rPr>
            </w:pPr>
          </w:p>
        </w:tc>
        <w:tc>
          <w:tcPr>
            <w:tcW w:w="2700" w:type="dxa"/>
            <w:vAlign w:val="bottom"/>
          </w:tcPr>
          <w:p>
            <w:pPr>
              <w:ind w:left="206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Jassem Mohamed Obaid Bu Ataba Alzaabi</w:t>
            </w:r>
          </w:p>
        </w:tc>
      </w:tr>
      <w:tr>
        <w:trPr>
          <w:trHeight w:val="234"/>
        </w:trPr>
        <w:tc>
          <w:tcPr>
            <w:tcW w:w="3460" w:type="dxa"/>
            <w:vAlign w:val="bottom"/>
          </w:tcPr>
          <w:p>
            <w:pPr>
              <w:spacing w:after="0"/>
              <w:rPr>
                <w:sz w:val="20"/>
                <w:szCs w:val="20"/>
                <w:color w:val="auto"/>
              </w:rPr>
            </w:pPr>
          </w:p>
        </w:tc>
        <w:tc>
          <w:tcPr>
            <w:tcW w:w="270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Chairman</w:t>
            </w:r>
          </w:p>
        </w:tc>
      </w:tr>
      <w:tr>
        <w:trPr>
          <w:trHeight w:val="432"/>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December 19, 2023</w:t>
            </w:r>
          </w:p>
        </w:tc>
        <w:tc>
          <w:tcPr>
            <w:tcW w:w="7560" w:type="dxa"/>
            <w:vAlign w:val="bottom"/>
            <w:gridSpan w:val="2"/>
          </w:tcPr>
          <w:p>
            <w:pPr>
              <w:ind w:left="2060"/>
              <w:spacing w:after="0"/>
              <w:rPr>
                <w:sz w:val="20"/>
                <w:szCs w:val="20"/>
                <w:color w:val="auto"/>
              </w:rPr>
            </w:pPr>
            <w:r>
              <w:rPr>
                <w:rFonts w:ascii="Times New Roman" w:cs="Times New Roman" w:eastAsia="Times New Roman" w:hAnsi="Times New Roman"/>
                <w:sz w:val="18"/>
                <w:szCs w:val="18"/>
                <w:b w:val="1"/>
                <w:bCs w:val="1"/>
                <w:color w:val="auto"/>
              </w:rPr>
              <w:t>CYVN INVESTMENTS RSC LTD</w:t>
            </w:r>
          </w:p>
        </w:tc>
      </w:tr>
      <w:tr>
        <w:trPr>
          <w:trHeight w:val="432"/>
        </w:trPr>
        <w:tc>
          <w:tcPr>
            <w:tcW w:w="3460" w:type="dxa"/>
            <w:vAlign w:val="bottom"/>
          </w:tcPr>
          <w:p>
            <w:pPr>
              <w:spacing w:after="0"/>
              <w:rPr>
                <w:sz w:val="24"/>
                <w:szCs w:val="24"/>
                <w:color w:val="auto"/>
              </w:rPr>
            </w:pPr>
          </w:p>
        </w:tc>
        <w:tc>
          <w:tcPr>
            <w:tcW w:w="270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Samer Salah Abdelhaq</w:t>
            </w:r>
          </w:p>
        </w:tc>
      </w:tr>
      <w:tr>
        <w:trPr>
          <w:trHeight w:val="205"/>
        </w:trPr>
        <w:tc>
          <w:tcPr>
            <w:tcW w:w="3460" w:type="dxa"/>
            <w:vAlign w:val="bottom"/>
          </w:tcPr>
          <w:p>
            <w:pPr>
              <w:spacing w:after="0"/>
              <w:rPr>
                <w:sz w:val="17"/>
                <w:szCs w:val="17"/>
                <w:color w:val="auto"/>
              </w:rPr>
            </w:pPr>
          </w:p>
        </w:tc>
        <w:tc>
          <w:tcPr>
            <w:tcW w:w="2700" w:type="dxa"/>
            <w:vAlign w:val="bottom"/>
          </w:tcPr>
          <w:p>
            <w:pPr>
              <w:ind w:left="206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Samer Salah Abdelhaq</w:t>
            </w:r>
          </w:p>
        </w:tc>
      </w:tr>
      <w:tr>
        <w:trPr>
          <w:trHeight w:val="234"/>
        </w:trPr>
        <w:tc>
          <w:tcPr>
            <w:tcW w:w="3460" w:type="dxa"/>
            <w:vAlign w:val="bottom"/>
          </w:tcPr>
          <w:p>
            <w:pPr>
              <w:spacing w:after="0"/>
              <w:rPr>
                <w:sz w:val="20"/>
                <w:szCs w:val="20"/>
                <w:color w:val="auto"/>
              </w:rPr>
            </w:pPr>
          </w:p>
        </w:tc>
        <w:tc>
          <w:tcPr>
            <w:tcW w:w="270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432"/>
        </w:trPr>
        <w:tc>
          <w:tcPr>
            <w:tcW w:w="3460" w:type="dxa"/>
            <w:vAlign w:val="bottom"/>
          </w:tcPr>
          <w:p>
            <w:pPr>
              <w:spacing w:after="0"/>
              <w:rPr>
                <w:sz w:val="24"/>
                <w:szCs w:val="24"/>
                <w:color w:val="auto"/>
              </w:rPr>
            </w:pPr>
          </w:p>
        </w:tc>
        <w:tc>
          <w:tcPr>
            <w:tcW w:w="270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Eddy Skaf</w:t>
            </w:r>
          </w:p>
        </w:tc>
      </w:tr>
      <w:tr>
        <w:trPr>
          <w:trHeight w:val="205"/>
        </w:trPr>
        <w:tc>
          <w:tcPr>
            <w:tcW w:w="3460" w:type="dxa"/>
            <w:vAlign w:val="bottom"/>
          </w:tcPr>
          <w:p>
            <w:pPr>
              <w:spacing w:after="0"/>
              <w:rPr>
                <w:sz w:val="17"/>
                <w:szCs w:val="17"/>
                <w:color w:val="auto"/>
              </w:rPr>
            </w:pPr>
          </w:p>
        </w:tc>
        <w:tc>
          <w:tcPr>
            <w:tcW w:w="2700" w:type="dxa"/>
            <w:vAlign w:val="bottom"/>
          </w:tcPr>
          <w:p>
            <w:pPr>
              <w:ind w:left="206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Eddy Skaf</w:t>
            </w:r>
          </w:p>
        </w:tc>
      </w:tr>
      <w:tr>
        <w:trPr>
          <w:trHeight w:val="234"/>
        </w:trPr>
        <w:tc>
          <w:tcPr>
            <w:tcW w:w="3460" w:type="dxa"/>
            <w:vAlign w:val="bottom"/>
          </w:tcPr>
          <w:p>
            <w:pPr>
              <w:spacing w:after="0"/>
              <w:rPr>
                <w:sz w:val="20"/>
                <w:szCs w:val="20"/>
                <w:color w:val="auto"/>
              </w:rPr>
            </w:pPr>
          </w:p>
        </w:tc>
        <w:tc>
          <w:tcPr>
            <w:tcW w:w="270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19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Funding Agreement</w:t>
      </w:r>
      <w:r>
        <w:rPr>
          <w:rFonts w:ascii="Times New Roman" w:cs="Times New Roman" w:eastAsia="Times New Roman" w:hAnsi="Times New Roman"/>
          <w:sz w:val="18"/>
          <w:szCs w:val="18"/>
          <w:color w:val="auto"/>
        </w:rPr>
        <w:t>]</w:t>
      </w:r>
    </w:p>
    <w:p>
      <w:pPr>
        <w:sectPr>
          <w:pgSz w:w="11900" w:h="16838" w:orient="portrait"/>
          <w:cols w:equalWidth="0" w:num="1">
            <w:col w:w="11020"/>
          </w:cols>
          <w:pgMar w:left="440" w:top="266" w:right="439"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Share Subscription Agreement</w:t>
      </w: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[See Exhibit 99.2]</w:t>
      </w:r>
    </w:p>
    <w:p>
      <w:pPr>
        <w:sectPr>
          <w:pgSz w:w="11900" w:h="16838" w:orient="portrait"/>
          <w:cols w:equalWidth="0" w:num="1">
            <w:col w:w="9019"/>
          </w:cols>
          <w:pgMar w:left="1440" w:top="266" w:right="1440"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00" w:lineRule="exact"/>
        <w:rPr>
          <w:sz w:val="20"/>
          <w:szCs w:val="20"/>
          <w:color w:val="auto"/>
        </w:rPr>
      </w:pPr>
    </w:p>
    <w:p>
      <w:pPr>
        <w:spacing w:after="0" w:line="241"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7"/>
          <w:szCs w:val="17"/>
          <w:b w:val="1"/>
          <w:bCs w:val="1"/>
          <w:color w:val="auto"/>
        </w:rPr>
        <w:t>SHARE SUBSCRIPTION AGREEMENT</w:t>
      </w:r>
    </w:p>
    <w:p>
      <w:pPr>
        <w:spacing w:after="0" w:line="241"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dated as of December 18, 2023</w:t>
      </w:r>
    </w:p>
    <w:p>
      <w:pPr>
        <w:spacing w:after="0" w:line="225"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color w:val="auto"/>
        </w:rPr>
        <w:t>by and between</w:t>
      </w:r>
    </w:p>
    <w:p>
      <w:pPr>
        <w:spacing w:after="0" w:line="200" w:lineRule="exact"/>
        <w:rPr>
          <w:sz w:val="20"/>
          <w:szCs w:val="20"/>
          <w:color w:val="auto"/>
        </w:rPr>
      </w:pPr>
    </w:p>
    <w:p>
      <w:pPr>
        <w:spacing w:after="0" w:line="23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NIO INC.</w:t>
      </w:r>
    </w:p>
    <w:p>
      <w:pPr>
        <w:spacing w:after="0" w:line="229"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and</w:t>
      </w:r>
    </w:p>
    <w:p>
      <w:pPr>
        <w:spacing w:after="0" w:line="200" w:lineRule="exact"/>
        <w:rPr>
          <w:sz w:val="20"/>
          <w:szCs w:val="20"/>
          <w:color w:val="auto"/>
        </w:rPr>
      </w:pPr>
    </w:p>
    <w:p>
      <w:pPr>
        <w:spacing w:after="0" w:line="23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CYVN Investments RSC Ltd</w:t>
      </w:r>
    </w:p>
    <w:p>
      <w:pPr>
        <w:spacing w:after="0" w:line="162"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020"/>
          </w:cols>
          <w:pgMar w:left="1440" w:top="117" w:right="4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8"/>
        </w:trPr>
        <w:tc>
          <w:tcPr>
            <w:tcW w:w="200" w:type="dxa"/>
            <w:vAlign w:val="bottom"/>
          </w:tcPr>
          <w:p>
            <w:pPr>
              <w:spacing w:after="0"/>
              <w:rPr>
                <w:sz w:val="20"/>
                <w:szCs w:val="20"/>
                <w:color w:val="auto"/>
              </w:rPr>
            </w:pPr>
          </w:p>
        </w:tc>
        <w:tc>
          <w:tcPr>
            <w:tcW w:w="8420" w:type="dxa"/>
            <w:vAlign w:val="bottom"/>
          </w:tcPr>
          <w:p>
            <w:pPr>
              <w:ind w:left="43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340" w:type="dxa"/>
            <w:vAlign w:val="bottom"/>
          </w:tcPr>
          <w:p>
            <w:pPr>
              <w:spacing w:after="0"/>
              <w:rPr>
                <w:sz w:val="20"/>
                <w:szCs w:val="20"/>
                <w:color w:val="auto"/>
              </w:rPr>
            </w:pPr>
          </w:p>
        </w:tc>
      </w:tr>
      <w:tr>
        <w:trPr>
          <w:trHeight w:val="459"/>
        </w:trPr>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1.</w:t>
            </w:r>
          </w:p>
        </w:tc>
        <w:tc>
          <w:tcPr>
            <w:tcW w:w="8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DEFINITIONS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24"/>
        </w:trPr>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2.</w:t>
            </w:r>
          </w:p>
        </w:tc>
        <w:tc>
          <w:tcPr>
            <w:tcW w:w="8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PURCHASE AND SALE OF SECURITIES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324"/>
        </w:trPr>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3.</w:t>
            </w:r>
          </w:p>
        </w:tc>
        <w:tc>
          <w:tcPr>
            <w:tcW w:w="8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REPRESENTATIONS AND WARRANTIES OF THE PURCHASER</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324"/>
        </w:trPr>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4.</w:t>
            </w:r>
          </w:p>
        </w:tc>
        <w:tc>
          <w:tcPr>
            <w:tcW w:w="8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REPRESENTATIONS AND WARRANTIES OF THE COMPANY</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324"/>
        </w:trPr>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5.</w:t>
            </w:r>
          </w:p>
        </w:tc>
        <w:tc>
          <w:tcPr>
            <w:tcW w:w="8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COVENANTS AND ADDITIONAL AGREEMENTS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324"/>
        </w:trPr>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6.</w:t>
            </w:r>
          </w:p>
        </w:tc>
        <w:tc>
          <w:tcPr>
            <w:tcW w:w="8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CONDITIONS TO THE COMPANY’S OBLIGATIONS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324"/>
        </w:trPr>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7.</w:t>
            </w:r>
          </w:p>
        </w:tc>
        <w:tc>
          <w:tcPr>
            <w:tcW w:w="8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CONDITIONS TO THE PURCHASER’S OBLIGATIONS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324"/>
        </w:trPr>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8.</w:t>
            </w:r>
          </w:p>
        </w:tc>
        <w:tc>
          <w:tcPr>
            <w:tcW w:w="8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TERMINATION</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324"/>
        </w:trPr>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9.</w:t>
            </w:r>
          </w:p>
        </w:tc>
        <w:tc>
          <w:tcPr>
            <w:tcW w:w="8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MISCELLANEOUS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364"/>
        </w:trPr>
        <w:tc>
          <w:tcPr>
            <w:tcW w:w="200" w:type="dxa"/>
            <w:vAlign w:val="bottom"/>
          </w:tcPr>
          <w:p>
            <w:pPr>
              <w:spacing w:after="0"/>
              <w:rPr>
                <w:sz w:val="24"/>
                <w:szCs w:val="24"/>
                <w:color w:val="auto"/>
              </w:rPr>
            </w:pPr>
          </w:p>
        </w:tc>
        <w:tc>
          <w:tcPr>
            <w:tcW w:w="8420" w:type="dxa"/>
            <w:vAlign w:val="bottom"/>
          </w:tcPr>
          <w:p>
            <w:pPr>
              <w:ind w:left="5280"/>
              <w:spacing w:after="0"/>
              <w:rPr>
                <w:sz w:val="20"/>
                <w:szCs w:val="20"/>
                <w:color w:val="auto"/>
              </w:rPr>
            </w:pPr>
            <w:r>
              <w:rPr>
                <w:rFonts w:ascii="Times New Roman" w:cs="Times New Roman" w:eastAsia="Times New Roman" w:hAnsi="Times New Roman"/>
                <w:sz w:val="18"/>
                <w:szCs w:val="18"/>
                <w:color w:val="auto"/>
              </w:rPr>
              <w:t>i</w:t>
            </w:r>
          </w:p>
        </w:tc>
        <w:tc>
          <w:tcPr>
            <w:tcW w:w="234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960"/>
          </w:cols>
          <w:pgMar w:left="440" w:top="266"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12" w:name="page13"/>
    <w:bookmarkEnd w:id="12"/>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SHARE SUBSCRIPTION AGREEMENT</w:t>
      </w:r>
    </w:p>
    <w:p>
      <w:pPr>
        <w:spacing w:after="0" w:line="225" w:lineRule="exact"/>
        <w:rPr>
          <w:sz w:val="20"/>
          <w:szCs w:val="20"/>
          <w:color w:val="auto"/>
        </w:rPr>
      </w:pPr>
    </w:p>
    <w:p>
      <w:pPr>
        <w:ind w:left="4" w:right="10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SHARE SUBSCRIPTION AGREEMENT </w:t>
      </w:r>
      <w:r>
        <w:rPr>
          <w:rFonts w:ascii="Times New Roman" w:cs="Times New Roman" w:eastAsia="Times New Roman" w:hAnsi="Times New Roman"/>
          <w:sz w:val="18"/>
          <w:szCs w:val="18"/>
          <w:color w:val="auto"/>
        </w:rPr>
        <w:t>(this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dated as of December 18, 2023, by and between NIO Inc., an exempted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incorporated in the Cayman Islands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CYVN Investments RSC Ltd, a restricted scope company incorporated in the Abu Dhabi Global Market, Abu Dhabi, United Arab Emirates (the “</w:t>
      </w:r>
      <w:r>
        <w:rPr>
          <w:rFonts w:ascii="Times New Roman" w:cs="Times New Roman" w:eastAsia="Times New Roman" w:hAnsi="Times New Roman"/>
          <w:sz w:val="18"/>
          <w:szCs w:val="18"/>
          <w:b w:val="1"/>
          <w:bCs w:val="1"/>
          <w:color w:val="auto"/>
        </w:rPr>
        <w:t>Purchaser</w:t>
      </w:r>
      <w:r>
        <w:rPr>
          <w:rFonts w:ascii="Times New Roman" w:cs="Times New Roman" w:eastAsia="Times New Roman" w:hAnsi="Times New Roman"/>
          <w:sz w:val="18"/>
          <w:szCs w:val="18"/>
          <w:color w:val="auto"/>
        </w:rPr>
        <w:t>”).</w:t>
      </w:r>
    </w:p>
    <w:p>
      <w:pPr>
        <w:spacing w:after="0" w:line="38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WHEREAS</w:t>
      </w:r>
    </w:p>
    <w:p>
      <w:pPr>
        <w:spacing w:after="0" w:line="229" w:lineRule="exact"/>
        <w:rPr>
          <w:sz w:val="20"/>
          <w:szCs w:val="20"/>
          <w:color w:val="auto"/>
        </w:rPr>
      </w:pPr>
    </w:p>
    <w:p>
      <w:pPr>
        <w:ind w:left="4" w:right="240" w:firstLine="440"/>
        <w:spacing w:after="0" w:line="266" w:lineRule="auto"/>
        <w:rPr>
          <w:sz w:val="20"/>
          <w:szCs w:val="20"/>
          <w:color w:val="auto"/>
        </w:rPr>
      </w:pPr>
      <w:r>
        <w:rPr>
          <w:rFonts w:ascii="Times New Roman" w:cs="Times New Roman" w:eastAsia="Times New Roman" w:hAnsi="Times New Roman"/>
          <w:sz w:val="18"/>
          <w:szCs w:val="18"/>
          <w:color w:val="auto"/>
        </w:rPr>
        <w:t>The Company desires to issue, sell and deliver to the Purchaser, and the Purchaser desires to purchase and acquire from the Company, upon the terms and conditions set forth in this Agreement, an aggregate of 294,000,000 Class A Ordinary Shares, par value US$0.00025 per share, of the Company (the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4" w:right="20" w:firstLine="440"/>
        <w:spacing w:after="0" w:line="266" w:lineRule="auto"/>
        <w:rPr>
          <w:sz w:val="20"/>
          <w:szCs w:val="20"/>
          <w:color w:val="auto"/>
        </w:rPr>
      </w:pPr>
      <w:r>
        <w:rPr>
          <w:rFonts w:ascii="Times New Roman" w:cs="Times New Roman" w:eastAsia="Times New Roman" w:hAnsi="Times New Roman"/>
          <w:sz w:val="18"/>
          <w:szCs w:val="18"/>
          <w:color w:val="auto"/>
        </w:rPr>
        <w:t>NOW, THEREFORE, in consideration of the foregoing and representations, warranties, covenants and agreements set forth herein as well as other good and valuable consideration, the receipt and sufficiency of which are hereby acknowledged and accepted, and intending to be legally bound, the Company and the Purchaser hereby agree as follows:</w:t>
      </w:r>
    </w:p>
    <w:p>
      <w:pPr>
        <w:spacing w:after="0" w:line="284" w:lineRule="exact"/>
        <w:rPr>
          <w:sz w:val="20"/>
          <w:szCs w:val="20"/>
          <w:color w:val="auto"/>
        </w:rPr>
      </w:pPr>
    </w:p>
    <w:p>
      <w:pPr>
        <w:ind w:left="184" w:hanging="184"/>
        <w:spacing w:after="0"/>
        <w:tabs>
          <w:tab w:leader="none" w:pos="18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p>
    <w:p>
      <w:pPr>
        <w:spacing w:after="0" w:line="11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following capitalized terms shall have the following meanings for purposes of this Agreement:</w:t>
      </w:r>
    </w:p>
    <w:p>
      <w:pPr>
        <w:spacing w:after="0" w:line="2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1934 Act</w:t>
      </w:r>
      <w:r>
        <w:rPr>
          <w:rFonts w:ascii="Times New Roman" w:cs="Times New Roman" w:eastAsia="Times New Roman" w:hAnsi="Times New Roman"/>
          <w:sz w:val="18"/>
          <w:szCs w:val="18"/>
          <w:color w:val="auto"/>
        </w:rPr>
        <w:t>” means the United States Securities Exchange Act of 1934, as amended;</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Acceptance Notice</w:t>
      </w:r>
      <w:r>
        <w:rPr>
          <w:rFonts w:ascii="Times New Roman" w:cs="Times New Roman" w:eastAsia="Times New Roman" w:hAnsi="Times New Roman"/>
          <w:sz w:val="18"/>
          <w:szCs w:val="18"/>
          <w:color w:val="auto"/>
        </w:rPr>
        <w:t>” has the meaning set forth in Section 5(c)(iii);</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Act</w:t>
      </w:r>
      <w:r>
        <w:rPr>
          <w:rFonts w:ascii="Times New Roman" w:cs="Times New Roman" w:eastAsia="Times New Roman" w:hAnsi="Times New Roman"/>
          <w:sz w:val="18"/>
          <w:szCs w:val="18"/>
          <w:color w:val="auto"/>
        </w:rPr>
        <w:t>” means the Companies Act (As Revised) of the Cayman Islands;</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ADS</w:t>
      </w:r>
      <w:r>
        <w:rPr>
          <w:rFonts w:ascii="Times New Roman" w:cs="Times New Roman" w:eastAsia="Times New Roman" w:hAnsi="Times New Roman"/>
          <w:sz w:val="18"/>
          <w:szCs w:val="18"/>
          <w:color w:val="auto"/>
        </w:rPr>
        <w:t>” means American Depositary Share, each representing one (1) Class A Ordinary Shares of the Company as of the date hereof;</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means an “affiliate” within the meaning of Rule 405 under the Securities Act;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Aggregate Purchase Price</w:t>
      </w:r>
      <w:r>
        <w:rPr>
          <w:rFonts w:ascii="Times New Roman" w:cs="Times New Roman" w:eastAsia="Times New Roman" w:hAnsi="Times New Roman"/>
          <w:sz w:val="18"/>
          <w:szCs w:val="18"/>
          <w:color w:val="auto"/>
        </w:rPr>
        <w:t>” has the meaning set forth in Section 2(a);</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has the meaning set forth in the preamble;</w:t>
      </w:r>
    </w:p>
    <w:p>
      <w:pPr>
        <w:spacing w:after="0" w:line="225" w:lineRule="exact"/>
        <w:rPr>
          <w:sz w:val="20"/>
          <w:szCs w:val="20"/>
          <w:color w:val="auto"/>
        </w:rPr>
      </w:pPr>
    </w:p>
    <w:p>
      <w:pPr>
        <w:ind w:left="4" w:right="3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Anti-Corruption Laws</w:t>
      </w:r>
      <w:r>
        <w:rPr>
          <w:rFonts w:ascii="Times New Roman" w:cs="Times New Roman" w:eastAsia="Times New Roman" w:hAnsi="Times New Roman"/>
          <w:sz w:val="18"/>
          <w:szCs w:val="18"/>
          <w:color w:val="auto"/>
        </w:rPr>
        <w:t>” means the U.S. Foreign Corrupt Practices Act of 1977, the U.K. Bribery Act 2010, and any other applicable laws or regulations related to bribery or corruption;</w:t>
      </w:r>
    </w:p>
    <w:p>
      <w:pPr>
        <w:spacing w:after="0" w:line="155" w:lineRule="exact"/>
        <w:rPr>
          <w:sz w:val="20"/>
          <w:szCs w:val="20"/>
          <w:color w:val="auto"/>
        </w:rPr>
      </w:pPr>
    </w:p>
    <w:p>
      <w:pPr>
        <w:ind w:left="4"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Anti-Money Laundering Laws</w:t>
      </w:r>
      <w:r>
        <w:rPr>
          <w:rFonts w:ascii="Times New Roman" w:cs="Times New Roman" w:eastAsia="Times New Roman" w:hAnsi="Times New Roman"/>
          <w:sz w:val="18"/>
          <w:szCs w:val="18"/>
          <w:color w:val="auto"/>
        </w:rPr>
        <w:t>” means the Money Laundering Control Act of 1986 (18 U.S.C. §§ 1956-1957), the USA PATRIOT ACT ((Pub. L. No. 107-56), and the Bank Secrecy Act (31 U.S.C. §§5311-5332)), the UK Proceeds of Crime Act 2002, the UK Terrorism Act 2000, the Proceeds of Crime Act (Revised) of the Cayman Islands, the Anti-Money Laundering Regulations (Revised) of the Cayman Islands, the Terrorism Act (Revised) of the Cayman Islands, the Proliferation Financing (Prohibition) Act (Revised) of the Cayman Islands, the Guidance Notes on the Prevention and Detection of Money Laundering, Terrorist Financing and Proliferation Financing in the Cayman Islands, and any other applicable laws or regulations related to terrorist financing or money laundering;</w:t>
      </w:r>
    </w:p>
    <w:p>
      <w:pPr>
        <w:spacing w:after="0" w:line="11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04"/>
          </w:cols>
          <w:pgMar w:left="436" w:top="266" w:right="459" w:bottom="1440" w:gutter="0" w:footer="0" w:header="0"/>
        </w:sectPr>
      </w:pPr>
    </w:p>
    <w:bookmarkStart w:id="13" w:name="page14"/>
    <w:bookmarkEnd w:id="13"/>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means the Company’s Board of Directors;</w:t>
      </w:r>
    </w:p>
    <w:p>
      <w:pPr>
        <w:spacing w:after="0" w:line="225" w:lineRule="exact"/>
        <w:rPr>
          <w:sz w:val="20"/>
          <w:szCs w:val="20"/>
          <w:color w:val="auto"/>
        </w:rPr>
      </w:pPr>
    </w:p>
    <w:p>
      <w:pPr>
        <w:ind w:left="4"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any weekday that is not a day on which banking institutions in the Cayman Islands, the Hong Kong Special Administrative Region, New York City, Abu Dhabi or the PRC are authorized or required by law, regulation or executive order to be closed;</w:t>
      </w:r>
    </w:p>
    <w:p>
      <w:pPr>
        <w:spacing w:after="0" w:line="155" w:lineRule="exact"/>
        <w:rPr>
          <w:sz w:val="20"/>
          <w:szCs w:val="20"/>
          <w:color w:val="auto"/>
        </w:rPr>
      </w:pPr>
    </w:p>
    <w:p>
      <w:pPr>
        <w:ind w:left="4" w:right="30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Change of Control</w:t>
      </w:r>
      <w:r>
        <w:rPr>
          <w:rFonts w:ascii="Times New Roman" w:cs="Times New Roman" w:eastAsia="Times New Roman" w:hAnsi="Times New Roman"/>
          <w:sz w:val="18"/>
          <w:szCs w:val="18"/>
          <w:color w:val="auto"/>
        </w:rPr>
        <w:t>” means the consummation of any bona fide third party tender offer, merger, consolidation or other similar transaction the result of which is that any “person” (as defined in Section 13(d)(3) of the 1934 Act), or group of persons, other than the Company, becomes the beneficial owner (as defined in Rules 13d-3 and 13d-5 of the 1934 Act) of a majority of the total voting power of the voting stock of the Company;</w:t>
      </w:r>
    </w:p>
    <w:p>
      <w:pPr>
        <w:spacing w:after="0" w:line="17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Class A Ordinary Shares</w:t>
      </w:r>
      <w:r>
        <w:rPr>
          <w:rFonts w:ascii="Times New Roman" w:cs="Times New Roman" w:eastAsia="Times New Roman" w:hAnsi="Times New Roman"/>
          <w:sz w:val="18"/>
          <w:szCs w:val="18"/>
          <w:color w:val="auto"/>
        </w:rPr>
        <w:t>” means the Company’s Class A ordinary shares, par value US$0.00025 per share;</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has the meaning set forth in Section 2(b)(i);</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 has the meaning set forth in Section 2(b)(i);</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has the meaning set forth in the preamble;</w:t>
      </w:r>
    </w:p>
    <w:p>
      <w:pPr>
        <w:spacing w:after="0" w:line="225" w:lineRule="exact"/>
        <w:rPr>
          <w:sz w:val="20"/>
          <w:szCs w:val="20"/>
          <w:color w:val="auto"/>
        </w:rPr>
      </w:pPr>
    </w:p>
    <w:p>
      <w:pPr>
        <w:ind w:left="4" w:right="6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Articles</w:t>
      </w:r>
      <w:r>
        <w:rPr>
          <w:rFonts w:ascii="Times New Roman" w:cs="Times New Roman" w:eastAsia="Times New Roman" w:hAnsi="Times New Roman"/>
          <w:sz w:val="18"/>
          <w:szCs w:val="18"/>
          <w:color w:val="auto"/>
        </w:rPr>
        <w:t>” means the Thirteenth Amended and Restated Memorandum and Articles of Association of the Company, as may be amended from time to time;</w:t>
      </w:r>
    </w:p>
    <w:p>
      <w:pPr>
        <w:spacing w:after="0" w:line="15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Lock-Up Period</w:t>
      </w:r>
      <w:r>
        <w:rPr>
          <w:rFonts w:ascii="Times New Roman" w:cs="Times New Roman" w:eastAsia="Times New Roman" w:hAnsi="Times New Roman"/>
          <w:sz w:val="18"/>
          <w:szCs w:val="18"/>
          <w:color w:val="auto"/>
        </w:rPr>
        <w:t>” has the meaning set forth in Section 5(i);</w:t>
      </w:r>
    </w:p>
    <w:p>
      <w:pPr>
        <w:spacing w:after="0" w:line="225" w:lineRule="exact"/>
        <w:rPr>
          <w:sz w:val="20"/>
          <w:szCs w:val="20"/>
          <w:color w:val="auto"/>
        </w:rPr>
      </w:pPr>
    </w:p>
    <w:p>
      <w:pPr>
        <w:ind w:left="4" w:right="3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Contract</w:t>
      </w:r>
      <w:r>
        <w:rPr>
          <w:rFonts w:ascii="Times New Roman" w:cs="Times New Roman" w:eastAsia="Times New Roman" w:hAnsi="Times New Roman"/>
          <w:sz w:val="18"/>
          <w:szCs w:val="18"/>
          <w:color w:val="auto"/>
        </w:rPr>
        <w:t>” means any agreement, contract, lease, indenture, instrument, note, debenture, bond, mortgage or deed of trust or other agreement, arrangement or understanding;</w:t>
      </w:r>
    </w:p>
    <w:p>
      <w:pPr>
        <w:spacing w:after="0" w:line="15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Encumbrance</w:t>
      </w:r>
      <w:r>
        <w:rPr>
          <w:rFonts w:ascii="Times New Roman" w:cs="Times New Roman" w:eastAsia="Times New Roman" w:hAnsi="Times New Roman"/>
          <w:sz w:val="18"/>
          <w:szCs w:val="18"/>
          <w:color w:val="auto"/>
        </w:rPr>
        <w:t>” means any mortgage, lien, pledge, charge, security interest, title defect, preemptive or similar right or other encumbrance;</w:t>
      </w:r>
    </w:p>
    <w:p>
      <w:pPr>
        <w:spacing w:after="0" w:line="225" w:lineRule="exact"/>
        <w:rPr>
          <w:sz w:val="20"/>
          <w:szCs w:val="20"/>
          <w:color w:val="auto"/>
        </w:rPr>
      </w:pPr>
    </w:p>
    <w:p>
      <w:pPr>
        <w:ind w:left="4" w:right="120" w:firstLine="440"/>
        <w:spacing w:after="0" w:line="27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Equity Securities</w:t>
      </w:r>
      <w:r>
        <w:rPr>
          <w:rFonts w:ascii="Times New Roman" w:cs="Times New Roman" w:eastAsia="Times New Roman" w:hAnsi="Times New Roman"/>
          <w:sz w:val="17"/>
          <w:szCs w:val="17"/>
          <w:color w:val="auto"/>
        </w:rPr>
        <w:t>” means any and all (i) shares, interests, participations, or other equivalents (however designated) of capital stock, equity interests, registered capital, joint venture interest, partnership interest, equity-linked debt obligation or other voting or equity securities of the Company and any and all equivalent or analogous ownership (or profit) or voting interests in the Company, including in each case any such shares, interests, participations or other equivalents issued upon any conversion, (ii) securities convertible into or exchangeable for shares, interests, participations, or other equivalents (however designated) of capital stock or voting securities of (or other ownership or profit or voting interests in) the Company, and</w:t>
      </w:r>
    </w:p>
    <w:p>
      <w:pPr>
        <w:spacing w:after="0" w:line="3" w:lineRule="exact"/>
        <w:rPr>
          <w:sz w:val="20"/>
          <w:szCs w:val="20"/>
          <w:color w:val="auto"/>
        </w:rPr>
      </w:pPr>
    </w:p>
    <w:p>
      <w:pPr>
        <w:ind w:left="4" w:right="80" w:hanging="4"/>
        <w:spacing w:after="0" w:line="255" w:lineRule="auto"/>
        <w:tabs>
          <w:tab w:leader="none" w:pos="31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warrants, rights or options to purchase any of the foregoing, whether voting or nonvoting, and, in each case, whether or not such shares, interests, participations, equivalents, securities, warrants, options, rights, or other interests are authorized or otherwise existing on any date of determination;</w:t>
      </w:r>
    </w:p>
    <w:p>
      <w:pPr>
        <w:spacing w:after="0" w:line="182" w:lineRule="exact"/>
        <w:rPr>
          <w:sz w:val="20"/>
          <w:szCs w:val="20"/>
          <w:color w:val="auto"/>
        </w:rPr>
      </w:pPr>
    </w:p>
    <w:p>
      <w:pPr>
        <w:ind w:left="4" w:right="26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Ex-Im Laws</w:t>
      </w:r>
      <w:r>
        <w:rPr>
          <w:rFonts w:ascii="Times New Roman" w:cs="Times New Roman" w:eastAsia="Times New Roman" w:hAnsi="Times New Roman"/>
          <w:sz w:val="18"/>
          <w:szCs w:val="18"/>
          <w:color w:val="auto"/>
        </w:rPr>
        <w:t>” means (a) the U.S. Export Administration Regulations administered by the U.S. Department of Commerce, the International Traffic in Arms Regulations administered by the U.S. Department of State, and any other applicable laws or regulation related to export controls administered or enforced by an applicable Governmental Entity; and (b) import controls and customs laws administered by U.S. Customs and Border Protection and any other applicable Governmental Entity;</w:t>
      </w:r>
    </w:p>
    <w:p>
      <w:pPr>
        <w:spacing w:after="0" w:line="11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4"/>
          </w:cols>
          <w:pgMar w:left="436" w:top="266" w:right="459" w:bottom="1440" w:gutter="0" w:footer="0" w:header="0"/>
        </w:sectPr>
      </w:pPr>
    </w:p>
    <w:bookmarkStart w:id="14" w:name="page15"/>
    <w:bookmarkEnd w:id="14"/>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Exercise Period</w:t>
      </w:r>
      <w:r>
        <w:rPr>
          <w:rFonts w:ascii="Times New Roman" w:cs="Times New Roman" w:eastAsia="Times New Roman" w:hAnsi="Times New Roman"/>
          <w:sz w:val="18"/>
          <w:szCs w:val="18"/>
          <w:color w:val="auto"/>
        </w:rPr>
        <w:t>” has the meaning set forth in Section 5(c)(iii);</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GAAP</w:t>
      </w:r>
      <w:r>
        <w:rPr>
          <w:rFonts w:ascii="Times New Roman" w:cs="Times New Roman" w:eastAsia="Times New Roman" w:hAnsi="Times New Roman"/>
          <w:sz w:val="18"/>
          <w:szCs w:val="18"/>
          <w:color w:val="auto"/>
        </w:rPr>
        <w:t>” means generally accepted accounting principles in the United States;</w:t>
      </w:r>
    </w:p>
    <w:p>
      <w:pPr>
        <w:spacing w:after="0" w:line="225" w:lineRule="exact"/>
        <w:rPr>
          <w:sz w:val="20"/>
          <w:szCs w:val="20"/>
          <w:color w:val="auto"/>
        </w:rPr>
      </w:pPr>
    </w:p>
    <w:p>
      <w:pPr>
        <w:ind w:left="4" w:right="24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Governmental Entity</w:t>
      </w:r>
      <w:r>
        <w:rPr>
          <w:rFonts w:ascii="Times New Roman" w:cs="Times New Roman" w:eastAsia="Times New Roman" w:hAnsi="Times New Roman"/>
          <w:sz w:val="18"/>
          <w:szCs w:val="18"/>
          <w:color w:val="auto"/>
        </w:rPr>
        <w:t>” means any supranational, national, provincial, state, municipal, local or other government, whether U.S., PRC or otherwise, any instrumentality, subdivision, administrative agency or commission thereof, court, other governmental authority or regulatory body or instrumentality, or any quasi-governmental or private body exercising any regulatory, taxing, importing or other governmental or quasi-governmental authority or any self-regulatory agency (including any stock exchange);</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HKIAC</w:t>
      </w:r>
      <w:r>
        <w:rPr>
          <w:rFonts w:ascii="Times New Roman" w:cs="Times New Roman" w:eastAsia="Times New Roman" w:hAnsi="Times New Roman"/>
          <w:sz w:val="18"/>
          <w:szCs w:val="18"/>
          <w:color w:val="auto"/>
        </w:rPr>
        <w:t>” has the meaning set forth in Section 9(b);</w:t>
      </w:r>
    </w:p>
    <w:p>
      <w:pPr>
        <w:spacing w:after="0" w:line="225" w:lineRule="exact"/>
        <w:rPr>
          <w:sz w:val="20"/>
          <w:szCs w:val="20"/>
          <w:color w:val="auto"/>
        </w:rPr>
      </w:pPr>
    </w:p>
    <w:p>
      <w:pPr>
        <w:ind w:left="4" w:right="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Hong Kong Listing Rules</w:t>
      </w:r>
      <w:r>
        <w:rPr>
          <w:rFonts w:ascii="Times New Roman" w:cs="Times New Roman" w:eastAsia="Times New Roman" w:hAnsi="Times New Roman"/>
          <w:sz w:val="18"/>
          <w:szCs w:val="18"/>
          <w:color w:val="auto"/>
        </w:rPr>
        <w:t>” means the Rules Governing the Listing of Securities on The Stock Exchange of Hong Kong Limited, as amended or supplemented from time to time;</w:t>
      </w:r>
    </w:p>
    <w:p>
      <w:pPr>
        <w:spacing w:after="0" w:line="15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Hong Kong Stock Exchange</w:t>
      </w:r>
      <w:r>
        <w:rPr>
          <w:rFonts w:ascii="Times New Roman" w:cs="Times New Roman" w:eastAsia="Times New Roman" w:hAnsi="Times New Roman"/>
          <w:sz w:val="18"/>
          <w:szCs w:val="18"/>
          <w:color w:val="auto"/>
        </w:rPr>
        <w:t>” means The Stock Exchange of Hong Kong Limited;</w:t>
      </w:r>
    </w:p>
    <w:p>
      <w:pPr>
        <w:spacing w:after="0" w:line="225" w:lineRule="exact"/>
        <w:rPr>
          <w:sz w:val="20"/>
          <w:szCs w:val="20"/>
          <w:color w:val="auto"/>
        </w:rPr>
      </w:pPr>
    </w:p>
    <w:p>
      <w:pPr>
        <w:ind w:left="4" w:right="8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Hong Kong Stock Exchange Documents</w:t>
      </w:r>
      <w:r>
        <w:rPr>
          <w:rFonts w:ascii="Times New Roman" w:cs="Times New Roman" w:eastAsia="Times New Roman" w:hAnsi="Times New Roman"/>
          <w:sz w:val="18"/>
          <w:szCs w:val="18"/>
          <w:color w:val="auto"/>
        </w:rPr>
        <w:t>” means all announcements, proxy statements and other statements, reports, forms and other documents that are either required to be or have otherwise been filed by the Company with the Hong Kong Stock Exchange or published on the website of the Hong Kong Stock Exchange from time to time;</w:t>
      </w:r>
    </w:p>
    <w:p>
      <w:pPr>
        <w:spacing w:after="0" w:line="17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Issuance Notice</w:t>
      </w:r>
      <w:r>
        <w:rPr>
          <w:rFonts w:ascii="Times New Roman" w:cs="Times New Roman" w:eastAsia="Times New Roman" w:hAnsi="Times New Roman"/>
          <w:sz w:val="18"/>
          <w:szCs w:val="18"/>
          <w:color w:val="auto"/>
        </w:rPr>
        <w:t>” has the meaning set forth in Section 5(c)(iii);</w:t>
      </w:r>
    </w:p>
    <w:p>
      <w:pPr>
        <w:spacing w:after="0" w:line="225" w:lineRule="exact"/>
        <w:rPr>
          <w:sz w:val="20"/>
          <w:szCs w:val="20"/>
          <w:color w:val="auto"/>
        </w:rPr>
      </w:pPr>
    </w:p>
    <w:p>
      <w:pPr>
        <w:ind w:left="4" w:firstLine="440"/>
        <w:spacing w:after="0" w:line="26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Material Adverse Effect</w:t>
      </w:r>
      <w:r>
        <w:rPr>
          <w:rFonts w:ascii="Times New Roman" w:cs="Times New Roman" w:eastAsia="Times New Roman" w:hAnsi="Times New Roman"/>
          <w:sz w:val="17"/>
          <w:szCs w:val="17"/>
          <w:color w:val="auto"/>
        </w:rPr>
        <w:t>” means any event, occurrence, fact, condition, change or development, individually or together with other events, occurrences, facts, conditions, changes or developments, that has or would reasonably be expected to have a material adverse effect on (a) the business or operations of the Company and its Subsidiaries (taken as a whole) as presently conducted, or the condition (financial or otherwise), assets or results of operation of the Company and its Subsidiaries (taken as a whole) or (b) the ability of the Company to consummate the transactions contemplated by this Agreement; provided, however, that in determining whether a Material Adverse Effect has occurred, there shall be excluded any effect on the business of the Company or any Subsidiary relating to or arising in connection with (i) any action expressly required to be taken pursuant to the terms and conditions of this Agreement or taken at the written direction of the Purchaser, (ii) economic changes affecting the industry in which the Company and its Subsidiaries operate generally or the economy of the PRC or any other market where the Company and its Subsidiaries have material operations or sales generally, (iii) the execution, announcement or disclosure of this Agreement or the pendency or consummation of the transactions contemplated hereunder, (iv) changes in generally accepted accounting principles, (v) changes in general legal, tax or regulatory conditions, (vi) changes in national or international political or social conditions, including any engagement in hostilities or the occurrence of any military or terrorist attack or civil unrest, or</w:t>
      </w:r>
    </w:p>
    <w:p>
      <w:pPr>
        <w:spacing w:after="0" w:line="6" w:lineRule="exact"/>
        <w:rPr>
          <w:sz w:val="20"/>
          <w:szCs w:val="20"/>
          <w:color w:val="auto"/>
        </w:rPr>
      </w:pPr>
    </w:p>
    <w:p>
      <w:pPr>
        <w:ind w:left="4" w:right="80" w:hanging="4"/>
        <w:spacing w:after="0" w:line="252" w:lineRule="auto"/>
        <w:tabs>
          <w:tab w:leader="none" w:pos="35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earthquakes, hurricanes, floods, epidemic-induced public health crises or other disasters; provided further, however, that any event, occurrence, fact, condition, change or development referred to in clauses (ii), (vi) and (vii) immediately above shall be taken into account in determining whether a Material Adverse Effect has occurred or would reasonably be expected to occur to the extent that such event, occurrence, fact, condition, change or development has a disproportionate effect on the Company or its Subsidiaries (taken as a whole) compared to other similarly situated participants in the industries and geographies in which the Company and its Subsidiaries operate (in which case, only the incremental disproportionate adverse effect may be taken into account in determining whether a Material Adverse Effect has occurred).</w:t>
      </w:r>
    </w:p>
    <w:p>
      <w:pPr>
        <w:spacing w:after="0" w:line="12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4"/>
          </w:cols>
          <w:pgMar w:left="436" w:top="266" w:right="459" w:bottom="1440" w:gutter="0" w:footer="0" w:header="0"/>
        </w:sectPr>
      </w:pPr>
    </w:p>
    <w:bookmarkStart w:id="15" w:name="page16"/>
    <w:bookmarkEnd w:id="15"/>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NYSE</w:t>
      </w:r>
      <w:r>
        <w:rPr>
          <w:rFonts w:ascii="Times New Roman" w:cs="Times New Roman" w:eastAsia="Times New Roman" w:hAnsi="Times New Roman"/>
          <w:sz w:val="18"/>
          <w:szCs w:val="18"/>
          <w:color w:val="auto"/>
        </w:rPr>
        <w:t>” means the New York Stock Exchange;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OEMs</w:t>
      </w:r>
      <w:r>
        <w:rPr>
          <w:rFonts w:ascii="Times New Roman" w:cs="Times New Roman" w:eastAsia="Times New Roman" w:hAnsi="Times New Roman"/>
          <w:sz w:val="18"/>
          <w:szCs w:val="18"/>
          <w:color w:val="auto"/>
        </w:rPr>
        <w:t>” has the meaning set forth in Section 5(e);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Offer Notice</w:t>
      </w:r>
      <w:r>
        <w:rPr>
          <w:rFonts w:ascii="Times New Roman" w:cs="Times New Roman" w:eastAsia="Times New Roman" w:hAnsi="Times New Roman"/>
          <w:sz w:val="18"/>
          <w:szCs w:val="18"/>
          <w:color w:val="auto"/>
        </w:rPr>
        <w:t>” has the meaning set forth in Section 5(d);</w:t>
      </w:r>
    </w:p>
    <w:p>
      <w:pPr>
        <w:spacing w:after="0" w:line="225" w:lineRule="exact"/>
        <w:rPr>
          <w:sz w:val="20"/>
          <w:szCs w:val="20"/>
          <w:color w:val="auto"/>
        </w:rPr>
      </w:pPr>
    </w:p>
    <w:p>
      <w:pPr>
        <w:ind w:right="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 individual, a limited liability company, a partnership, a joint venture, a corporation, a trust, an unincorporated organization or a government or any department or agency thereof;</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PRC</w:t>
      </w:r>
      <w:r>
        <w:rPr>
          <w:rFonts w:ascii="Times New Roman" w:cs="Times New Roman" w:eastAsia="Times New Roman" w:hAnsi="Times New Roman"/>
          <w:sz w:val="18"/>
          <w:szCs w:val="18"/>
          <w:color w:val="auto"/>
        </w:rPr>
        <w:t>” means the People’s Republic of China;</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Proposed Issuance</w:t>
      </w:r>
      <w:r>
        <w:rPr>
          <w:rFonts w:ascii="Times New Roman" w:cs="Times New Roman" w:eastAsia="Times New Roman" w:hAnsi="Times New Roman"/>
          <w:sz w:val="18"/>
          <w:szCs w:val="18"/>
          <w:color w:val="auto"/>
        </w:rPr>
        <w:t>” has the meaning set forth in Section 5(c)(i);</w:t>
      </w:r>
    </w:p>
    <w:p>
      <w:pPr>
        <w:spacing w:after="0" w:line="225" w:lineRule="exact"/>
        <w:rPr>
          <w:sz w:val="20"/>
          <w:szCs w:val="20"/>
          <w:color w:val="auto"/>
        </w:rPr>
      </w:pPr>
    </w:p>
    <w:p>
      <w:pPr>
        <w:ind w:right="6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Public Documents</w:t>
      </w:r>
      <w:r>
        <w:rPr>
          <w:rFonts w:ascii="Times New Roman" w:cs="Times New Roman" w:eastAsia="Times New Roman" w:hAnsi="Times New Roman"/>
          <w:sz w:val="18"/>
          <w:szCs w:val="18"/>
          <w:color w:val="auto"/>
        </w:rPr>
        <w:t>” means, collectively, the SEC Documents, the Hong Kong Stock Exchange Documents and the Singapore Exchange Documents;</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Purchase Price</w:t>
      </w:r>
      <w:r>
        <w:rPr>
          <w:rFonts w:ascii="Times New Roman" w:cs="Times New Roman" w:eastAsia="Times New Roman" w:hAnsi="Times New Roman"/>
          <w:sz w:val="18"/>
          <w:szCs w:val="18"/>
          <w:color w:val="auto"/>
        </w:rPr>
        <w:t>” has the meaning set forth in Section 2(a);</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Purchaser</w:t>
      </w:r>
      <w:r>
        <w:rPr>
          <w:rFonts w:ascii="Times New Roman" w:cs="Times New Roman" w:eastAsia="Times New Roman" w:hAnsi="Times New Roman"/>
          <w:sz w:val="18"/>
          <w:szCs w:val="18"/>
          <w:color w:val="auto"/>
        </w:rPr>
        <w:t>” has the meaning set forth in the preamble;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Purchaser Designee</w:t>
      </w:r>
      <w:r>
        <w:rPr>
          <w:rFonts w:ascii="Times New Roman" w:cs="Times New Roman" w:eastAsia="Times New Roman" w:hAnsi="Times New Roman"/>
          <w:sz w:val="18"/>
          <w:szCs w:val="18"/>
          <w:color w:val="auto"/>
        </w:rPr>
        <w:t>” has the meaning set forth in Section 5(a);</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Purchaser Lock-Up Period</w:t>
      </w:r>
      <w:r>
        <w:rPr>
          <w:rFonts w:ascii="Times New Roman" w:cs="Times New Roman" w:eastAsia="Times New Roman" w:hAnsi="Times New Roman"/>
          <w:sz w:val="18"/>
          <w:szCs w:val="18"/>
          <w:color w:val="auto"/>
        </w:rPr>
        <w:t>” has the meaning set forth in Section 5(h);</w:t>
      </w:r>
    </w:p>
    <w:p>
      <w:pPr>
        <w:spacing w:after="0" w:line="225" w:lineRule="exact"/>
        <w:rPr>
          <w:sz w:val="20"/>
          <w:szCs w:val="20"/>
          <w:color w:val="auto"/>
        </w:rPr>
      </w:pPr>
    </w:p>
    <w:p>
      <w:pPr>
        <w:ind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Sanctioned Country</w:t>
      </w:r>
      <w:r>
        <w:rPr>
          <w:rFonts w:ascii="Times New Roman" w:cs="Times New Roman" w:eastAsia="Times New Roman" w:hAnsi="Times New Roman"/>
          <w:sz w:val="18"/>
          <w:szCs w:val="18"/>
          <w:color w:val="auto"/>
        </w:rPr>
        <w:t>” means any country or territory that is itself the target of comprehensive Sanctions (including Cuba, Iran, North Korea, Syria, Crimea and those portions of the Donetsk People’s Republic, Luhansk People’s Republic, Kherson and Zaporizhzhia regions (and such other regions) of Ukraine over which any Sanctions authority imposes comprehensive Sanctions), or any country or territory whose government is the subject of Sanctions (including Venezuela) or that is otherwise the subject of broad Sanctions restrictions (including Afghanistan, Russia and Belarus).</w:t>
      </w:r>
    </w:p>
    <w:p>
      <w:pPr>
        <w:spacing w:after="0" w:line="176" w:lineRule="exact"/>
        <w:rPr>
          <w:sz w:val="20"/>
          <w:szCs w:val="20"/>
          <w:color w:val="auto"/>
        </w:rPr>
      </w:pPr>
    </w:p>
    <w:p>
      <w:pPr>
        <w:ind w:right="6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Sanctioned Person</w:t>
      </w:r>
      <w:r>
        <w:rPr>
          <w:rFonts w:ascii="Times New Roman" w:cs="Times New Roman" w:eastAsia="Times New Roman" w:hAnsi="Times New Roman"/>
          <w:sz w:val="18"/>
          <w:szCs w:val="18"/>
          <w:color w:val="auto"/>
        </w:rPr>
        <w:t>” means any Person that is (a) the target of Sanctions, including any Person identified on the U.S. Department of the Treasury’s Office of Foreign Assets Control (“</w:t>
      </w:r>
      <w:r>
        <w:rPr>
          <w:rFonts w:ascii="Times New Roman" w:cs="Times New Roman" w:eastAsia="Times New Roman" w:hAnsi="Times New Roman"/>
          <w:sz w:val="18"/>
          <w:szCs w:val="18"/>
          <w:b w:val="1"/>
          <w:bCs w:val="1"/>
          <w:color w:val="auto"/>
        </w:rPr>
        <w:t>OFAC</w:t>
      </w:r>
      <w:r>
        <w:rPr>
          <w:rFonts w:ascii="Times New Roman" w:cs="Times New Roman" w:eastAsia="Times New Roman" w:hAnsi="Times New Roman"/>
          <w:sz w:val="18"/>
          <w:szCs w:val="18"/>
          <w:color w:val="auto"/>
        </w:rPr>
        <w:t>”) Specially Designated Nationals and Blocked Persons List, Sectoral Sanctions Identifications List, or any other Sanctions-related list maintained by a Sanctions authority; (b) a Person that is organized, located or resident in a Sanctioned Country; or (c) any Person owned or controlled by any Person(s) described in clause(s) (a) and/or (b).</w:t>
      </w:r>
    </w:p>
    <w:p>
      <w:pPr>
        <w:spacing w:after="0" w:line="176" w:lineRule="exact"/>
        <w:rPr>
          <w:sz w:val="20"/>
          <w:szCs w:val="20"/>
          <w:color w:val="auto"/>
        </w:rPr>
      </w:pPr>
    </w:p>
    <w:p>
      <w:pPr>
        <w:jc w:val="both"/>
        <w:ind w:right="8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Sanctions</w:t>
      </w:r>
      <w:r>
        <w:rPr>
          <w:rFonts w:ascii="Times New Roman" w:cs="Times New Roman" w:eastAsia="Times New Roman" w:hAnsi="Times New Roman"/>
          <w:sz w:val="18"/>
          <w:szCs w:val="18"/>
          <w:color w:val="auto"/>
        </w:rPr>
        <w:t>” means economic, financial and trade sanctions administered or enforced by the United States (including OFAC, U.S. Department of State, and U.S. Department of Commerce); European Union and each member state thereof; United Kingdom (including Her Majesty’s Treasury); and United Nations Security Council.</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means the U.S. Securities and Exchange Commission;</w:t>
      </w:r>
    </w:p>
    <w:p>
      <w:pPr>
        <w:spacing w:after="0" w:line="16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40"/>
          </w:cols>
          <w:pgMar w:left="440" w:top="266" w:right="519" w:bottom="1440" w:gutter="0" w:footer="0" w:header="0"/>
        </w:sectPr>
      </w:pPr>
    </w:p>
    <w:bookmarkStart w:id="16" w:name="page17"/>
    <w:bookmarkEnd w:id="16"/>
    <w:p>
      <w:pPr>
        <w:ind w:right="100" w:firstLine="44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SEC Documents</w:t>
      </w:r>
      <w:r>
        <w:rPr>
          <w:rFonts w:ascii="Times New Roman" w:cs="Times New Roman" w:eastAsia="Times New Roman" w:hAnsi="Times New Roman"/>
          <w:sz w:val="18"/>
          <w:szCs w:val="18"/>
          <w:color w:val="auto"/>
        </w:rPr>
        <w:t>” means all registration statements, proxy statements and other statements, reports, schedules, forms and other documents that are either required from time to time to be or have otherwise been filed or furnished by the Company with or to the SEC, and all exhibits included therein and financial statements, notes and schedules thereto and documents incorporated by reference therein;</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means the United States Securities Act of 1933, as amended, and all of the rules and regulations promulgated thereunder;</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SFC</w:t>
      </w:r>
      <w:r>
        <w:rPr>
          <w:rFonts w:ascii="Times New Roman" w:cs="Times New Roman" w:eastAsia="Times New Roman" w:hAnsi="Times New Roman"/>
          <w:sz w:val="18"/>
          <w:szCs w:val="18"/>
          <w:color w:val="auto"/>
        </w:rPr>
        <w:t>” has the meaning set forth in Section 4(p);</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SFO</w:t>
      </w:r>
      <w:r>
        <w:rPr>
          <w:rFonts w:ascii="Times New Roman" w:cs="Times New Roman" w:eastAsia="Times New Roman" w:hAnsi="Times New Roman"/>
          <w:sz w:val="18"/>
          <w:szCs w:val="18"/>
          <w:color w:val="auto"/>
        </w:rPr>
        <w:t>” has the meaning set forth in Section 4(p);</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Singapore Exchange</w:t>
      </w:r>
      <w:r>
        <w:rPr>
          <w:rFonts w:ascii="Times New Roman" w:cs="Times New Roman" w:eastAsia="Times New Roman" w:hAnsi="Times New Roman"/>
          <w:sz w:val="18"/>
          <w:szCs w:val="18"/>
          <w:color w:val="auto"/>
        </w:rPr>
        <w:t>” means The Singapore Exchange Securities Trading Limited;</w:t>
      </w:r>
    </w:p>
    <w:p>
      <w:pPr>
        <w:spacing w:after="0" w:line="225" w:lineRule="exact"/>
        <w:rPr>
          <w:sz w:val="20"/>
          <w:szCs w:val="20"/>
          <w:color w:val="auto"/>
        </w:rPr>
      </w:pPr>
    </w:p>
    <w:p>
      <w:pPr>
        <w:ind w:right="18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Singapore Exchange Documents</w:t>
      </w:r>
      <w:r>
        <w:rPr>
          <w:rFonts w:ascii="Times New Roman" w:cs="Times New Roman" w:eastAsia="Times New Roman" w:hAnsi="Times New Roman"/>
          <w:sz w:val="18"/>
          <w:szCs w:val="18"/>
          <w:color w:val="auto"/>
        </w:rPr>
        <w:t>” means all announcements, proxy statements and other statements, reports, forms and other documents that are either required to be or have otherwise been filed by the Company with the Singapore Exchange or published on the website of the Singapore Exchange from time to time;</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Strategy Committee</w:t>
      </w:r>
      <w:r>
        <w:rPr>
          <w:rFonts w:ascii="Times New Roman" w:cs="Times New Roman" w:eastAsia="Times New Roman" w:hAnsi="Times New Roman"/>
          <w:sz w:val="18"/>
          <w:szCs w:val="18"/>
          <w:color w:val="auto"/>
        </w:rPr>
        <w:t>” has the meaning set forth in Section 5(b);</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Subject Transaction</w:t>
      </w:r>
      <w:r>
        <w:rPr>
          <w:rFonts w:ascii="Times New Roman" w:cs="Times New Roman" w:eastAsia="Times New Roman" w:hAnsi="Times New Roman"/>
          <w:sz w:val="18"/>
          <w:szCs w:val="18"/>
          <w:color w:val="auto"/>
        </w:rPr>
        <w:t>” has the meaning set forth in Section 5(d);</w:t>
      </w:r>
    </w:p>
    <w:p>
      <w:pPr>
        <w:spacing w:after="0" w:line="225" w:lineRule="exact"/>
        <w:rPr>
          <w:sz w:val="20"/>
          <w:szCs w:val="20"/>
          <w:color w:val="auto"/>
        </w:rPr>
      </w:pPr>
    </w:p>
    <w:p>
      <w:pPr>
        <w:jc w:val="both"/>
        <w:ind w:firstLine="440"/>
        <w:spacing w:after="0" w:line="28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Subsidiary</w:t>
      </w:r>
      <w:r>
        <w:rPr>
          <w:rFonts w:ascii="Times New Roman" w:cs="Times New Roman" w:eastAsia="Times New Roman" w:hAnsi="Times New Roman"/>
          <w:sz w:val="17"/>
          <w:szCs w:val="17"/>
          <w:color w:val="auto"/>
        </w:rPr>
        <w:t>” means any entity of which a majority of the outstanding equity securities or other ownership interests representing a majority of the outstanding equity interests or otherwise having ordinary voting power to elect a majority of the board of directors or other Persons performing similar functions are at the time directly or indirectly owned or controlled by the Company, and includes any entity which is directly or indirectly controlled by the Company (including, for the avoidance of doubt, any variable interest entities that are consolidated into the financial statements of the Company);</w:t>
      </w:r>
    </w:p>
    <w:p>
      <w:pPr>
        <w:spacing w:after="0" w:line="161" w:lineRule="exact"/>
        <w:rPr>
          <w:sz w:val="20"/>
          <w:szCs w:val="20"/>
          <w:color w:val="auto"/>
        </w:rPr>
      </w:pPr>
    </w:p>
    <w:p>
      <w:pPr>
        <w:ind w:right="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Transaction Documents</w:t>
      </w:r>
      <w:r>
        <w:rPr>
          <w:rFonts w:ascii="Times New Roman" w:cs="Times New Roman" w:eastAsia="Times New Roman" w:hAnsi="Times New Roman"/>
          <w:sz w:val="18"/>
          <w:szCs w:val="18"/>
          <w:color w:val="auto"/>
        </w:rPr>
        <w:t>” means this Agreement and any other agreement, document or instrument entered into or delivered in connection with the transactions contemplated hereby or thereby;</w:t>
      </w:r>
    </w:p>
    <w:p>
      <w:pPr>
        <w:spacing w:after="0" w:line="155"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Transfer</w:t>
      </w:r>
      <w:r>
        <w:rPr>
          <w:rFonts w:ascii="Times New Roman" w:cs="Times New Roman" w:eastAsia="Times New Roman" w:hAnsi="Times New Roman"/>
          <w:sz w:val="18"/>
          <w:szCs w:val="18"/>
          <w:color w:val="auto"/>
        </w:rPr>
        <w:t>” means directly or indirectly, offer, sell, contract to sell, pledge, transfer, assign, give, hypothecate, encumber, grant a security interest in, convey in trust, gift, devise or descent, or otherwise dispose of, or suffer to exist (whether by operation of law of otherwise) any Encumbrance on, any of the Securities or any right, title or interest therein or thereto, or enter into a transaction which would have the same effect, or enter into any swap, hedge or other arrangement that transfers, in whole or in part, any of the economic consequences of ownership of any of the Securities, whether any such aforementioned transaction is to be settled by delivery of the Company’s securities, in cash or otherwise, or publicly disclose the intention to make any such disposition or to enter into any such transaction, swap, hedge or other arrangement, including transfers pursuant to divorce or legal separation, transfers to receivers, levying creditors, trustees or receivers in bankruptcy proceedings or general assignees for the benefit of creditors, whether voluntary or by operation of law, directly or indirectly, of any of the Securities; and</w:t>
      </w:r>
    </w:p>
    <w:p>
      <w:pPr>
        <w:spacing w:after="0" w:line="1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40"/>
          </w:cols>
          <w:pgMar w:left="440" w:top="266" w:right="519" w:bottom="1440" w:gutter="0" w:footer="0" w:header="0"/>
        </w:sectPr>
      </w:pPr>
    </w:p>
    <w:bookmarkStart w:id="17" w:name="page18"/>
    <w:bookmarkEnd w:id="17"/>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U.S.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United States</w:t>
      </w:r>
      <w:r>
        <w:rPr>
          <w:rFonts w:ascii="Times New Roman" w:cs="Times New Roman" w:eastAsia="Times New Roman" w:hAnsi="Times New Roman"/>
          <w:sz w:val="18"/>
          <w:szCs w:val="18"/>
          <w:color w:val="auto"/>
        </w:rPr>
        <w:t>” means the United States of America.</w:t>
      </w:r>
    </w:p>
    <w:p>
      <w:pPr>
        <w:spacing w:after="0" w:line="337" w:lineRule="exact"/>
        <w:rPr>
          <w:sz w:val="20"/>
          <w:szCs w:val="20"/>
          <w:color w:val="auto"/>
        </w:rPr>
      </w:pPr>
    </w:p>
    <w:p>
      <w:pPr>
        <w:ind w:left="184" w:hanging="184"/>
        <w:spacing w:after="0"/>
        <w:tabs>
          <w:tab w:leader="none" w:pos="18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 AND SALE OF SECURITIES</w:t>
      </w:r>
    </w:p>
    <w:p>
      <w:pPr>
        <w:spacing w:after="0" w:line="117" w:lineRule="exact"/>
        <w:rPr>
          <w:rFonts w:ascii="Times New Roman" w:cs="Times New Roman" w:eastAsia="Times New Roman" w:hAnsi="Times New Roman"/>
          <w:sz w:val="18"/>
          <w:szCs w:val="18"/>
          <w:color w:val="auto"/>
        </w:rPr>
      </w:pPr>
    </w:p>
    <w:p>
      <w:pPr>
        <w:ind w:left="4" w:right="20" w:firstLine="436"/>
        <w:spacing w:after="0" w:line="256" w:lineRule="auto"/>
        <w:tabs>
          <w:tab w:leader="none" w:pos="689"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 of Shares</w:t>
      </w:r>
      <w:r>
        <w:rPr>
          <w:rFonts w:ascii="Times New Roman" w:cs="Times New Roman" w:eastAsia="Times New Roman" w:hAnsi="Times New Roman"/>
          <w:sz w:val="18"/>
          <w:szCs w:val="18"/>
          <w:color w:val="auto"/>
        </w:rPr>
        <w:t>. Subject to the terms and conditions of this Agreement, at the Closing (as defined below), the Company shall issue and sell to the Purchaser, and the Purchaser shall subscribe for and purchase from the Company, the Securities, free and clear of all Encumbrances (except for restrictions created by virtue of transactions contemplated by this Agreement), for the aggregate purchase price of US$2,205,000,000 (the “</w:t>
      </w:r>
      <w:r>
        <w:rPr>
          <w:rFonts w:ascii="Times New Roman" w:cs="Times New Roman" w:eastAsia="Times New Roman" w:hAnsi="Times New Roman"/>
          <w:sz w:val="18"/>
          <w:szCs w:val="18"/>
          <w:b w:val="1"/>
          <w:bCs w:val="1"/>
          <w:color w:val="auto"/>
        </w:rPr>
        <w:t>Aggregate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Purchase Price</w:t>
      </w:r>
      <w:r>
        <w:rPr>
          <w:rFonts w:ascii="Times New Roman" w:cs="Times New Roman" w:eastAsia="Times New Roman" w:hAnsi="Times New Roman"/>
          <w:sz w:val="18"/>
          <w:szCs w:val="18"/>
          <w:color w:val="auto"/>
        </w:rPr>
        <w:t>”), representing US$7.50 per Class A Ordinary Share (the “</w:t>
      </w:r>
      <w:r>
        <w:rPr>
          <w:rFonts w:ascii="Times New Roman" w:cs="Times New Roman" w:eastAsia="Times New Roman" w:hAnsi="Times New Roman"/>
          <w:sz w:val="18"/>
          <w:szCs w:val="18"/>
          <w:b w:val="1"/>
          <w:bCs w:val="1"/>
          <w:color w:val="auto"/>
        </w:rPr>
        <w:t>Purchase Price</w:t>
      </w:r>
      <w:r>
        <w:rPr>
          <w:rFonts w:ascii="Times New Roman" w:cs="Times New Roman" w:eastAsia="Times New Roman" w:hAnsi="Times New Roman"/>
          <w:sz w:val="18"/>
          <w:szCs w:val="18"/>
          <w:color w:val="auto"/>
        </w:rPr>
        <w:t>”), which took reference of and factored in the volume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weighted average price of Class A Ordinary Shares (as adjusted for the American depository share-to-Class A Ordinary Share ratio) on the NYSE over the 21 consecutive trading days immediately preceding December 18, 2023.</w:t>
      </w:r>
    </w:p>
    <w:p>
      <w:pPr>
        <w:spacing w:after="0" w:line="187"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4" w:firstLine="987"/>
        <w:spacing w:after="0" w:line="256" w:lineRule="auto"/>
        <w:tabs>
          <w:tab w:leader="none" w:pos="1210"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Date and Time</w:t>
      </w:r>
      <w:r>
        <w:rPr>
          <w:rFonts w:ascii="Times New Roman" w:cs="Times New Roman" w:eastAsia="Times New Roman" w:hAnsi="Times New Roman"/>
          <w:sz w:val="18"/>
          <w:szCs w:val="18"/>
          <w:color w:val="auto"/>
        </w:rPr>
        <w:t>. Subject to satisfaction or, to the extent permissible, waiver of the conditions set forth in Sections 6 and 7 (other than conditions that by their nature are to be satisfied upon the Closing, but subject to the satisfaction or, to the extent permissible, waiver of those conditions at the Closing by the applicable parties), the closing of the sale and purchase of the Securities (the “</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shall take place remotely via exchange of documents and signatures on such date that is no later than ten (10) Business Days after each of the conditions set forth in Sections 6 and 7 has been fulfilled or waived (other than those conditions that can be fulfilled only at the Closing), as is specified by the Company and the Purchaser or at such other date and location as may be mutually agreed in writing by the Company and the Purchaser (such date, the “</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ind w:left="1264" w:hanging="273"/>
        <w:spacing w:after="0"/>
        <w:tabs>
          <w:tab w:leader="none" w:pos="1264"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and Delivery</w:t>
      </w:r>
      <w:r>
        <w:rPr>
          <w:rFonts w:ascii="Times New Roman" w:cs="Times New Roman" w:eastAsia="Times New Roman" w:hAnsi="Times New Roman"/>
          <w:sz w:val="18"/>
          <w:szCs w:val="18"/>
          <w:color w:val="auto"/>
        </w:rPr>
        <w:t>. At the Closing:</w:t>
      </w:r>
    </w:p>
    <w:p>
      <w:pPr>
        <w:spacing w:after="0" w:line="225" w:lineRule="exact"/>
        <w:rPr>
          <w:rFonts w:ascii="Times New Roman" w:cs="Times New Roman" w:eastAsia="Times New Roman" w:hAnsi="Times New Roman"/>
          <w:sz w:val="18"/>
          <w:szCs w:val="18"/>
          <w:color w:val="auto"/>
        </w:rPr>
      </w:pPr>
    </w:p>
    <w:p>
      <w:pPr>
        <w:jc w:val="both"/>
        <w:ind w:left="4" w:right="560" w:firstLine="1428"/>
        <w:spacing w:after="0" w:line="312" w:lineRule="auto"/>
        <w:tabs>
          <w:tab w:leader="none" w:pos="1731" w:val="left"/>
        </w:tabs>
        <w:numPr>
          <w:ilvl w:val="3"/>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Purchaser shall pay or caused to be paid the Aggregate Purchase Price to the Company by electronic bank transfer of immediately available funds to a bank account designated in writing by the Company at least three (3) Business Days prior to the Closing Date;</w:t>
      </w:r>
    </w:p>
    <w:p>
      <w:pPr>
        <w:spacing w:after="0" w:line="139" w:lineRule="exact"/>
        <w:rPr>
          <w:rFonts w:ascii="Times New Roman" w:cs="Times New Roman" w:eastAsia="Times New Roman" w:hAnsi="Times New Roman"/>
          <w:sz w:val="17"/>
          <w:szCs w:val="17"/>
          <w:color w:val="auto"/>
        </w:rPr>
      </w:pPr>
    </w:p>
    <w:p>
      <w:pPr>
        <w:ind w:left="4" w:right="460" w:firstLine="1428"/>
        <w:spacing w:after="0" w:line="282" w:lineRule="auto"/>
        <w:tabs>
          <w:tab w:leader="none" w:pos="1721" w:val="left"/>
        </w:tabs>
        <w:numPr>
          <w:ilvl w:val="3"/>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deliver to the Purchaser an updated certified extract of the register of members of the Company kept in accordance with the Act evidencing the ownership of the Securities by the Purchaser;</w:t>
      </w:r>
    </w:p>
    <w:p>
      <w:pPr>
        <w:spacing w:after="0" w:line="161" w:lineRule="exact"/>
        <w:rPr>
          <w:rFonts w:ascii="Times New Roman" w:cs="Times New Roman" w:eastAsia="Times New Roman" w:hAnsi="Times New Roman"/>
          <w:sz w:val="18"/>
          <w:szCs w:val="18"/>
          <w:color w:val="auto"/>
        </w:rPr>
      </w:pPr>
    </w:p>
    <w:p>
      <w:pPr>
        <w:jc w:val="both"/>
        <w:ind w:left="4" w:right="240" w:firstLine="1428"/>
        <w:spacing w:after="0" w:line="312" w:lineRule="auto"/>
        <w:tabs>
          <w:tab w:leader="none" w:pos="1721" w:val="left"/>
        </w:tabs>
        <w:numPr>
          <w:ilvl w:val="3"/>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shall deliver to the Purchaser a certificate, executed on behalf of the Company by an executive officer or other authorized person, dated as of the Closing Date, certifying to the fulfillment of the conditions specified in Sections 7(b), 7(c), 7(d), 7(e) and 7(f); and</w:t>
      </w:r>
    </w:p>
    <w:p>
      <w:pPr>
        <w:spacing w:after="0" w:line="139" w:lineRule="exact"/>
        <w:rPr>
          <w:rFonts w:ascii="Times New Roman" w:cs="Times New Roman" w:eastAsia="Times New Roman" w:hAnsi="Times New Roman"/>
          <w:sz w:val="17"/>
          <w:szCs w:val="17"/>
          <w:color w:val="auto"/>
        </w:rPr>
      </w:pPr>
    </w:p>
    <w:p>
      <w:pPr>
        <w:ind w:left="4" w:firstLine="1428"/>
        <w:spacing w:after="0" w:line="282" w:lineRule="auto"/>
        <w:tabs>
          <w:tab w:leader="none" w:pos="1731" w:val="left"/>
        </w:tabs>
        <w:numPr>
          <w:ilvl w:val="3"/>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shall deliver to the Company a certificate, executed on behalf of the Purchaser by an executive or other authorized person, dated as of the Closing Date, certifying to the fulfillment of the conditions specified in Sections 6(b), 6(c) and 6(d).</w:t>
      </w:r>
    </w:p>
    <w:p>
      <w:pPr>
        <w:spacing w:after="0" w:line="269"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 OF THE PURCHASER</w:t>
      </w:r>
    </w:p>
    <w:p>
      <w:pPr>
        <w:spacing w:after="0" w:line="11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Purchaser represents and warrants to the Company as of the date hereof and as of the Closing Date that:</w:t>
      </w:r>
    </w:p>
    <w:p>
      <w:pPr>
        <w:spacing w:after="0" w:line="158"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64"/>
          </w:cols>
          <w:pgMar w:left="436" w:top="266" w:right="499" w:bottom="1440" w:gutter="0" w:footer="0" w:header="0"/>
        </w:sectPr>
      </w:pPr>
    </w:p>
    <w:bookmarkStart w:id="18" w:name="page19"/>
    <w:bookmarkEnd w:id="18"/>
    <w:p>
      <w:pPr>
        <w:ind w:right="40" w:firstLine="436"/>
        <w:spacing w:after="0" w:line="282" w:lineRule="auto"/>
        <w:tabs>
          <w:tab w:leader="none" w:pos="68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Organization</w:t>
      </w:r>
      <w:r>
        <w:rPr>
          <w:rFonts w:ascii="Times New Roman" w:cs="Times New Roman" w:eastAsia="Times New Roman" w:hAnsi="Times New Roman"/>
          <w:sz w:val="18"/>
          <w:szCs w:val="18"/>
          <w:color w:val="auto"/>
        </w:rPr>
        <w:t>. The Purchaser is a company duly organized and validly existing in good standing under the laws of the jurisdiction in which it is organized.</w:t>
      </w:r>
    </w:p>
    <w:p>
      <w:pPr>
        <w:spacing w:after="0" w:line="161" w:lineRule="exact"/>
        <w:rPr>
          <w:rFonts w:ascii="Times New Roman" w:cs="Times New Roman" w:eastAsia="Times New Roman" w:hAnsi="Times New Roman"/>
          <w:sz w:val="18"/>
          <w:szCs w:val="18"/>
          <w:color w:val="auto"/>
        </w:rPr>
      </w:pPr>
    </w:p>
    <w:p>
      <w:pPr>
        <w:ind w:firstLine="436"/>
        <w:spacing w:after="0" w:line="271" w:lineRule="auto"/>
        <w:tabs>
          <w:tab w:leader="none" w:pos="695"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Authorization; Enforcement; Validity</w:t>
      </w:r>
      <w:r>
        <w:rPr>
          <w:rFonts w:ascii="Times New Roman" w:cs="Times New Roman" w:eastAsia="Times New Roman" w:hAnsi="Times New Roman"/>
          <w:sz w:val="17"/>
          <w:szCs w:val="17"/>
          <w:color w:val="auto"/>
        </w:rPr>
        <w:t>. The Purchaser has the requisite entity power and authority to enter into and perform this Agreement and to consummate the transactions contemplated by this Agreement and each other Transaction Document to which it is a party. The execution and delivery of this Agreement by the Purchaser and the consummation of the transactions contemplated by and in compliance with the provisions of this Agreement have been, or at the Closing will be, duly authorized by all necessary entity action on the part of the Purchaser. This Agreement has been and, at or prior to the Closing, and each other Transaction Document to be delivered at the Closing will be, duly executed and delivered by the Purchaser and constitute the legal, valid and binding obligations of the Purchaser. This Agreement constitutes and, upon the execution and delivery thereof by the Purchaser, each other Transaction Document will constitute, the legal, valid and binding obligations of the Purchaser, enforceable against the Purchaser in accordance with their respective terms, except as such enforceability may be limited by general principles of equity or applicable bankruptcy, insolvency, reorganization, moratorium, liquidation or similar laws relating to, or affecting generally, the enforcement of applicable creditors’ rights and remedies.</w:t>
      </w:r>
    </w:p>
    <w:p>
      <w:pPr>
        <w:spacing w:after="0" w:line="173" w:lineRule="exact"/>
        <w:rPr>
          <w:rFonts w:ascii="Times New Roman" w:cs="Times New Roman" w:eastAsia="Times New Roman" w:hAnsi="Times New Roman"/>
          <w:sz w:val="17"/>
          <w:szCs w:val="17"/>
          <w:color w:val="auto"/>
        </w:rPr>
      </w:pPr>
    </w:p>
    <w:p>
      <w:pPr>
        <w:ind w:right="120" w:firstLine="436"/>
        <w:spacing w:after="0" w:line="256" w:lineRule="auto"/>
        <w:tabs>
          <w:tab w:leader="none" w:pos="68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Conflicts</w:t>
      </w:r>
      <w:r>
        <w:rPr>
          <w:rFonts w:ascii="Times New Roman" w:cs="Times New Roman" w:eastAsia="Times New Roman" w:hAnsi="Times New Roman"/>
          <w:sz w:val="18"/>
          <w:szCs w:val="18"/>
          <w:color w:val="auto"/>
        </w:rPr>
        <w:t>. The execution, delivery and performance by the Purchaser of this Agreement and the other Transaction Documents and the consummation by the Purchaser of the transactions contemplated hereby and thereby do not and will not (i) result in a violation of the organizational or constitutional documents of the Purchaser, or (ii) result in a violation of any law, rule, regulation, order, judgment or decree (including U.S. federal and state, and any other applicable, securities laws) applicable to the Purchaser, except in the case of clause (ii) above, for such violations which would not, individually or in the aggregate, reasonably be expected to have a material adverse effect on the ability of the Purchaser to perform its obligations hereunder.</w:t>
      </w:r>
    </w:p>
    <w:p>
      <w:pPr>
        <w:spacing w:after="0" w:line="187" w:lineRule="exact"/>
        <w:rPr>
          <w:rFonts w:ascii="Times New Roman" w:cs="Times New Roman" w:eastAsia="Times New Roman" w:hAnsi="Times New Roman"/>
          <w:sz w:val="18"/>
          <w:szCs w:val="18"/>
          <w:color w:val="auto"/>
        </w:rPr>
      </w:pPr>
    </w:p>
    <w:p>
      <w:pPr>
        <w:ind w:firstLine="436"/>
        <w:spacing w:after="0" w:line="256" w:lineRule="auto"/>
        <w:tabs>
          <w:tab w:leader="none" w:pos="69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Consents and Approvals</w:t>
      </w:r>
      <w:r>
        <w:rPr>
          <w:rFonts w:ascii="Times New Roman" w:cs="Times New Roman" w:eastAsia="Times New Roman" w:hAnsi="Times New Roman"/>
          <w:sz w:val="18"/>
          <w:szCs w:val="18"/>
          <w:color w:val="auto"/>
        </w:rPr>
        <w:t>. Neither the execution and delivery by the Purchaser of this Agreement or any other Transaction Document, nor the consummation by the Purchaser of any of the transactions contemplated hereby or thereby, nor the performance by the Purchaser of this Agreement or any other Transaction Document in accordance with its respective terms, requires the consent, approval, order or authorization of, or registration with, or the giving notice to, any Governmental Entity or any third party prior to the Closing, except (i) any filing or report required to be made with or submitted to the SEC, the Hong Kong Stock Exchange or the Singapore Exchange and (ii) for such that would not have a material adverse effect on the Purchaser’s ability to consummate the transactions contemplated by this Agreement.</w:t>
      </w:r>
    </w:p>
    <w:p>
      <w:pPr>
        <w:spacing w:after="0" w:line="187"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Status and Investment Intent</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20" w:firstLine="987"/>
        <w:spacing w:after="0" w:line="273" w:lineRule="auto"/>
        <w:tabs>
          <w:tab w:leader="none" w:pos="1206" w:val="left"/>
        </w:tabs>
        <w:numPr>
          <w:ilvl w:val="1"/>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Investment Experience</w:t>
      </w:r>
      <w:r>
        <w:rPr>
          <w:rFonts w:ascii="Times New Roman" w:cs="Times New Roman" w:eastAsia="Times New Roman" w:hAnsi="Times New Roman"/>
          <w:sz w:val="17"/>
          <w:szCs w:val="17"/>
          <w:color w:val="auto"/>
        </w:rPr>
        <w:t>. The Purchaser is a sophisticated investor with knowledge and experience in financial and business matters such that the Purchaser is capable of evaluating the merits and risks of the investment in the Securities. The Purchaser is able to bear the economic risks of an investment in the Securities. The Purchaser has carefully reviewed all documents relating to the transactions contemplated by this Agreement and has been provided with all other materials that it considers relevant to the transactions contemplated by this Agreement, has had a full opportunity to ask questions of and receive answers from the Company or any person acting on behalf of the Company concerning the terms and conditions of transactions contemplated by this Agreement. In making its decision to invest in the Company, the Purchaser is not relying upon, and has not relied upon, any statement, representation or warranty made by any person, except for the statements, representations and warranties contained in this Agreement.</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70" w:right="459" w:bottom="1440" w:gutter="0" w:footer="0" w:header="0"/>
        </w:sectPr>
      </w:pPr>
    </w:p>
    <w:bookmarkStart w:id="19" w:name="page20"/>
    <w:bookmarkEnd w:id="19"/>
    <w:p>
      <w:pPr>
        <w:ind w:right="60" w:firstLine="987"/>
        <w:spacing w:after="0" w:line="261" w:lineRule="auto"/>
        <w:tabs>
          <w:tab w:leader="none" w:pos="1256"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Restricted Securities</w:t>
      </w:r>
      <w:r>
        <w:rPr>
          <w:rFonts w:ascii="Times New Roman" w:cs="Times New Roman" w:eastAsia="Times New Roman" w:hAnsi="Times New Roman"/>
          <w:sz w:val="18"/>
          <w:szCs w:val="18"/>
          <w:color w:val="auto"/>
        </w:rPr>
        <w:t>. The Purchaser acknowledges that the Securities are “restricted securities” that have not been registered under the Securities Act or any applicable state securities law. The Purchaser further acknowledges that, absent an effective registration under the Securities Act, the Securities may only be offered, sold or otherwise transferred (x) to the Company, (y) outside the United States in accordance with Rule 904 of Regulation S under the Securities Act, or (z) pursuant to an exemption from registration under the Securities Act.</w:t>
      </w:r>
    </w:p>
    <w:p>
      <w:pPr>
        <w:spacing w:after="0" w:line="179" w:lineRule="exact"/>
        <w:rPr>
          <w:rFonts w:ascii="Times New Roman" w:cs="Times New Roman" w:eastAsia="Times New Roman" w:hAnsi="Times New Roman"/>
          <w:sz w:val="18"/>
          <w:szCs w:val="18"/>
          <w:color w:val="auto"/>
        </w:rPr>
      </w:pPr>
    </w:p>
    <w:p>
      <w:pPr>
        <w:ind w:left="1300" w:hanging="313"/>
        <w:spacing w:after="0"/>
        <w:tabs>
          <w:tab w:leader="none" w:pos="13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 U.S. Person</w:t>
      </w:r>
      <w:r>
        <w:rPr>
          <w:rFonts w:ascii="Times New Roman" w:cs="Times New Roman" w:eastAsia="Times New Roman" w:hAnsi="Times New Roman"/>
          <w:sz w:val="18"/>
          <w:szCs w:val="18"/>
          <w:color w:val="auto"/>
        </w:rPr>
        <w:t>. Such Purchaser is not a “U.S. person” as defined in Rule 902 of Regulation S.</w:t>
      </w:r>
    </w:p>
    <w:p>
      <w:pPr>
        <w:spacing w:after="0" w:line="225" w:lineRule="exact"/>
        <w:rPr>
          <w:rFonts w:ascii="Times New Roman" w:cs="Times New Roman" w:eastAsia="Times New Roman" w:hAnsi="Times New Roman"/>
          <w:sz w:val="18"/>
          <w:szCs w:val="18"/>
          <w:color w:val="auto"/>
        </w:rPr>
      </w:pPr>
    </w:p>
    <w:p>
      <w:pPr>
        <w:ind w:right="40" w:firstLine="436"/>
        <w:spacing w:after="0" w:line="261" w:lineRule="auto"/>
        <w:tabs>
          <w:tab w:leader="none" w:pos="66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Public Sale or Distribution</w:t>
      </w:r>
      <w:r>
        <w:rPr>
          <w:rFonts w:ascii="Times New Roman" w:cs="Times New Roman" w:eastAsia="Times New Roman" w:hAnsi="Times New Roman"/>
          <w:sz w:val="18"/>
          <w:szCs w:val="18"/>
          <w:color w:val="auto"/>
        </w:rPr>
        <w:t>. The Purchaser is acquiring the Securities for its own account and not with a view to, or with any intention of, resale, distribution or other disposition thereof in a manner that would violate the registration requirements of the Securities Act. The Purchaser does not presently have any agreement or understanding, directly or indirectly, with any Person to distribute any of the Securities. The Purchaser is not a broker-dealer registered with the SEC under the 1934 Act or an entity engaged in a business that would require it to be so registered as a broker-dealer.</w:t>
      </w:r>
    </w:p>
    <w:p>
      <w:pPr>
        <w:spacing w:after="0" w:line="179" w:lineRule="exact"/>
        <w:rPr>
          <w:rFonts w:ascii="Times New Roman" w:cs="Times New Roman" w:eastAsia="Times New Roman" w:hAnsi="Times New Roman"/>
          <w:sz w:val="18"/>
          <w:szCs w:val="18"/>
          <w:color w:val="auto"/>
        </w:rPr>
      </w:pPr>
    </w:p>
    <w:p>
      <w:pPr>
        <w:ind w:right="600" w:firstLine="436"/>
        <w:spacing w:after="0" w:line="282" w:lineRule="auto"/>
        <w:tabs>
          <w:tab w:leader="none" w:pos="69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Legends</w:t>
      </w:r>
      <w:r>
        <w:rPr>
          <w:rFonts w:ascii="Times New Roman" w:cs="Times New Roman" w:eastAsia="Times New Roman" w:hAnsi="Times New Roman"/>
          <w:sz w:val="18"/>
          <w:szCs w:val="18"/>
          <w:color w:val="auto"/>
        </w:rPr>
        <w:t>. The Purchaser understands that the Securities and the register of members of the Company shall bear, in addition to any other legends required under applicable laws, the following legend:</w:t>
      </w:r>
    </w:p>
    <w:p>
      <w:pPr>
        <w:spacing w:after="0" w:line="54" w:lineRule="exact"/>
        <w:rPr>
          <w:sz w:val="20"/>
          <w:szCs w:val="20"/>
          <w:color w:val="auto"/>
        </w:rPr>
      </w:pPr>
    </w:p>
    <w:p>
      <w:pPr>
        <w:ind w:left="440" w:right="300"/>
        <w:spacing w:after="0" w:line="257" w:lineRule="auto"/>
        <w:rPr>
          <w:sz w:val="20"/>
          <w:szCs w:val="20"/>
          <w:color w:val="auto"/>
        </w:rPr>
      </w:pPr>
      <w:r>
        <w:rPr>
          <w:rFonts w:ascii="Times New Roman" w:cs="Times New Roman" w:eastAsia="Times New Roman" w:hAnsi="Times New Roman"/>
          <w:sz w:val="18"/>
          <w:szCs w:val="18"/>
          <w:color w:val="auto"/>
        </w:rPr>
        <w:t>THE SECURITIES HAVE NOT BEEN REGISTERED UNDER THE SECURITIES ACT OF 1933, AS AMENDED (THE “SECURITIES ACT”), AND MAY NOT BE OFFERED, SOLD, PLEDGED OR OTHERWISE TRANSFERRED EXCEPT IN ACCORDANCE WITH THE FOLLOWING SENTENCE. BY ITS ACQUISITION HEREOF OR OF A BENEFICIAL INTEREST HEREIN, THE PURCHASER:</w:t>
      </w:r>
    </w:p>
    <w:p>
      <w:pPr>
        <w:spacing w:after="0" w:line="1" w:lineRule="exact"/>
        <w:rPr>
          <w:sz w:val="20"/>
          <w:szCs w:val="20"/>
          <w:color w:val="auto"/>
        </w:rPr>
      </w:pPr>
    </w:p>
    <w:p>
      <w:pPr>
        <w:ind w:left="440" w:hanging="4"/>
        <w:spacing w:after="0" w:line="251" w:lineRule="auto"/>
        <w:tabs>
          <w:tab w:leader="none" w:pos="69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THAT IT AND ANY ACCOUNT FOR WHICH IT IS ACTING IS LOCATED OUTSIDE THE UNITED STATES AND NOT A U.S. PERSON (WITHIN THE MEANING OF REGULATION S UNDER THE SECURITIES ACT), AND (2) AGREES FOR THE BENEFIT OF THE COMPANY THAT IT WILL NOT OFFER, SELL, PLEDGE OR OTHERWISE TRANSFER THE SECURITIES, OR ANY BENEFICIAL INTEREST HEREIN, EXCEPT (A) TO THE COMPANY OR ANY SUBSIDIARY THEREOF, (B) PURSUANT TO A REGISTRATION STATEMENT WHICH HAS BECOME EFFECTIVE UNDER THE SECURITIES ACT, (C) TO A NON-U.S. PERSON OUTSIDE THE UNITED STATES IN ACCORDANCE WITH REGULATION S UNDER THE SECURITIES ACT, OR (D) PURSUANT TO AN EXEMPTION FROM REGISTRATION PROVIDED UNDER THE SECURITIES ACT (IF AVAILABLE). THE SECURITIES ARE ALSO SUBJECT TO LOCK-UP PURSUANT TO THAT CERTAIN SHARE SUBSCRIPTION AGREEMENT, DATED AS OF DECEMBER 18, 2023, BY AND BETWEEN THE HOLDER OF SUCH SECURITIES, AND NIO INC., AND MAY ONLY BE OFFERED, SOLD, TRANSFERRED, PLEDGED OR OTHERWISE DISPOSED DURING THE TERM OF THE LOCK-UP PURSUANT TO THE TERMS SET FORTH IN SUCH SHARE SUBSCRIPTION AGREEMENT.</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20"/>
          </w:cols>
          <w:pgMar w:left="440" w:top="270" w:right="439" w:bottom="1440" w:gutter="0" w:footer="0" w:header="0"/>
        </w:sectPr>
      </w:pPr>
    </w:p>
    <w:bookmarkStart w:id="20" w:name="page21"/>
    <w:bookmarkEnd w:id="20"/>
    <w:p>
      <w:pPr>
        <w:jc w:val="both"/>
        <w:ind w:left="4" w:right="80" w:firstLine="436"/>
        <w:spacing w:after="0" w:line="266" w:lineRule="auto"/>
        <w:tabs>
          <w:tab w:leader="none" w:pos="69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Brokers and Finders</w:t>
      </w:r>
      <w:r>
        <w:rPr>
          <w:rFonts w:ascii="Times New Roman" w:cs="Times New Roman" w:eastAsia="Times New Roman" w:hAnsi="Times New Roman"/>
          <w:sz w:val="18"/>
          <w:szCs w:val="18"/>
          <w:color w:val="auto"/>
        </w:rPr>
        <w:t>. No Person will have, as a result of the transactions contemplated by the Transaction Documents, any valid right, interest or claim against or upon the Purchaser for any commission, fee or other compensation pursuant to any agreement, arrangement or understanding with a placement agent entered into by or on behalf of the Purchaser.</w:t>
      </w:r>
    </w:p>
    <w:p>
      <w:pPr>
        <w:spacing w:after="0" w:line="175" w:lineRule="exact"/>
        <w:rPr>
          <w:rFonts w:ascii="Times New Roman" w:cs="Times New Roman" w:eastAsia="Times New Roman" w:hAnsi="Times New Roman"/>
          <w:sz w:val="18"/>
          <w:szCs w:val="18"/>
          <w:color w:val="auto"/>
        </w:rPr>
      </w:pPr>
    </w:p>
    <w:p>
      <w:pPr>
        <w:ind w:left="4" w:right="140" w:firstLine="436"/>
        <w:spacing w:after="0" w:line="282" w:lineRule="auto"/>
        <w:tabs>
          <w:tab w:leader="none" w:pos="65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Sufficient Funding</w:t>
      </w:r>
      <w:r>
        <w:rPr>
          <w:rFonts w:ascii="Times New Roman" w:cs="Times New Roman" w:eastAsia="Times New Roman" w:hAnsi="Times New Roman"/>
          <w:sz w:val="18"/>
          <w:szCs w:val="18"/>
          <w:color w:val="auto"/>
        </w:rPr>
        <w:t>. The Purchaser has at its disposal sufficient funding to pay the Aggregate Purchase Price and consummate the transactions contemplated hereby.</w:t>
      </w:r>
    </w:p>
    <w:p>
      <w:pPr>
        <w:spacing w:after="0" w:line="161" w:lineRule="exact"/>
        <w:rPr>
          <w:rFonts w:ascii="Times New Roman" w:cs="Times New Roman" w:eastAsia="Times New Roman" w:hAnsi="Times New Roman"/>
          <w:sz w:val="18"/>
          <w:szCs w:val="18"/>
          <w:color w:val="auto"/>
        </w:rPr>
      </w:pPr>
    </w:p>
    <w:p>
      <w:pPr>
        <w:ind w:left="4" w:firstLine="436"/>
        <w:spacing w:after="0" w:line="282" w:lineRule="auto"/>
        <w:tabs>
          <w:tab w:leader="none" w:pos="65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Additional Representations</w:t>
      </w:r>
      <w:r>
        <w:rPr>
          <w:rFonts w:ascii="Times New Roman" w:cs="Times New Roman" w:eastAsia="Times New Roman" w:hAnsi="Times New Roman"/>
          <w:sz w:val="18"/>
          <w:szCs w:val="18"/>
          <w:color w:val="auto"/>
        </w:rPr>
        <w:t>. The Purchaser makes no representations or warranties as to any matter whatsoever except as expressly set forth in the Transaction Documents or in any certificate delivered by the Purchaser to the Company in accordance with the terms thereof.</w:t>
      </w:r>
    </w:p>
    <w:p>
      <w:pPr>
        <w:spacing w:after="0" w:line="270" w:lineRule="exact"/>
        <w:rPr>
          <w:sz w:val="20"/>
          <w:szCs w:val="20"/>
          <w:color w:val="auto"/>
        </w:rPr>
      </w:pPr>
    </w:p>
    <w:p>
      <w:pPr>
        <w:ind w:left="184" w:hanging="184"/>
        <w:spacing w:after="0"/>
        <w:tabs>
          <w:tab w:leader="none" w:pos="18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 OF THE COMPANY</w:t>
      </w:r>
    </w:p>
    <w:p>
      <w:pPr>
        <w:spacing w:after="0" w:line="117" w:lineRule="exact"/>
        <w:rPr>
          <w:sz w:val="20"/>
          <w:szCs w:val="20"/>
          <w:color w:val="auto"/>
        </w:rPr>
      </w:pPr>
    </w:p>
    <w:p>
      <w:pPr>
        <w:ind w:left="4" w:right="480" w:firstLine="440"/>
        <w:spacing w:after="0" w:line="282" w:lineRule="auto"/>
        <w:rPr>
          <w:sz w:val="20"/>
          <w:szCs w:val="20"/>
          <w:color w:val="auto"/>
        </w:rPr>
      </w:pPr>
      <w:r>
        <w:rPr>
          <w:rFonts w:ascii="Times New Roman" w:cs="Times New Roman" w:eastAsia="Times New Roman" w:hAnsi="Times New Roman"/>
          <w:sz w:val="18"/>
          <w:szCs w:val="18"/>
          <w:color w:val="auto"/>
        </w:rPr>
        <w:t>The Company represents and warrants to the Purchaser as of the date hereof and as of the Closing Date (except for such representations and warranties made only as of a specific date), that, except as otherwise disclosed in the Public Documents:</w:t>
      </w:r>
    </w:p>
    <w:p>
      <w:pPr>
        <w:spacing w:after="0" w:line="162" w:lineRule="exact"/>
        <w:rPr>
          <w:sz w:val="20"/>
          <w:szCs w:val="20"/>
          <w:color w:val="auto"/>
        </w:rPr>
      </w:pPr>
    </w:p>
    <w:p>
      <w:pPr>
        <w:ind w:left="4" w:right="200" w:firstLine="436"/>
        <w:spacing w:after="0" w:line="312" w:lineRule="auto"/>
        <w:tabs>
          <w:tab w:leader="none" w:pos="689"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Organization and Qualification</w:t>
      </w:r>
      <w:r>
        <w:rPr>
          <w:rFonts w:ascii="Times New Roman" w:cs="Times New Roman" w:eastAsia="Times New Roman" w:hAnsi="Times New Roman"/>
          <w:sz w:val="17"/>
          <w:szCs w:val="17"/>
          <w:color w:val="auto"/>
        </w:rPr>
        <w:t>. The Company is a corporation duly incorporated and validly existing in good standing under the laws of the Cayman Islands, and has the requisite corporate power and authorization to own its properties and to carry on its business as now being conducted.</w:t>
      </w:r>
    </w:p>
    <w:p>
      <w:pPr>
        <w:spacing w:after="0" w:line="139" w:lineRule="exact"/>
        <w:rPr>
          <w:rFonts w:ascii="Times New Roman" w:cs="Times New Roman" w:eastAsia="Times New Roman" w:hAnsi="Times New Roman"/>
          <w:sz w:val="17"/>
          <w:szCs w:val="17"/>
          <w:color w:val="auto"/>
        </w:rPr>
      </w:pPr>
    </w:p>
    <w:p>
      <w:pPr>
        <w:ind w:left="4" w:right="60" w:firstLine="436"/>
        <w:spacing w:after="0" w:line="253" w:lineRule="auto"/>
        <w:tabs>
          <w:tab w:leader="none" w:pos="699"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 The authorized share capital of the Company is US$1,000,000 divided into 4,000,000,000 shares comprising of (i) 2,632,030,222 Class A Ordinary Shares, (ii) 148,500,000 Class C ordinary shares of a par value of US$0.00025 each and (iii) 1,219,469,778 shares of a par value of US$0.00025, each of such class or classes (however designated) as the Board may determine in accordance with the Company Articles. As of December 14, 2023, 1,637,474,374 Class A Ordinary Shares and 148,500,000 Class C ordinary shares are issued and outstanding. All of the outstanding ordinary shares of the Company are duly authorized, validly issued, fully paid and non-assessable, have been issued in compliance with the Company Articles, the Act and all applicable securities laws, including the rules and regulations of each of NYSE, the Singapore Exchange and the Hong Kong Stock Exchange, and none of such outstanding shares was issued in violation of any preemptive rights or similar rights to subscribe for or purchase securities. Except as set forth in the Public Documents, the Company has no outstanding bonds, debentures, notes or other obligations, the holders of which have the right to vote (or which are convertible into or exercisable for securities having the right to vote) with the shareholders of the Company on any matter.</w:t>
      </w:r>
    </w:p>
    <w:p>
      <w:pPr>
        <w:spacing w:after="0" w:line="194" w:lineRule="exact"/>
        <w:rPr>
          <w:rFonts w:ascii="Times New Roman" w:cs="Times New Roman" w:eastAsia="Times New Roman" w:hAnsi="Times New Roman"/>
          <w:sz w:val="18"/>
          <w:szCs w:val="18"/>
          <w:color w:val="auto"/>
        </w:rPr>
      </w:pPr>
    </w:p>
    <w:p>
      <w:pPr>
        <w:ind w:left="4" w:firstLine="436"/>
        <w:spacing w:after="0" w:line="258" w:lineRule="auto"/>
        <w:tabs>
          <w:tab w:leader="none" w:pos="689"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 Enforcement; Validity</w:t>
      </w:r>
      <w:r>
        <w:rPr>
          <w:rFonts w:ascii="Times New Roman" w:cs="Times New Roman" w:eastAsia="Times New Roman" w:hAnsi="Times New Roman"/>
          <w:sz w:val="18"/>
          <w:szCs w:val="18"/>
          <w:color w:val="auto"/>
        </w:rPr>
        <w:t>. The Company has the requisite corporate power and authority to enter into and perform its obligations under this Agreement and each other Transaction Document to which it is a party and to issue the Securities in accordance with the terms hereof and thereof. The execution and delivery of this Agreement and the other Transaction Documents by the Company and the consummation by the Company of the transactions contemplated hereby and thereby, including, the issuance of the Securities, has been duly authorized by the Board and no further filing, consent or authorization (including</w:t>
      </w:r>
    </w:p>
    <w:p>
      <w:pPr>
        <w:spacing w:after="0" w:line="116"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84"/>
          </w:cols>
          <w:pgMar w:left="436" w:top="270" w:right="479" w:bottom="1440" w:gutter="0" w:footer="0" w:header="0"/>
        </w:sectPr>
      </w:pPr>
    </w:p>
    <w:bookmarkStart w:id="21" w:name="page22"/>
    <w:bookmarkEnd w:id="21"/>
    <w:p>
      <w:pPr>
        <w:ind w:right="8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shareholder approval) is required by the Board or otherwise, except for any required filing regarding the issuance of additional securities with NYSE, Hong Kong Stock Exchange or Singapore Exchange. This Agreement has been and, at or prior to the Closing, each other Transaction Document to be delivered at the Closing will be, duly executed and delivered by the Company. This Agreement constitutes and, upon the execution and delivery thereof by the Company, each other Transaction Document to which it is a party will constitute the legal, valid and binding obligations of the Company, enforceable against the Company in accordance with their respective terms, except as such enforceability may be limited by general principles of equity or applicable bankruptcy, insolvency, reorganization, moratorium, liquidation or similar laws relating to, or affecting generally, the enforcement of applicable creditors’ rights and remedies.</w:t>
      </w:r>
    </w:p>
    <w:p>
      <w:pPr>
        <w:spacing w:after="0" w:line="189" w:lineRule="exact"/>
        <w:rPr>
          <w:sz w:val="20"/>
          <w:szCs w:val="20"/>
          <w:color w:val="auto"/>
        </w:rPr>
      </w:pPr>
    </w:p>
    <w:p>
      <w:pPr>
        <w:ind w:left="700" w:hanging="264"/>
        <w:spacing w:after="0"/>
        <w:tabs>
          <w:tab w:leader="none" w:pos="7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Conflicts</w:t>
      </w:r>
      <w:r>
        <w:rPr>
          <w:rFonts w:ascii="Times New Roman" w:cs="Times New Roman" w:eastAsia="Times New Roman" w:hAnsi="Times New Roman"/>
          <w:sz w:val="18"/>
          <w:szCs w:val="18"/>
          <w:color w:val="auto"/>
        </w:rPr>
        <w:t>. The execution, delivery and performance by the Company of the Transaction Documents and the consummation by the</w:t>
      </w:r>
    </w:p>
    <w:p>
      <w:pPr>
        <w:spacing w:after="0" w:line="27" w:lineRule="exact"/>
        <w:rPr>
          <w:rFonts w:ascii="Times New Roman" w:cs="Times New Roman" w:eastAsia="Times New Roman" w:hAnsi="Times New Roman"/>
          <w:sz w:val="18"/>
          <w:szCs w:val="18"/>
          <w:color w:val="auto"/>
        </w:rPr>
      </w:pPr>
    </w:p>
    <w:p>
      <w:pPr>
        <w:ind w:right="2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of the transactions contemplated hereby and thereby (including, the issuance of the Securities) will not (i) result in a violation of the Company Articles, (ii) conflict with, or constitute a default (or an event which with notice or lapse of time or both would become a default) under, or give to others any rights of termination, amendment, acceleration or cancellation of, any Contract to which the Company is a party, or (iii) subject to the terms of this Agreement, result in a violation of any law, rule, regulation, order, judgment or decree (including U.S. federal and state securities laws and regulations, and the rules and regulations of NYSE, the Hong Kong Stock Exchange and the Singapore Exchange applicable to the Company or by which any property or asset of the Company is bound or affected), except in the case of clauses (ii) and (iii) above, for such conflicts, defaults, rights or violations which, individually or in the aggregate, would not reasonably be expected to result in a Material Adverse Effect.</w:t>
      </w:r>
    </w:p>
    <w:p>
      <w:pPr>
        <w:spacing w:after="0" w:line="188"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Consents</w:t>
      </w:r>
      <w:r>
        <w:rPr>
          <w:rFonts w:ascii="Times New Roman" w:cs="Times New Roman" w:eastAsia="Times New Roman" w:hAnsi="Times New Roman"/>
          <w:sz w:val="18"/>
          <w:szCs w:val="18"/>
          <w:color w:val="auto"/>
        </w:rPr>
        <w:t>. Assuming the accuracy of the representations and warranties of the Purchaser under this Agreement and other Transaction</w:t>
      </w:r>
    </w:p>
    <w:p>
      <w:pPr>
        <w:spacing w:after="0" w:line="27" w:lineRule="exact"/>
        <w:rPr>
          <w:rFonts w:ascii="Times New Roman" w:cs="Times New Roman" w:eastAsia="Times New Roman" w:hAnsi="Times New Roman"/>
          <w:sz w:val="18"/>
          <w:szCs w:val="18"/>
          <w:color w:val="auto"/>
        </w:rPr>
      </w:pPr>
    </w:p>
    <w:p>
      <w:pPr>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Documents, in connection with the entering into and performance of this Agreement and the other Transaction Documents, the Company is not required to obtain any consent, authorization or order of, or make any filing or registration with, (i) any Governmental Entity in order for it to execute and deliver the Transaction Documents or perform any of its obligations under or contemplated by the Transaction Documents or (ii) any third party pursuant to any agreement, indenture or instrument to which the Company is a party, in each case in accordance with the terms hereof or thereof other than such as have been made or obtained, and except for (x) any required filing or notifications regarding the issuance of additional securities with the SEC, NYSE, the Hong Kong Stock Exchange or the Singapore Exchange; or (y) the failure to obtain such consent, authorization, order, or make such filing or registration that, individually or in the aggregate, would not reasonably be expected to result in a Material Adverse Effect.</w:t>
      </w:r>
    </w:p>
    <w:p>
      <w:pPr>
        <w:spacing w:after="0" w:line="188" w:lineRule="exact"/>
        <w:rPr>
          <w:rFonts w:ascii="Times New Roman" w:cs="Times New Roman" w:eastAsia="Times New Roman" w:hAnsi="Times New Roman"/>
          <w:sz w:val="18"/>
          <w:szCs w:val="18"/>
          <w:color w:val="auto"/>
        </w:rPr>
      </w:pPr>
    </w:p>
    <w:p>
      <w:pPr>
        <w:ind w:right="20" w:firstLine="436"/>
        <w:spacing w:after="0" w:line="261" w:lineRule="auto"/>
        <w:tabs>
          <w:tab w:leader="none" w:pos="66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of Securities</w:t>
      </w:r>
      <w:r>
        <w:rPr>
          <w:rFonts w:ascii="Times New Roman" w:cs="Times New Roman" w:eastAsia="Times New Roman" w:hAnsi="Times New Roman"/>
          <w:sz w:val="18"/>
          <w:szCs w:val="18"/>
          <w:color w:val="auto"/>
        </w:rPr>
        <w:t>. The Securities, when issued and paid for in accordance with the terms hereof, will be duly authorized, validly issued and non-assessable and free from any Encumbrance and the Securities will be fully paid with the holders being entitled to all rights accorded to a holder of the Company’s Class A Ordinary Shares. Assuming the accuracy of the representations and warranties set forth in Section 3 of this Agreement, the offer and issuance by the Company of the Securities is exempt from registration under the Securities Act.</w:t>
      </w:r>
    </w:p>
    <w:p>
      <w:pPr>
        <w:spacing w:after="0" w:line="179" w:lineRule="exact"/>
        <w:rPr>
          <w:rFonts w:ascii="Times New Roman" w:cs="Times New Roman" w:eastAsia="Times New Roman" w:hAnsi="Times New Roman"/>
          <w:sz w:val="18"/>
          <w:szCs w:val="18"/>
          <w:color w:val="auto"/>
        </w:rPr>
      </w:pPr>
    </w:p>
    <w:p>
      <w:pPr>
        <w:ind w:right="100" w:firstLine="436"/>
        <w:spacing w:after="0" w:line="312" w:lineRule="auto"/>
        <w:tabs>
          <w:tab w:leader="none" w:pos="695"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Direct Selling Efforts</w:t>
      </w:r>
      <w:r>
        <w:rPr>
          <w:rFonts w:ascii="Times New Roman" w:cs="Times New Roman" w:eastAsia="Times New Roman" w:hAnsi="Times New Roman"/>
          <w:sz w:val="17"/>
          <w:szCs w:val="17"/>
          <w:color w:val="auto"/>
        </w:rPr>
        <w:t>. Neither the Company, nor any of its Affiliates, nor any Person acting on its or their behalf, has engaged in any form of general solicitation or direct selling efforts as that term is defined in Rule 902 of Regulation S in connection with the offer or sale of the Securities.</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20"/>
          </w:cols>
          <w:pgMar w:left="440" w:top="270" w:right="439" w:bottom="1440" w:gutter="0" w:footer="0" w:header="0"/>
        </w:sectPr>
      </w:pPr>
    </w:p>
    <w:bookmarkStart w:id="22" w:name="page23"/>
    <w:bookmarkEnd w:id="22"/>
    <w:p>
      <w:pPr>
        <w:ind w:left="680" w:hanging="264"/>
        <w:spacing w:after="0"/>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Public Documents</w:t>
      </w:r>
      <w:r>
        <w:rPr>
          <w:rFonts w:ascii="Times New Roman" w:cs="Times New Roman" w:eastAsia="Times New Roman" w:hAnsi="Times New Roman"/>
          <w:sz w:val="18"/>
          <w:szCs w:val="18"/>
          <w:color w:val="auto"/>
        </w:rPr>
        <w:t>. The Company has timely filed all the Public Documents.</w:t>
      </w:r>
    </w:p>
    <w:p>
      <w:pPr>
        <w:spacing w:after="0" w:line="225" w:lineRule="exact"/>
        <w:rPr>
          <w:rFonts w:ascii="Times New Roman" w:cs="Times New Roman" w:eastAsia="Times New Roman" w:hAnsi="Times New Roman"/>
          <w:sz w:val="18"/>
          <w:szCs w:val="18"/>
          <w:color w:val="auto"/>
        </w:rPr>
      </w:pPr>
    </w:p>
    <w:p>
      <w:pPr>
        <w:ind w:left="-20" w:firstLine="987"/>
        <w:spacing w:after="0" w:line="254" w:lineRule="auto"/>
        <w:tabs>
          <w:tab w:leader="none" w:pos="1186"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their respective effective dates (in the case of the SEC Documents that are registration statements filed pursuant to the requirements of the Securities Act) and as of their respective filing dates (in the case of all other SEC Documents), or in each case, if amended prior to the date hereof, as of the date of the last such amendment, (A) each of the SEC Documents complied in all material respects with the requirements of the Securities Act or the 1934 Act, as the case may be, and the rules and regulations of the SEC promulgated thereunder, and, (B) none of the SEC Documents contained any untrue statement of a material fact or omitted to state a material fact required to be stated therein or necessary in order to make the material statements therein, in the light of the circumstances under which they were made, not misleading. As of the date of this Agreement, there are no material outstanding or unresolved comments in comment letters received by the Company from the staff of the SEC with respect to any SEC Document.</w:t>
      </w:r>
    </w:p>
    <w:p>
      <w:pPr>
        <w:spacing w:after="0" w:line="191" w:lineRule="exact"/>
        <w:rPr>
          <w:rFonts w:ascii="Times New Roman" w:cs="Times New Roman" w:eastAsia="Times New Roman" w:hAnsi="Times New Roman"/>
          <w:sz w:val="18"/>
          <w:szCs w:val="18"/>
          <w:color w:val="auto"/>
        </w:rPr>
      </w:pPr>
    </w:p>
    <w:p>
      <w:pPr>
        <w:ind w:left="-20" w:right="200" w:firstLine="987"/>
        <w:spacing w:after="0" w:line="258" w:lineRule="auto"/>
        <w:tabs>
          <w:tab w:leader="none" w:pos="1236"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their respective dates of submission or publication of the Hong Kong Stock Exchange Documents, or in each case, if amended prior to the date hereof, as of the date of the last such amendment, (A) each of the Hong Kong Stock Exchange Documents complied in all material respects with the applicable requirements of the Hong Kong Listing Rules and (B) none of the Hong Kong Stock Exchange Documents contained any untrue statement of a material fact or omitted to state a material fact required to be stated therein or necessary in order to make the material statements therein, in the light of the circumstances under which they were made, not misleading.</w:t>
      </w:r>
    </w:p>
    <w:p>
      <w:pPr>
        <w:spacing w:after="0" w:line="183" w:lineRule="exact"/>
        <w:rPr>
          <w:rFonts w:ascii="Times New Roman" w:cs="Times New Roman" w:eastAsia="Times New Roman" w:hAnsi="Times New Roman"/>
          <w:sz w:val="18"/>
          <w:szCs w:val="18"/>
          <w:color w:val="auto"/>
        </w:rPr>
      </w:pPr>
    </w:p>
    <w:p>
      <w:pPr>
        <w:ind w:left="-20" w:right="160" w:firstLine="987"/>
        <w:spacing w:after="0" w:line="258" w:lineRule="auto"/>
        <w:tabs>
          <w:tab w:leader="none" w:pos="1286"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their respective dates of submission or publication of the Singapore Exchange Documents, or in each case, if amended prior to the date hereof, as of the date of the last such amendment, (A) each of the Singapore Exchange Documents complied in all material respects with the applicable requirements of the listing manual of the Singapore Exchange and the Singapore Code of Corporate Governance and (B) none of the Singapore Exchange Documents contained any untrue statement of a material fact or omitted to state a material fact required to be stated therein or necessary in order to make the material statements therein, in the light of the circumstances under which they were made, not misleading.</w:t>
      </w:r>
    </w:p>
    <w:p>
      <w:pPr>
        <w:spacing w:after="0" w:line="183" w:lineRule="exact"/>
        <w:rPr>
          <w:rFonts w:ascii="Times New Roman" w:cs="Times New Roman" w:eastAsia="Times New Roman" w:hAnsi="Times New Roman"/>
          <w:sz w:val="18"/>
          <w:szCs w:val="18"/>
          <w:color w:val="auto"/>
        </w:rPr>
      </w:pPr>
    </w:p>
    <w:p>
      <w:pPr>
        <w:ind w:left="-20" w:right="40" w:firstLine="436"/>
        <w:spacing w:after="0" w:line="254" w:lineRule="auto"/>
        <w:tabs>
          <w:tab w:leader="none" w:pos="63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 As of their respective dates, the financial statements of the Company included in the Public Documents complied as to form in all material respects with applicable accounting requirements and the published rules and regulations of the SEC, the Hong Kong Stock Exchange and the Singapore Exchange with respect thereto. The consolidated financial statements (including any related notes thereto) included or incorporated by reference in the Public Documents fairly presented in all material respects the consolidated financial position of the Company and its Subsidiaries as of the dates indicated therein and the consolidated results of their operations and cash flows for the periods specified therein. Such financial statements were prepared in accordance with GAAP applied on a consistent basis throughout the periods covered thereby (except (i) as may be otherwise indicated in such financial statements or the notes thereto, or (ii) in the case of unaudited interim statements, to the extent they may exclude footnotes or may be condensed or summary statements).</w:t>
      </w:r>
    </w:p>
    <w:p>
      <w:pPr>
        <w:spacing w:after="0" w:line="191" w:lineRule="exact"/>
        <w:rPr>
          <w:rFonts w:ascii="Times New Roman" w:cs="Times New Roman" w:eastAsia="Times New Roman" w:hAnsi="Times New Roman"/>
          <w:sz w:val="18"/>
          <w:szCs w:val="18"/>
          <w:color w:val="auto"/>
        </w:rPr>
      </w:pPr>
    </w:p>
    <w:p>
      <w:pPr>
        <w:ind w:left="-20" w:right="200" w:firstLine="436"/>
        <w:spacing w:after="0" w:line="256" w:lineRule="auto"/>
        <w:tabs>
          <w:tab w:leader="none" w:pos="63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Internal Controls</w:t>
      </w:r>
      <w:r>
        <w:rPr>
          <w:rFonts w:ascii="Times New Roman" w:cs="Times New Roman" w:eastAsia="Times New Roman" w:hAnsi="Times New Roman"/>
          <w:sz w:val="18"/>
          <w:szCs w:val="18"/>
          <w:color w:val="auto"/>
        </w:rPr>
        <w:t>. The Company and its Subsidiaries maintain (and have maintained), with respect to the operations of the business of the Company and its Subsidiaries a system of internal control over financial reporting (as defined in Rule 13a-15 or 15d-15, as applicable, under the 1934 Act) that is sufficient to provide reasonable assurance that (A) transactions are recorded as necessary to permit preparation of consolidated financial statements of the Company in accordance with GAAP, (B) receipts and expenditures of the Company are being made only in accordance with appropriate authorizations of management and the Board, and (C) provide reasonable assurance regarding prevention or timely detection of unauthorized acquisition, use or disposition of the assets of the Company and its Subsidiaries.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80"/>
          </w:cols>
          <w:pgMar w:left="460" w:top="270" w:right="459" w:bottom="1440" w:gutter="0" w:footer="0" w:header="0"/>
        </w:sectPr>
      </w:pPr>
    </w:p>
    <w:bookmarkStart w:id="23" w:name="page24"/>
    <w:bookmarkEnd w:id="23"/>
    <w:p>
      <w:pPr>
        <w:ind w:right="20" w:firstLine="436"/>
        <w:spacing w:after="0" w:line="282" w:lineRule="auto"/>
        <w:tabs>
          <w:tab w:leader="none" w:pos="69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Material Adverse Effect</w:t>
      </w:r>
      <w:r>
        <w:rPr>
          <w:rFonts w:ascii="Times New Roman" w:cs="Times New Roman" w:eastAsia="Times New Roman" w:hAnsi="Times New Roman"/>
          <w:sz w:val="18"/>
          <w:szCs w:val="18"/>
          <w:color w:val="auto"/>
        </w:rPr>
        <w:t>. Since December 31, 2022, no event or circumstance has occurred that, individually or in the aggregate, has had or would reasonably be expected to have a Material Adverse Effect.</w:t>
      </w:r>
    </w:p>
    <w:p>
      <w:pPr>
        <w:spacing w:after="0" w:line="161" w:lineRule="exact"/>
        <w:rPr>
          <w:rFonts w:ascii="Times New Roman" w:cs="Times New Roman" w:eastAsia="Times New Roman" w:hAnsi="Times New Roman"/>
          <w:sz w:val="18"/>
          <w:szCs w:val="18"/>
          <w:color w:val="auto"/>
        </w:rPr>
      </w:pPr>
    </w:p>
    <w:p>
      <w:pPr>
        <w:ind w:right="180" w:firstLine="436"/>
        <w:spacing w:after="0" w:line="261"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Except as disclosed in the Public Documents, there are no claims, suits, actions or proceedings pending or, to the Company’s knowledge, threatened against the Company or any of its Subsidiaries before any Governmental Entity or any arbitrator that seeks to restrain or enjoin the consummation of the transactions contemplated by the Transaction Documents or which would reasonably be expected, to have, individually or in the aggregate, a Material Adverse Effect.</w:t>
      </w:r>
    </w:p>
    <w:p>
      <w:pPr>
        <w:spacing w:after="0" w:line="179" w:lineRule="exact"/>
        <w:rPr>
          <w:rFonts w:ascii="Times New Roman" w:cs="Times New Roman" w:eastAsia="Times New Roman" w:hAnsi="Times New Roman"/>
          <w:sz w:val="18"/>
          <w:szCs w:val="18"/>
          <w:color w:val="auto"/>
        </w:rPr>
      </w:pPr>
    </w:p>
    <w:p>
      <w:pPr>
        <w:ind w:firstLine="436"/>
        <w:spacing w:after="0" w:line="258" w:lineRule="auto"/>
        <w:tabs>
          <w:tab w:leader="none" w:pos="74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Applicable Laws</w:t>
      </w:r>
      <w:r>
        <w:rPr>
          <w:rFonts w:ascii="Times New Roman" w:cs="Times New Roman" w:eastAsia="Times New Roman" w:hAnsi="Times New Roman"/>
          <w:sz w:val="18"/>
          <w:szCs w:val="18"/>
          <w:color w:val="auto"/>
        </w:rPr>
        <w:t>. Except as set forth in the Public Documents, each of the Company and its Subsidiaries has conducted its businesses in compliance with all applicable laws, regulations and applicable stock exchange requirements, except where the failure to be in compliance, individually or in the aggregate, do not and would not reasonably be expected to have, a Material Adverse Effect, and as of the date of this Agreement, the Company has not received any comment letter from the SEC or the staff thereof or any notices from NYSE, the Singapore Exchange or the Hong Kong Stock Exchange regarding non-compliance with any of such Governmental Entity’s rules or regulations.</w:t>
      </w:r>
    </w:p>
    <w:p>
      <w:pPr>
        <w:spacing w:after="0" w:line="183" w:lineRule="exact"/>
        <w:rPr>
          <w:rFonts w:ascii="Times New Roman" w:cs="Times New Roman" w:eastAsia="Times New Roman" w:hAnsi="Times New Roman"/>
          <w:sz w:val="18"/>
          <w:szCs w:val="18"/>
          <w:color w:val="auto"/>
        </w:rPr>
      </w:pPr>
    </w:p>
    <w:p>
      <w:pPr>
        <w:ind w:right="40" w:firstLine="436"/>
        <w:spacing w:after="0" w:line="252" w:lineRule="auto"/>
        <w:tabs>
          <w:tab w:leader="none" w:pos="69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Sanctions, Anti-Corruption, Ex-Im Laws and Anti-Money Laundering</w:t>
      </w:r>
      <w:r>
        <w:rPr>
          <w:rFonts w:ascii="Times New Roman" w:cs="Times New Roman" w:eastAsia="Times New Roman" w:hAnsi="Times New Roman"/>
          <w:sz w:val="18"/>
          <w:szCs w:val="18"/>
          <w:color w:val="auto"/>
        </w:rPr>
        <w:t>. Neither the Company nor any of its Subsidiaries, or any of their respective directors, officers, employees is a Sanctioned Person. The Company and its Subsidiaries, and to the knowledge of the Company, their respective directors, officers and employees have been for the past five (5) years prior to the date hereof and are currently in compliance with Sanctions, Anti-Corruption Laws, Ex-Im Laws and Anti-Money Laundering Laws. For the past five (5) years prior to the date hereof, neither the Company nor its Subsidiaries (i) has had or currently has assets located in, or otherwise directly or indirectly has derived or currently derives revenues from or has engaged or currently engages in investments, dealings, activities or transactions in or with, any Sanctioned Country; or (ii) directly or indirectly has derived or currently derives revenues from or has engaged or currently engages in investments, dealings, activities or transactions in or with any Sanctioned Person. For the past five (5) years prior to the date hereof, there has not been, and there is no, pending or, to the Company’s knowledge, threatened action, suit, proceeding or investigation before any court or other Governmental Entity against the Company or any Subsidiary or Affiliate of the Company, or any of their respective officers, directors, employees, or, to the knowledge of the Company, agents (with respect to such agents’ activities or transactions that were within the scope of their authorized agency relationship with the Company or its Subsidiaries or Affiliates), or any investigation by the Company, a Subsidiary or Affiliate of the Company, or their respective legal or other representatives involving the foregoing, that relates to a potential or actual violation of Sanctions, Anti-Corruption Laws, Ex-Im Laws or Anti-Money Laundering Laws; nor does a basis for any such claim exist.</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0"/>
          </w:cols>
          <w:pgMar w:left="440" w:top="270" w:right="459" w:bottom="1440" w:gutter="0" w:footer="0" w:header="0"/>
        </w:sectPr>
      </w:pPr>
    </w:p>
    <w:bookmarkStart w:id="24" w:name="page25"/>
    <w:bookmarkEnd w:id="24"/>
    <w:p>
      <w:pPr>
        <w:ind w:left="4" w:right="40" w:firstLine="436"/>
        <w:spacing w:after="0" w:line="258" w:lineRule="auto"/>
        <w:tabs>
          <w:tab w:leader="none" w:pos="699"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Committee on Foreign Investment in the United States</w:t>
      </w:r>
      <w:r>
        <w:rPr>
          <w:rFonts w:ascii="Times New Roman" w:cs="Times New Roman" w:eastAsia="Times New Roman" w:hAnsi="Times New Roman"/>
          <w:sz w:val="18"/>
          <w:szCs w:val="18"/>
          <w:color w:val="auto"/>
        </w:rPr>
        <w:t>. The Company is not engaging in activities that would cause it to become in the future, a “TID U.S. business,” as that term is defined at 31 C.F.R. 800.248. For avoidance of doubt, the Company does not (a) produce, design, test, manufacture, fabricate or develop any “critical technologies,” as defined at 31 C.F.R. 800.215; (b) perform any functions related to “covered investment critical infrastructure” as defined at 31 C.F.R. 800.212 and as set forth in Appendix A to 31 C.F.R. Part 800; or (c) maintain or collect, directly or indirectly, any “sensitive personal data” of U.S. citizens as defined at 31 C.F.R. 800.241.</w:t>
      </w:r>
    </w:p>
    <w:p>
      <w:pPr>
        <w:spacing w:after="0" w:line="179" w:lineRule="exact"/>
        <w:rPr>
          <w:rFonts w:ascii="Times New Roman" w:cs="Times New Roman" w:eastAsia="Times New Roman" w:hAnsi="Times New Roman"/>
          <w:sz w:val="18"/>
          <w:szCs w:val="18"/>
          <w:color w:val="auto"/>
        </w:rPr>
      </w:pPr>
    </w:p>
    <w:p>
      <w:pPr>
        <w:jc w:val="both"/>
        <w:ind w:left="4" w:firstLine="436"/>
        <w:spacing w:after="0" w:line="262" w:lineRule="auto"/>
        <w:tabs>
          <w:tab w:leader="none" w:pos="699"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Securities and Futures Ordinance</w:t>
      </w:r>
      <w:r>
        <w:rPr>
          <w:rFonts w:ascii="Times New Roman" w:cs="Times New Roman" w:eastAsia="Times New Roman" w:hAnsi="Times New Roman"/>
          <w:sz w:val="18"/>
          <w:szCs w:val="18"/>
          <w:color w:val="auto"/>
        </w:rPr>
        <w:t>. The conditions on which the Hong Kong Securities and Futures Commission (the “</w:t>
      </w:r>
      <w:r>
        <w:rPr>
          <w:rFonts w:ascii="Times New Roman" w:cs="Times New Roman" w:eastAsia="Times New Roman" w:hAnsi="Times New Roman"/>
          <w:sz w:val="18"/>
          <w:szCs w:val="18"/>
          <w:b w:val="1"/>
          <w:bCs w:val="1"/>
          <w:color w:val="auto"/>
        </w:rPr>
        <w:t>SFC</w:t>
      </w:r>
      <w:r>
        <w:rPr>
          <w:rFonts w:ascii="Times New Roman" w:cs="Times New Roman" w:eastAsia="Times New Roman" w:hAnsi="Times New Roman"/>
          <w:sz w:val="18"/>
          <w:szCs w:val="18"/>
          <w:color w:val="auto"/>
        </w:rPr>
        <w:t>”) granted a partial exemption under section 309(2) of the Securities and Futures Ordinance (Cap. 571) (the “</w:t>
      </w:r>
      <w:r>
        <w:rPr>
          <w:rFonts w:ascii="Times New Roman" w:cs="Times New Roman" w:eastAsia="Times New Roman" w:hAnsi="Times New Roman"/>
          <w:sz w:val="18"/>
          <w:szCs w:val="18"/>
          <w:b w:val="1"/>
          <w:bCs w:val="1"/>
          <w:color w:val="auto"/>
        </w:rPr>
        <w:t>SFO</w:t>
      </w:r>
      <w:r>
        <w:rPr>
          <w:rFonts w:ascii="Times New Roman" w:cs="Times New Roman" w:eastAsia="Times New Roman" w:hAnsi="Times New Roman"/>
          <w:sz w:val="18"/>
          <w:szCs w:val="18"/>
          <w:color w:val="auto"/>
        </w:rPr>
        <w:t>”) to the Company, its substantial shareholders, directors and chief executive from strict compliance with the provisions of Part XV of the SFO continue to be satisfied and there has been no material change that has caused the SFC to withdraw or reconsider such exemption.</w:t>
      </w:r>
    </w:p>
    <w:p>
      <w:pPr>
        <w:spacing w:after="0" w:line="180" w:lineRule="exact"/>
        <w:rPr>
          <w:rFonts w:ascii="Times New Roman" w:cs="Times New Roman" w:eastAsia="Times New Roman" w:hAnsi="Times New Roman"/>
          <w:sz w:val="18"/>
          <w:szCs w:val="18"/>
          <w:color w:val="auto"/>
        </w:rPr>
      </w:pPr>
    </w:p>
    <w:p>
      <w:pPr>
        <w:ind w:left="4" w:right="20" w:firstLine="436"/>
        <w:spacing w:after="0" w:line="266" w:lineRule="auto"/>
        <w:tabs>
          <w:tab w:leader="none" w:pos="699"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Brokers and Finders</w:t>
      </w:r>
      <w:r>
        <w:rPr>
          <w:rFonts w:ascii="Times New Roman" w:cs="Times New Roman" w:eastAsia="Times New Roman" w:hAnsi="Times New Roman"/>
          <w:sz w:val="18"/>
          <w:szCs w:val="18"/>
          <w:color w:val="auto"/>
        </w:rPr>
        <w:t>. No Person will have, as a result of the transactions contemplated by the Transaction Documents, any valid right, interest or claim against or upon the Company or any of its Subsidiaries for any commission, fee or other compensation pursuant to any agreement, arrangement or understanding with a placement agent entered into by or on behalf of the Company or any of its Subsidiary.</w:t>
      </w:r>
    </w:p>
    <w:p>
      <w:pPr>
        <w:spacing w:after="0" w:line="175" w:lineRule="exact"/>
        <w:rPr>
          <w:rFonts w:ascii="Times New Roman" w:cs="Times New Roman" w:eastAsia="Times New Roman" w:hAnsi="Times New Roman"/>
          <w:sz w:val="18"/>
          <w:szCs w:val="18"/>
          <w:color w:val="auto"/>
        </w:rPr>
      </w:pPr>
    </w:p>
    <w:p>
      <w:pPr>
        <w:ind w:left="4" w:firstLine="436"/>
        <w:spacing w:after="0" w:line="282" w:lineRule="auto"/>
        <w:tabs>
          <w:tab w:leader="none" w:pos="669"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Additional Representations</w:t>
      </w:r>
      <w:r>
        <w:rPr>
          <w:rFonts w:ascii="Times New Roman" w:cs="Times New Roman" w:eastAsia="Times New Roman" w:hAnsi="Times New Roman"/>
          <w:sz w:val="18"/>
          <w:szCs w:val="18"/>
          <w:color w:val="auto"/>
        </w:rPr>
        <w:t>. The Company makes no representations or warranties as to any matter whatsoever except as expressly set forth in the Transaction Documents or in any certificate delivered by the Company to the Purchaser in accordance with the terms thereof.</w:t>
      </w:r>
    </w:p>
    <w:p>
      <w:pPr>
        <w:spacing w:after="0" w:line="269"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COVENANTS AND ADDITIONAL AGREEMENTS</w:t>
      </w:r>
    </w:p>
    <w:p>
      <w:pPr>
        <w:spacing w:after="0" w:line="117" w:lineRule="exact"/>
        <w:rPr>
          <w:rFonts w:ascii="Times New Roman" w:cs="Times New Roman" w:eastAsia="Times New Roman" w:hAnsi="Times New Roman"/>
          <w:sz w:val="18"/>
          <w:szCs w:val="18"/>
          <w:color w:val="auto"/>
        </w:rPr>
      </w:pPr>
    </w:p>
    <w:p>
      <w:pPr>
        <w:ind w:left="684" w:hanging="244"/>
        <w:spacing w:after="0"/>
        <w:tabs>
          <w:tab w:leader="none" w:pos="684"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Director Nomination Right</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jc w:val="both"/>
        <w:ind w:left="1424" w:right="80" w:hanging="439"/>
        <w:spacing w:after="0" w:line="272" w:lineRule="auto"/>
        <w:tabs>
          <w:tab w:leader="none" w:pos="1424" w:val="left"/>
        </w:tabs>
        <w:numPr>
          <w:ilvl w:val="2"/>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the Closing, for so long as the Purchaser and its Affiliates beneficially own (A) not less than fifteen percent (15%) of the then total issued and outstanding share capital of the Company (on a non-fully diluted basis), the Purchaser shall be entitled to nominate two (2) directors to the Board (each such Person, a “</w:t>
      </w:r>
      <w:r>
        <w:rPr>
          <w:rFonts w:ascii="Times New Roman" w:cs="Times New Roman" w:eastAsia="Times New Roman" w:hAnsi="Times New Roman"/>
          <w:sz w:val="17"/>
          <w:szCs w:val="17"/>
          <w:b w:val="1"/>
          <w:bCs w:val="1"/>
          <w:color w:val="auto"/>
        </w:rPr>
        <w:t>Purchaser Designee</w:t>
      </w:r>
      <w:r>
        <w:rPr>
          <w:rFonts w:ascii="Times New Roman" w:cs="Times New Roman" w:eastAsia="Times New Roman" w:hAnsi="Times New Roman"/>
          <w:sz w:val="17"/>
          <w:szCs w:val="17"/>
          <w:color w:val="auto"/>
        </w:rPr>
        <w:t>” and collectively, the “</w:t>
      </w:r>
      <w:r>
        <w:rPr>
          <w:rFonts w:ascii="Times New Roman" w:cs="Times New Roman" w:eastAsia="Times New Roman" w:hAnsi="Times New Roman"/>
          <w:sz w:val="17"/>
          <w:szCs w:val="17"/>
          <w:b w:val="1"/>
          <w:bCs w:val="1"/>
          <w:color w:val="auto"/>
        </w:rPr>
        <w:t>Purchaser Designees</w:t>
      </w:r>
      <w:r>
        <w:rPr>
          <w:rFonts w:ascii="Times New Roman" w:cs="Times New Roman" w:eastAsia="Times New Roman" w:hAnsi="Times New Roman"/>
          <w:sz w:val="17"/>
          <w:szCs w:val="17"/>
          <w:color w:val="auto"/>
        </w:rPr>
        <w:t>”), and</w:t>
      </w:r>
    </w:p>
    <w:p>
      <w:pPr>
        <w:spacing w:after="0" w:line="1" w:lineRule="exact"/>
        <w:rPr>
          <w:rFonts w:ascii="Times New Roman" w:cs="Times New Roman" w:eastAsia="Times New Roman" w:hAnsi="Times New Roman"/>
          <w:sz w:val="17"/>
          <w:szCs w:val="17"/>
          <w:color w:val="auto"/>
        </w:rPr>
      </w:pPr>
    </w:p>
    <w:p>
      <w:pPr>
        <w:ind w:left="1424" w:right="20"/>
        <w:spacing w:after="0" w:line="25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(B) less than fifteen percent (15%) but not less than five percent (5%) of the then total issued and outstanding share capital of the Company (on a non-fully diluted basis), the Purchaser shall be entitled to nominate one (1) Purchaser Designee, in each case subject to the Company Articles and requirements of the NYSE, the Hong Kong Stock Exchange, the Singapore Exchange or any other applicable securities exchange, and the Company shall, upon the exercise of such director nomination right by the Purchaser, take all necessary actions to add such Purchaser Designee(s) to the Board at the next regularly scheduled meeting of the Board after the Closing, including but not limited to arranging for the register of directors and officers of the Company to be updated forthwith. The Purchaser may exercise its director nomination right hereunder through delivery of a written notice to the Company regarding the nomination, and the appointment of the Purchaser Designee(s) by the Board shall be subject to the Company Articles and requirements of the NYSE, the Hong Kong Stock Exchange, the Singapore Exchange or any other applicable securities exchange applicable to the composition of the Board and qualifications and appointment of directors. The Company and the Board shall take customary and reasonable actions to obtain shareholder approval of the Purchaser Designee(s) as director(s) of the Board to the extent such approval is required under applicable law. The Company shall take all necessary actions to ensure that, at all times when a Purchaser Designee is eligible to be appointed or nominated, there are sufficient vacancies on the Board to permit such designation.</w:t>
      </w:r>
    </w:p>
    <w:p>
      <w:pPr>
        <w:spacing w:after="0" w:line="12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84"/>
          </w:cols>
          <w:pgMar w:left="436" w:top="270" w:right="479" w:bottom="1440" w:gutter="0" w:footer="0" w:header="0"/>
        </w:sectPr>
      </w:pPr>
    </w:p>
    <w:bookmarkStart w:id="25" w:name="page26"/>
    <w:bookmarkEnd w:id="25"/>
    <w:p>
      <w:pPr>
        <w:ind w:left="1400" w:right="60" w:hanging="439"/>
        <w:spacing w:after="0" w:line="254" w:lineRule="auto"/>
        <w:tabs>
          <w:tab w:leader="none" w:pos="140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Purchaser shall have the right to request (by written notice to the Board) the removal of the Purchaser Designee(s), following which the Company and the Board shall take all necessary actions to cause the removal of such Purchaser Designee(s) as director(s) of the Company. If any Purchaser Designee ceases to serve on the Board for any reason during his or her term, the vacancy created thereby shall be filled, and the Company shall cause the Board to fill such vacancy, with a new Purchaser Designee eligible to serve on the Board in accordance with Section 5(a)(i); provided, however, notwithstanding anything to the contrary in this Agreement, in the event that the Purchaser ceases to be entitled to nominate one or both of the two (2) directors to the Board pursuant to Section 5(a)(iv), the applicable Purchaser Designee(s) serving on the Board shall tender his or her resignation to the Board, and the Purchaser shall take all necessary actions to cause such number of the Purchaser Designee(s) serving on the Board to tender his or her resignation to the Board to stay compliant with Section 5(a)(iv).</w:t>
      </w:r>
    </w:p>
    <w:p>
      <w:pPr>
        <w:spacing w:after="0" w:line="93" w:lineRule="exact"/>
        <w:rPr>
          <w:rFonts w:ascii="Times New Roman" w:cs="Times New Roman" w:eastAsia="Times New Roman" w:hAnsi="Times New Roman"/>
          <w:sz w:val="18"/>
          <w:szCs w:val="18"/>
          <w:color w:val="auto"/>
        </w:rPr>
      </w:pPr>
    </w:p>
    <w:p>
      <w:pPr>
        <w:ind w:left="1400" w:right="80" w:hanging="439"/>
        <w:spacing w:after="0" w:line="258" w:lineRule="auto"/>
        <w:tabs>
          <w:tab w:leader="none" w:pos="140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doubt, a Purchaser Designee shall be entitled (A) to the same retainer, equity compensation and other fees or compensation, including travel and expense reimbursement, paid to the other directors of the Company for his or her service as a director and (B) to the same indemnification rights as other directors of the Company, and the Company shall maintain, in full force and effect, directors’ and officers’ liability insurance in reasonable amounts to the same extent it now indemnifies and provides insurance for the directors on the Board.</w:t>
      </w:r>
    </w:p>
    <w:p>
      <w:pPr>
        <w:spacing w:after="0" w:line="88" w:lineRule="exact"/>
        <w:rPr>
          <w:rFonts w:ascii="Times New Roman" w:cs="Times New Roman" w:eastAsia="Times New Roman" w:hAnsi="Times New Roman"/>
          <w:sz w:val="18"/>
          <w:szCs w:val="18"/>
          <w:color w:val="auto"/>
        </w:rPr>
      </w:pPr>
    </w:p>
    <w:p>
      <w:pPr>
        <w:ind w:left="1400" w:right="160" w:hanging="439"/>
        <w:spacing w:after="0" w:line="312" w:lineRule="auto"/>
        <w:tabs>
          <w:tab w:leader="none" w:pos="1400" w:val="left"/>
        </w:tabs>
        <w:numPr>
          <w:ilvl w:val="1"/>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rights of the Purchaser under this Section 5(a) shall terminate automatically if the Purchaser and its Affiliates beneficially own less than five percent (5%) of the then total issued and outstanding share capital of the Company (on a non-fully diluted basis).</w:t>
      </w:r>
    </w:p>
    <w:p>
      <w:pPr>
        <w:spacing w:after="0" w:line="45" w:lineRule="exact"/>
        <w:rPr>
          <w:rFonts w:ascii="Times New Roman" w:cs="Times New Roman" w:eastAsia="Times New Roman" w:hAnsi="Times New Roman"/>
          <w:sz w:val="17"/>
          <w:szCs w:val="17"/>
          <w:color w:val="auto"/>
        </w:rPr>
      </w:pPr>
    </w:p>
    <w:p>
      <w:pPr>
        <w:ind w:left="1400" w:right="480" w:hanging="439"/>
        <w:spacing w:after="0" w:line="282" w:lineRule="auto"/>
        <w:tabs>
          <w:tab w:leader="none" w:pos="140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doubt, this Section 5(a) shall supersede, and replace in its entirety, Section 5(c) of the Share Subscription Agreement, dated as of June 20, 2023, by and between the Company and the Purchaser.</w:t>
      </w:r>
    </w:p>
    <w:p>
      <w:pPr>
        <w:spacing w:after="0" w:line="157" w:lineRule="exact"/>
        <w:rPr>
          <w:rFonts w:ascii="Times New Roman" w:cs="Times New Roman" w:eastAsia="Times New Roman" w:hAnsi="Times New Roman"/>
          <w:sz w:val="18"/>
          <w:szCs w:val="18"/>
          <w:color w:val="auto"/>
        </w:rPr>
      </w:pPr>
    </w:p>
    <w:p>
      <w:pPr>
        <w:ind w:left="-20" w:firstLine="436"/>
        <w:spacing w:after="0" w:line="256" w:lineRule="auto"/>
        <w:tabs>
          <w:tab w:leader="none" w:pos="67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Board Committee</w:t>
      </w:r>
      <w:r>
        <w:rPr>
          <w:rFonts w:ascii="Times New Roman" w:cs="Times New Roman" w:eastAsia="Times New Roman" w:hAnsi="Times New Roman"/>
          <w:sz w:val="18"/>
          <w:szCs w:val="18"/>
          <w:color w:val="auto"/>
        </w:rPr>
        <w:t>. The Board shall establish a strategy committee (the “</w:t>
      </w:r>
      <w:r>
        <w:rPr>
          <w:rFonts w:ascii="Times New Roman" w:cs="Times New Roman" w:eastAsia="Times New Roman" w:hAnsi="Times New Roman"/>
          <w:sz w:val="18"/>
          <w:szCs w:val="18"/>
          <w:b w:val="1"/>
          <w:bCs w:val="1"/>
          <w:color w:val="auto"/>
        </w:rPr>
        <w:t>Strategy Committee</w:t>
      </w:r>
      <w:r>
        <w:rPr>
          <w:rFonts w:ascii="Times New Roman" w:cs="Times New Roman" w:eastAsia="Times New Roman" w:hAnsi="Times New Roman"/>
          <w:sz w:val="18"/>
          <w:szCs w:val="18"/>
          <w:color w:val="auto"/>
        </w:rPr>
        <w:t>”) chaired by Mr. Bin Li. The Strategy Committee shall consist of Mr. Li, one Purchaser Designee, and up to three (3) other members as determined by the Board from time to time. In addition, for as long as there are two (2) Purchaser Designees on the Board (in accordance with Section 5(a)), the additional Purchaser Designee shall be an observer on the Strategy Committee. Unless otherwise determined by the vote of a majority of the members of the Strategy Committee, the Strategy Committee shall meet at least once every quarter, and more frequently upon the reasonable request of any member of the Strategy Committee, provided that any such meeting may be held by teleconference or videoconference. The Strategy Committee shall be responsible for overseeing the development and</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60"/>
          </w:cols>
          <w:pgMar w:left="460" w:top="270" w:right="479" w:bottom="1440" w:gutter="0" w:footer="0" w:header="0"/>
        </w:sectPr>
      </w:pPr>
    </w:p>
    <w:bookmarkStart w:id="26" w:name="page27"/>
    <w:bookmarkEnd w:id="26"/>
    <w:p>
      <w:pPr>
        <w:ind w:right="10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implementation of the Company’s overall business strategies proposed or approved by the Board in the areas of (A) brand and product development, portfolio and design, (B) technology roadmap, (C) international market entry and expansion, and (D) other areas that the Board deems appropriate. The primary objective of the Strategy Committee will be to facilitate the decision-making process of the Board, and it shall perform periodic reviews of the implementation of its proposals relating to the Company’s overall business strategies in the areas described in this Section 5(b).</w:t>
      </w:r>
    </w:p>
    <w:p>
      <w:pPr>
        <w:spacing w:after="0" w:line="180" w:lineRule="exact"/>
        <w:rPr>
          <w:sz w:val="20"/>
          <w:szCs w:val="20"/>
          <w:color w:val="auto"/>
        </w:rPr>
      </w:pPr>
    </w:p>
    <w:p>
      <w:pPr>
        <w:ind w:left="680" w:hanging="244"/>
        <w:spacing w:after="0"/>
        <w:tabs>
          <w:tab w:leader="none" w:pos="6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Preemptive Rights</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420" w:hanging="439"/>
        <w:spacing w:after="0" w:line="254" w:lineRule="auto"/>
        <w:tabs>
          <w:tab w:leader="none" w:pos="142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so long as the Purchaser and its Affiliates beneficially own not less than fifteen percent (15%) of the then total issued and outstanding share capital of the Company (on a non-fully diluted basis), the Purchaser is entitled to a pre-emptive right to purchase up to its pro rata share of any new Equity Securities which the Company may, from time to time, propose to sell, offer or issue to any party (the “</w:t>
      </w:r>
      <w:r>
        <w:rPr>
          <w:rFonts w:ascii="Times New Roman" w:cs="Times New Roman" w:eastAsia="Times New Roman" w:hAnsi="Times New Roman"/>
          <w:sz w:val="18"/>
          <w:szCs w:val="18"/>
          <w:b w:val="1"/>
          <w:bCs w:val="1"/>
          <w:color w:val="auto"/>
        </w:rPr>
        <w:t>Proposed Issuance</w:t>
      </w:r>
      <w:r>
        <w:rPr>
          <w:rFonts w:ascii="Times New Roman" w:cs="Times New Roman" w:eastAsia="Times New Roman" w:hAnsi="Times New Roman"/>
          <w:sz w:val="18"/>
          <w:szCs w:val="18"/>
          <w:color w:val="auto"/>
        </w:rPr>
        <w:t>”), for the same purchase price and on substantially the same terms as are offered to other participants in such issuance. The Purchaser’s pro rata share, for purposes of the pre-emptive right under this Section 5(c), shall be a fraction, the numerator of which shall be the number of Class A Ordinary Shares held by the Purchaser and its Affiliates immediately prior to the issuance of such new Equity Securities and the denominator of which shall be the total number of ordinary shares of the Company issued and outstanding immediately prior to such issuance of new Equity Securities.</w:t>
      </w:r>
    </w:p>
    <w:p>
      <w:pPr>
        <w:spacing w:after="0" w:line="97" w:lineRule="exact"/>
        <w:rPr>
          <w:rFonts w:ascii="Times New Roman" w:cs="Times New Roman" w:eastAsia="Times New Roman" w:hAnsi="Times New Roman"/>
          <w:sz w:val="18"/>
          <w:szCs w:val="18"/>
          <w:color w:val="auto"/>
        </w:rPr>
      </w:pPr>
    </w:p>
    <w:p>
      <w:pPr>
        <w:ind w:left="1420" w:right="20" w:hanging="439"/>
        <w:spacing w:after="0" w:line="253" w:lineRule="auto"/>
        <w:tabs>
          <w:tab w:leader="none" w:pos="142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doubt, the pre-emptive right hereunder shall not apply to any sale, offer or issuance of Equity Securities: (A) to employees, officers or consultants as compensation for their services to the Company pursuant to any employee benefit plan, employee stock option plan or similar share-based plan of the Company duly adopted for such purpose by a majority of the members of the Board or a majority of the members of a committee of directors established for such purpose, (B) in connection with any exercise of conversion rights by any Person holding any convertible securities of the Company that are outstanding as of the date of this Agreement or were issued in compliance with this Section 5(c) after the date of this Agreement, (C) in connection with any share split, share dividend or any share subdivision or other similar event in which all of the shareholders of the Company are entitled to participate on a pro rata basis, or (D) issued pursuant to any transaction or any series of transactions that constitute a Change of Control so long as such sale, offer or issuance of Equity Securities is not primarily for the purpose of raising capital and such sale, offer or issuance is not to any Affiliate or any entity whose primary business is investing in securities.</w:t>
      </w:r>
    </w:p>
    <w:p>
      <w:pPr>
        <w:spacing w:after="0" w:line="95" w:lineRule="exact"/>
        <w:rPr>
          <w:rFonts w:ascii="Times New Roman" w:cs="Times New Roman" w:eastAsia="Times New Roman" w:hAnsi="Times New Roman"/>
          <w:sz w:val="18"/>
          <w:szCs w:val="18"/>
          <w:color w:val="auto"/>
        </w:rPr>
      </w:pPr>
    </w:p>
    <w:p>
      <w:pPr>
        <w:ind w:left="1420" w:right="20" w:hanging="439"/>
        <w:spacing w:after="0" w:line="259" w:lineRule="auto"/>
        <w:tabs>
          <w:tab w:leader="none" w:pos="142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deliver a written notice, in accordance with the provisions of Section 9(i) hereof (the “</w:t>
      </w:r>
      <w:r>
        <w:rPr>
          <w:rFonts w:ascii="Times New Roman" w:cs="Times New Roman" w:eastAsia="Times New Roman" w:hAnsi="Times New Roman"/>
          <w:sz w:val="18"/>
          <w:szCs w:val="18"/>
          <w:b w:val="1"/>
          <w:bCs w:val="1"/>
          <w:color w:val="auto"/>
        </w:rPr>
        <w:t>Issuance Notice</w:t>
      </w:r>
      <w:r>
        <w:rPr>
          <w:rFonts w:ascii="Times New Roman" w:cs="Times New Roman" w:eastAsia="Times New Roman" w:hAnsi="Times New Roman"/>
          <w:sz w:val="18"/>
          <w:szCs w:val="18"/>
          <w:color w:val="auto"/>
        </w:rPr>
        <w:t>”), of any Proposed Issuance to the Purchaser not less than ten (10) Business Days prior to the earlier of the commencement of such Proposed Issuance and the entering into definitive documentation pursuant to which such Proposed Issuance would occur. The Issuance Notice shall set forth the material terms and conditions of the Proposed Issuance, including, to the extent applicable and available, (A) the number and description of the new Equity Securities proposed to be</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0"/>
          </w:cols>
          <w:pgMar w:left="440" w:top="270" w:right="459" w:bottom="1440" w:gutter="0" w:footer="0" w:header="0"/>
        </w:sectPr>
      </w:pPr>
    </w:p>
    <w:bookmarkStart w:id="27" w:name="page28"/>
    <w:bookmarkEnd w:id="27"/>
    <w:p>
      <w:pPr>
        <w:ind w:left="98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issued and the percentage interest in the Company such issuance would represent, as well as the Purchaser’s pro rata share, (B) the proposed closing date of the Proposed Issuance, (C) the proposed purchase price, and (D) the proposed method of sale. The Purchaser shall for a period of five (5) Business Days following the receipt of an Issuance Notice (the “</w:t>
      </w:r>
      <w:r>
        <w:rPr>
          <w:rFonts w:ascii="Times New Roman" w:cs="Times New Roman" w:eastAsia="Times New Roman" w:hAnsi="Times New Roman"/>
          <w:sz w:val="18"/>
          <w:szCs w:val="18"/>
          <w:b w:val="1"/>
          <w:bCs w:val="1"/>
          <w:color w:val="auto"/>
        </w:rPr>
        <w:t>Exercise Period</w:t>
      </w:r>
      <w:r>
        <w:rPr>
          <w:rFonts w:ascii="Times New Roman" w:cs="Times New Roman" w:eastAsia="Times New Roman" w:hAnsi="Times New Roman"/>
          <w:sz w:val="18"/>
          <w:szCs w:val="18"/>
          <w:color w:val="auto"/>
        </w:rPr>
        <w:t>”) have the right to elect to purchase up to the Purchaser’s pro rata share of the new Equity Securities at the purchase price set forth in the Issuance Notice by delivering a written notice to the Company (an “</w:t>
      </w:r>
      <w:r>
        <w:rPr>
          <w:rFonts w:ascii="Times New Roman" w:cs="Times New Roman" w:eastAsia="Times New Roman" w:hAnsi="Times New Roman"/>
          <w:sz w:val="18"/>
          <w:szCs w:val="18"/>
          <w:b w:val="1"/>
          <w:bCs w:val="1"/>
          <w:color w:val="auto"/>
        </w:rPr>
        <w:t>Acceptance Notice</w:t>
      </w:r>
      <w:r>
        <w:rPr>
          <w:rFonts w:ascii="Times New Roman" w:cs="Times New Roman" w:eastAsia="Times New Roman" w:hAnsi="Times New Roman"/>
          <w:sz w:val="18"/>
          <w:szCs w:val="18"/>
          <w:color w:val="auto"/>
        </w:rPr>
        <w:t>”), which Acceptance Notice shall include the number of new Equity Securities the Purchaser elects to purchase. The failure of the Purchaser to deliver an Acceptance Notice by the end of the Exercise Period shall constitute a waiver of its rights under this Section 5(c) with respect to the purchase of such new Equity Securities, but shall not affect its rights with respect to any Proposed Issuance in the future.</w:t>
      </w:r>
    </w:p>
    <w:p>
      <w:pPr>
        <w:spacing w:after="0" w:line="192" w:lineRule="exact"/>
        <w:rPr>
          <w:sz w:val="20"/>
          <w:szCs w:val="20"/>
          <w:color w:val="auto"/>
        </w:rPr>
      </w:pPr>
    </w:p>
    <w:p>
      <w:pPr>
        <w:ind w:right="180" w:firstLine="436"/>
        <w:spacing w:after="0" w:line="256" w:lineRule="auto"/>
        <w:tabs>
          <w:tab w:leader="none" w:pos="69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 of First Refusal</w:t>
      </w:r>
      <w:r>
        <w:rPr>
          <w:rFonts w:ascii="Times New Roman" w:cs="Times New Roman" w:eastAsia="Times New Roman" w:hAnsi="Times New Roman"/>
          <w:sz w:val="18"/>
          <w:szCs w:val="18"/>
          <w:color w:val="auto"/>
        </w:rPr>
        <w:t>. Subject to any applicable local laws or regulations, for so long as the Purchaser and its Affiliates beneficially own not less than fifteen percent (15%) of the then total issued and outstanding share capital of the Company (on a non-fully diluted basis), the Purchaser is entitled to a right of first refusal with respect to any transaction or series of related transactions involving the issuance and sale of any equity or equity-linked interest in any newly established joint ventures or Subsidiaries (whether existing or newly established) of the Company in global jurisdictions other than mainland China, Hong Kong, Macau and Taiwan (the “</w:t>
      </w:r>
      <w:r>
        <w:rPr>
          <w:rFonts w:ascii="Times New Roman" w:cs="Times New Roman" w:eastAsia="Times New Roman" w:hAnsi="Times New Roman"/>
          <w:sz w:val="18"/>
          <w:szCs w:val="18"/>
          <w:b w:val="1"/>
          <w:bCs w:val="1"/>
          <w:color w:val="auto"/>
        </w:rPr>
        <w:t>Subject Transaction</w:t>
      </w:r>
      <w:r>
        <w:rPr>
          <w:rFonts w:ascii="Times New Roman" w:cs="Times New Roman" w:eastAsia="Times New Roman" w:hAnsi="Times New Roman"/>
          <w:sz w:val="18"/>
          <w:szCs w:val="18"/>
          <w:color w:val="auto"/>
        </w:rPr>
        <w:t>”) in accordance with the following provisions of this Section 5(d).</w:t>
      </w:r>
    </w:p>
    <w:p>
      <w:pPr>
        <w:spacing w:after="0" w:line="88" w:lineRule="exact"/>
        <w:rPr>
          <w:rFonts w:ascii="Times New Roman" w:cs="Times New Roman" w:eastAsia="Times New Roman" w:hAnsi="Times New Roman"/>
          <w:sz w:val="18"/>
          <w:szCs w:val="18"/>
          <w:color w:val="auto"/>
        </w:rPr>
      </w:pPr>
    </w:p>
    <w:p>
      <w:pPr>
        <w:ind w:left="1420" w:right="300" w:hanging="439"/>
        <w:spacing w:after="0" w:line="278" w:lineRule="auto"/>
        <w:tabs>
          <w:tab w:leader="none" w:pos="1420" w:val="left"/>
        </w:tabs>
        <w:numPr>
          <w:ilvl w:val="1"/>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shall deliver a written notice, in accordance with the provisions of Section 9(i) hereof (the “</w:t>
      </w:r>
      <w:r>
        <w:rPr>
          <w:rFonts w:ascii="Times New Roman" w:cs="Times New Roman" w:eastAsia="Times New Roman" w:hAnsi="Times New Roman"/>
          <w:sz w:val="17"/>
          <w:szCs w:val="17"/>
          <w:b w:val="1"/>
          <w:bCs w:val="1"/>
          <w:color w:val="auto"/>
        </w:rPr>
        <w:t>Offer Notice</w:t>
      </w:r>
      <w:r>
        <w:rPr>
          <w:rFonts w:ascii="Times New Roman" w:cs="Times New Roman" w:eastAsia="Times New Roman" w:hAnsi="Times New Roman"/>
          <w:sz w:val="17"/>
          <w:szCs w:val="17"/>
          <w:color w:val="auto"/>
        </w:rPr>
        <w:t>”), of its bona fide intent to pursue any Subject Transaction to the Purchaser. The Offer Notice shall set forth the material terms and conditions of the Subject Transaction, including (A) as applicable, the amount of financing sought, the number and description of any securities (including any Equity Securities) proposed to be issued and the purchase price therefor with respect to the Subject Transaction, (B) the proposed timing of the Subject Transaction, and (C) the jurisdiction(s) involved in the Subject Transaction.</w:t>
      </w:r>
    </w:p>
    <w:p>
      <w:pPr>
        <w:spacing w:after="0" w:line="73" w:lineRule="exact"/>
        <w:rPr>
          <w:rFonts w:ascii="Times New Roman" w:cs="Times New Roman" w:eastAsia="Times New Roman" w:hAnsi="Times New Roman"/>
          <w:sz w:val="17"/>
          <w:szCs w:val="17"/>
          <w:color w:val="auto"/>
        </w:rPr>
      </w:pPr>
    </w:p>
    <w:p>
      <w:pPr>
        <w:ind w:left="1420" w:right="40" w:hanging="439"/>
        <w:spacing w:after="0" w:line="261" w:lineRule="auto"/>
        <w:tabs>
          <w:tab w:leader="none" w:pos="142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may exercise its right of first refusal by delivering to the Company written notice within ten (10) Business Days after its receipt of the Offer Notice to participate in the Subject Transaction at the same price and subject to the same terms and conditions as described in the Offer Notice. If and to the extent that the Purchaser fails to exercise its right hereunder timely or at all, the Company may proceed with the Subject Transaction at the price and on the terms specified in the Offer Notice.</w:t>
      </w:r>
    </w:p>
    <w:p>
      <w:pPr>
        <w:spacing w:after="0" w:line="85" w:lineRule="exact"/>
        <w:rPr>
          <w:rFonts w:ascii="Times New Roman" w:cs="Times New Roman" w:eastAsia="Times New Roman" w:hAnsi="Times New Roman"/>
          <w:sz w:val="18"/>
          <w:szCs w:val="18"/>
          <w:color w:val="auto"/>
        </w:rPr>
      </w:pPr>
    </w:p>
    <w:p>
      <w:pPr>
        <w:jc w:val="both"/>
        <w:ind w:left="1420" w:right="400" w:hanging="439"/>
        <w:spacing w:after="0" w:line="266" w:lineRule="auto"/>
        <w:tabs>
          <w:tab w:leader="none" w:pos="142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the Purchaser duly exercised its right of first refusal hereunder, the Purchaser and the Company shall use their commercially best efforts to complete the Subject Transaction at the same price and subject to the same terms and conditions as described in the Offer Notice.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20"/>
          </w:cols>
          <w:pgMar w:left="440" w:top="270" w:right="439" w:bottom="1440" w:gutter="0" w:footer="0" w:header="0"/>
        </w:sectPr>
      </w:pPr>
    </w:p>
    <w:bookmarkStart w:id="28" w:name="page29"/>
    <w:bookmarkEnd w:id="28"/>
    <w:p>
      <w:pPr>
        <w:ind w:left="-20" w:right="40" w:firstLine="436"/>
        <w:spacing w:after="0" w:line="255" w:lineRule="auto"/>
        <w:tabs>
          <w:tab w:leader="none" w:pos="66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Technology Licensing</w:t>
      </w:r>
      <w:r>
        <w:rPr>
          <w:rFonts w:ascii="Times New Roman" w:cs="Times New Roman" w:eastAsia="Times New Roman" w:hAnsi="Times New Roman"/>
          <w:sz w:val="18"/>
          <w:szCs w:val="18"/>
          <w:color w:val="auto"/>
        </w:rPr>
        <w:t>. Except for the Company’s battery swapping technology, for so long as the Purchaser and its Affiliates beneficially own not less than fifteen percent (15%) of the then total issued and outstanding share capital of the Company (on a non-fully diluted basis), the Company shall not license its technologies to any other original equipment manufacturers (“</w:t>
      </w:r>
      <w:r>
        <w:rPr>
          <w:rFonts w:ascii="Times New Roman" w:cs="Times New Roman" w:eastAsia="Times New Roman" w:hAnsi="Times New Roman"/>
          <w:sz w:val="18"/>
          <w:szCs w:val="18"/>
          <w:b w:val="1"/>
          <w:bCs w:val="1"/>
          <w:color w:val="auto"/>
        </w:rPr>
        <w:t>OEMs</w:t>
      </w:r>
      <w:r>
        <w:rPr>
          <w:rFonts w:ascii="Times New Roman" w:cs="Times New Roman" w:eastAsia="Times New Roman" w:hAnsi="Times New Roman"/>
          <w:sz w:val="18"/>
          <w:szCs w:val="18"/>
          <w:color w:val="auto"/>
        </w:rPr>
        <w:t>”), for purposes of utilizing such technologies in connection with the development and manufacturing of vehicle models with starting manufacturer’s suggested retail price (MSRP) of over US$50,000, without the prior written consent of the Purchaser. If the Purchaser consents to any such proposed licensing of the Company’s technologies to an OEM, the Company shall ensure that the terms of the licensing agreement with such OEM will not be more favorable than those offered to the Purchaser and its Affiliates.</w:t>
      </w:r>
    </w:p>
    <w:p>
      <w:pPr>
        <w:spacing w:after="0" w:line="188" w:lineRule="exact"/>
        <w:rPr>
          <w:rFonts w:ascii="Times New Roman" w:cs="Times New Roman" w:eastAsia="Times New Roman" w:hAnsi="Times New Roman"/>
          <w:sz w:val="18"/>
          <w:szCs w:val="18"/>
          <w:color w:val="auto"/>
        </w:rPr>
      </w:pPr>
    </w:p>
    <w:p>
      <w:pPr>
        <w:ind w:left="-20" w:right="260" w:firstLine="436"/>
        <w:spacing w:after="0" w:line="282" w:lineRule="auto"/>
        <w:tabs>
          <w:tab w:leader="none" w:pos="64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Consents and Approvals</w:t>
      </w:r>
      <w:r>
        <w:rPr>
          <w:rFonts w:ascii="Times New Roman" w:cs="Times New Roman" w:eastAsia="Times New Roman" w:hAnsi="Times New Roman"/>
          <w:sz w:val="18"/>
          <w:szCs w:val="18"/>
          <w:color w:val="auto"/>
        </w:rPr>
        <w:t>. The Purchaser shall take all necessary actions to obtain all requisite internal consents, approvals, or authorizations with respect to Closing as soon as practicable after the date hereof and in any event prior to the Closing Date.</w:t>
      </w:r>
    </w:p>
    <w:p>
      <w:pPr>
        <w:spacing w:after="0" w:line="161" w:lineRule="exact"/>
        <w:rPr>
          <w:rFonts w:ascii="Times New Roman" w:cs="Times New Roman" w:eastAsia="Times New Roman" w:hAnsi="Times New Roman"/>
          <w:sz w:val="18"/>
          <w:szCs w:val="18"/>
          <w:color w:val="auto"/>
        </w:rPr>
      </w:pPr>
    </w:p>
    <w:p>
      <w:pPr>
        <w:ind w:left="-20" w:right="60" w:firstLine="436"/>
        <w:spacing w:after="0" w:line="282" w:lineRule="auto"/>
        <w:tabs>
          <w:tab w:leader="none" w:pos="67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Each party shall bear and pay its own costs, fees and expenses incurred by it in connection with the Transaction Documents and the transactions contemplated by the Transaction Documents.</w:t>
      </w:r>
    </w:p>
    <w:p>
      <w:pPr>
        <w:spacing w:after="0" w:line="161" w:lineRule="exact"/>
        <w:rPr>
          <w:rFonts w:ascii="Times New Roman" w:cs="Times New Roman" w:eastAsia="Times New Roman" w:hAnsi="Times New Roman"/>
          <w:sz w:val="18"/>
          <w:szCs w:val="18"/>
          <w:color w:val="auto"/>
        </w:rPr>
      </w:pPr>
    </w:p>
    <w:p>
      <w:pPr>
        <w:ind w:left="-20" w:firstLine="436"/>
        <w:spacing w:after="0" w:line="254" w:lineRule="auto"/>
        <w:tabs>
          <w:tab w:leader="none" w:pos="67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Purchaser Lockup</w:t>
      </w:r>
      <w:r>
        <w:rPr>
          <w:rFonts w:ascii="Times New Roman" w:cs="Times New Roman" w:eastAsia="Times New Roman" w:hAnsi="Times New Roman"/>
          <w:sz w:val="18"/>
          <w:szCs w:val="18"/>
          <w:color w:val="auto"/>
        </w:rPr>
        <w:t>. The Purchaser shall not, during the period commencing on the date hereof and ending six (6) months after the Closing Date (the “</w:t>
      </w:r>
      <w:r>
        <w:rPr>
          <w:rFonts w:ascii="Times New Roman" w:cs="Times New Roman" w:eastAsia="Times New Roman" w:hAnsi="Times New Roman"/>
          <w:sz w:val="18"/>
          <w:szCs w:val="18"/>
          <w:b w:val="1"/>
          <w:bCs w:val="1"/>
          <w:color w:val="auto"/>
        </w:rPr>
        <w:t>Purchaser Lock-Up Period</w:t>
      </w:r>
      <w:r>
        <w:rPr>
          <w:rFonts w:ascii="Times New Roman" w:cs="Times New Roman" w:eastAsia="Times New Roman" w:hAnsi="Times New Roman"/>
          <w:sz w:val="18"/>
          <w:szCs w:val="18"/>
          <w:color w:val="auto"/>
        </w:rPr>
        <w:t>”), Transfer any portion or interest of the Securities purchased hereunder without the prior written consent of the Company, other than (A) to any Affiliate of the Purchaser or to any investment fund or other entity controlling, controlled by, managing or managed by or under common control with the Purchaser or as part of a distribution to members or shareholders of the Purchaser upon liquidation, (B) pursuant to tenders, sales or other transfers pursuant to a bona fide third-party tender offer, merger, consolidation or other similar transaction made to all holders of ADS or Class A Ordinary Shares or involving a Change of Control of the Company, (C) Class A Ordinary Shares and ADSs acquired by the Purchaser in open market transactions subsequent to the Closing or (D) to the Company. Any purported sale, transfer, pledge, encumbrance, assignment, loan, or disposal of the Securities in violation of the foregoing sentence without prior written consent of the Company shall be null and void.</w:t>
      </w:r>
    </w:p>
    <w:p>
      <w:pPr>
        <w:spacing w:after="0" w:line="191" w:lineRule="exact"/>
        <w:rPr>
          <w:rFonts w:ascii="Times New Roman" w:cs="Times New Roman" w:eastAsia="Times New Roman" w:hAnsi="Times New Roman"/>
          <w:sz w:val="18"/>
          <w:szCs w:val="18"/>
          <w:color w:val="auto"/>
        </w:rPr>
      </w:pPr>
    </w:p>
    <w:p>
      <w:pPr>
        <w:ind w:left="-20" w:firstLine="436"/>
        <w:spacing w:after="0" w:line="258" w:lineRule="auto"/>
        <w:tabs>
          <w:tab w:leader="none" w:pos="63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Lockup</w:t>
      </w:r>
      <w:r>
        <w:rPr>
          <w:rFonts w:ascii="Times New Roman" w:cs="Times New Roman" w:eastAsia="Times New Roman" w:hAnsi="Times New Roman"/>
          <w:sz w:val="18"/>
          <w:szCs w:val="18"/>
          <w:color w:val="auto"/>
        </w:rPr>
        <w:t>. Without the prior written consent of the Purchaser, the Company shall not, during the period commencing on the date hereof and ending six (6) months after the Closing Date (the “</w:t>
      </w:r>
      <w:r>
        <w:rPr>
          <w:rFonts w:ascii="Times New Roman" w:cs="Times New Roman" w:eastAsia="Times New Roman" w:hAnsi="Times New Roman"/>
          <w:sz w:val="18"/>
          <w:szCs w:val="18"/>
          <w:b w:val="1"/>
          <w:bCs w:val="1"/>
          <w:color w:val="auto"/>
        </w:rPr>
        <w:t>Company Lock-Up Period</w:t>
      </w:r>
      <w:r>
        <w:rPr>
          <w:rFonts w:ascii="Times New Roman" w:cs="Times New Roman" w:eastAsia="Times New Roman" w:hAnsi="Times New Roman"/>
          <w:sz w:val="18"/>
          <w:szCs w:val="18"/>
          <w:color w:val="auto"/>
        </w:rPr>
        <w:t>”), offer, sell, contract to sell, or grant any option, right or warrant to purchase with respect to, any Company’s Equity Securities at a purchase price per Class A Ordinary Share (as adjusted for the American depository share-to-Class A Ordinary Share ratio) or a conversion price per Class A Ordinary Share (in the case of any security convertible into, exchangeable or exercisable for the Class A Ordinary Share) that is below the Purchase Price.</w:t>
      </w:r>
    </w:p>
    <w:p>
      <w:pPr>
        <w:spacing w:after="0" w:line="183" w:lineRule="exact"/>
        <w:rPr>
          <w:rFonts w:ascii="Times New Roman" w:cs="Times New Roman" w:eastAsia="Times New Roman" w:hAnsi="Times New Roman"/>
          <w:sz w:val="18"/>
          <w:szCs w:val="18"/>
          <w:color w:val="auto"/>
        </w:rPr>
      </w:pPr>
    </w:p>
    <w:p>
      <w:pPr>
        <w:ind w:left="-20" w:right="20" w:firstLine="436"/>
        <w:spacing w:after="0" w:line="254" w:lineRule="auto"/>
        <w:tabs>
          <w:tab w:leader="none" w:pos="63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Public Disclosure</w:t>
      </w:r>
      <w:r>
        <w:rPr>
          <w:rFonts w:ascii="Times New Roman" w:cs="Times New Roman" w:eastAsia="Times New Roman" w:hAnsi="Times New Roman"/>
          <w:sz w:val="18"/>
          <w:szCs w:val="18"/>
          <w:color w:val="auto"/>
        </w:rPr>
        <w:t>. Without limiting any other provision of this Agreement, the Company and Purchaser, to the extent permitted by applicable law, will consult with each other before issuance of, and provide each other the opportunity to review and comment upon, any press release or public statement with respect to the Transaction Documents and the transactions contemplated hereby and thereby, and will not (to the extent practicable) issue any such press release or make any such public statement prior to such consultation with and consent of the other party, which shall not be unreasonably withheld, conditioned or delayed, except as to such press release or public statement (and information contained therein) that the Company or the Purchaser determines, after consultation with outside legal counsel, is required by law, rules, regulations or any listing agreement with or requirement of the SEC, NYSE, the Hong Kong Stock Exchange, the Singapore Exchange or any other applicable securities exchange; provided that the disclosing party shall, to the extent permitted by applicable law,</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60"/>
          </w:cols>
          <w:pgMar w:left="460" w:top="270" w:right="479" w:bottom="1440" w:gutter="0" w:footer="0" w:header="0"/>
        </w:sectPr>
      </w:pPr>
    </w:p>
    <w:bookmarkStart w:id="29" w:name="page30"/>
    <w:bookmarkEnd w:id="29"/>
    <w:p>
      <w:pPr>
        <w:ind w:left="4" w:right="8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rules, regulations or any listing agreement with or requirement of the SEC, NYSE, the Hong Kong Stock Exchange, the Singapore Exchange or any other applicable securities exchange and if reasonably practicable, inform the other parties about the disclosure to be made pursuant to such requirements prior to the disclosure. Notwithstanding the foregoing, this Section 5(j) shall not apply to any press release or other public statement made by the Company that does not contain any information relating to this Agreement that has not been previously announced or made public in accordance with the terms of this Agreement and that is made in the ordinary course of business.</w:t>
      </w:r>
    </w:p>
    <w:p>
      <w:pPr>
        <w:spacing w:after="0" w:line="183" w:lineRule="exact"/>
        <w:rPr>
          <w:sz w:val="20"/>
          <w:szCs w:val="20"/>
          <w:color w:val="auto"/>
        </w:rPr>
      </w:pPr>
    </w:p>
    <w:p>
      <w:pPr>
        <w:ind w:left="4" w:firstLine="436"/>
        <w:spacing w:after="0" w:line="255" w:lineRule="auto"/>
        <w:tabs>
          <w:tab w:leader="none" w:pos="699"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Sanctions, Anti-Corruption, Ex-Im Laws and Anti-Money Laundering</w:t>
      </w:r>
      <w:r>
        <w:rPr>
          <w:rFonts w:ascii="Times New Roman" w:cs="Times New Roman" w:eastAsia="Times New Roman" w:hAnsi="Times New Roman"/>
          <w:sz w:val="18"/>
          <w:szCs w:val="18"/>
          <w:color w:val="auto"/>
        </w:rPr>
        <w:t>. The Company and each of its Subsidiaries shall not, directly or indirectly, use any proceeds of the Aggregate Purchase Price, or use, lend, contribute or otherwise make available any such proceeds, to any Subsidiary, Affiliate, joint venture partner or other Person (i) to fund any investments, activities or transactions involving any Sanctioned Country or Sanctioned Person or (ii) if such use, loan, contribution, or the making available of any such proceeds would be prohibited under Sanctions for a Person subject to U.S., EU or UK jurisdiction; or otherwise in any manner in violation of Sanctions, Anti-Corruption Laws, Ex-Im Laws or Anti-Money Laundering Laws by any Person (including Purchaser, nominee, financial institution, arranger or advisor). The Company will maintain policies and procedures reasonably designed to ensure compliance with Sanctions, Ex-Im Laws Anti-Corruption Laws and Anti-Money Laundering Laws.</w:t>
      </w:r>
    </w:p>
    <w:p>
      <w:pPr>
        <w:spacing w:after="0" w:line="296"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TO THE COMPANY’S OBLIGATIONS</w:t>
      </w:r>
    </w:p>
    <w:p>
      <w:pPr>
        <w:spacing w:after="0" w:line="117" w:lineRule="exact"/>
        <w:rPr>
          <w:sz w:val="20"/>
          <w:szCs w:val="20"/>
          <w:color w:val="auto"/>
        </w:rPr>
      </w:pPr>
    </w:p>
    <w:p>
      <w:pPr>
        <w:ind w:left="4" w:right="100" w:firstLine="440"/>
        <w:spacing w:after="0" w:line="282" w:lineRule="auto"/>
        <w:rPr>
          <w:sz w:val="20"/>
          <w:szCs w:val="20"/>
          <w:color w:val="auto"/>
        </w:rPr>
      </w:pPr>
      <w:r>
        <w:rPr>
          <w:rFonts w:ascii="Times New Roman" w:cs="Times New Roman" w:eastAsia="Times New Roman" w:hAnsi="Times New Roman"/>
          <w:sz w:val="18"/>
          <w:szCs w:val="18"/>
          <w:color w:val="auto"/>
        </w:rPr>
        <w:t>The obligation of the Company hereunder to issue and sell the Securities to the Purchaser at the Closing is subject to the satisfaction or waiver by the Company, on or before the Closing Date, of each of the following conditions:</w:t>
      </w:r>
    </w:p>
    <w:p>
      <w:pPr>
        <w:spacing w:after="0" w:line="162" w:lineRule="exact"/>
        <w:rPr>
          <w:sz w:val="20"/>
          <w:szCs w:val="20"/>
          <w:color w:val="auto"/>
        </w:rPr>
      </w:pPr>
    </w:p>
    <w:p>
      <w:pPr>
        <w:ind w:left="4" w:right="240" w:firstLine="436"/>
        <w:spacing w:after="0" w:line="261" w:lineRule="auto"/>
        <w:tabs>
          <w:tab w:leader="none" w:pos="689"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Execution of Transaction Documents</w:t>
      </w:r>
      <w:r>
        <w:rPr>
          <w:rFonts w:ascii="Times New Roman" w:cs="Times New Roman" w:eastAsia="Times New Roman" w:hAnsi="Times New Roman"/>
          <w:sz w:val="18"/>
          <w:szCs w:val="18"/>
          <w:color w:val="auto"/>
        </w:rPr>
        <w:t>. The Purchaser shall have duly executed and delivered to the Company each of the Transaction Documents to which it is a party. The execution and delivery of this Agreement by the Purchaser and the consummation of the transactions contemplated by and in compliance with the provisions of the Transaction Documents have been duly authorized by all necessary entity action on the part of the Purchaser.</w:t>
      </w:r>
    </w:p>
    <w:p>
      <w:pPr>
        <w:spacing w:after="0" w:line="179" w:lineRule="exact"/>
        <w:rPr>
          <w:rFonts w:ascii="Times New Roman" w:cs="Times New Roman" w:eastAsia="Times New Roman" w:hAnsi="Times New Roman"/>
          <w:sz w:val="18"/>
          <w:szCs w:val="18"/>
          <w:color w:val="auto"/>
        </w:rPr>
      </w:pPr>
    </w:p>
    <w:p>
      <w:pPr>
        <w:ind w:left="4" w:right="580" w:firstLine="436"/>
        <w:spacing w:after="0" w:line="282" w:lineRule="auto"/>
        <w:tabs>
          <w:tab w:leader="none" w:pos="699"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w:t>
      </w:r>
      <w:r>
        <w:rPr>
          <w:rFonts w:ascii="Times New Roman" w:cs="Times New Roman" w:eastAsia="Times New Roman" w:hAnsi="Times New Roman"/>
          <w:sz w:val="18"/>
          <w:szCs w:val="18"/>
          <w:color w:val="auto"/>
        </w:rPr>
        <w:t>. The Purchaser shall have performed and complied in all material respects with all agreements, obligations and conditions contained in the Transaction Documents that are required to be performed or complied with by it on or before the Closing.</w:t>
      </w:r>
    </w:p>
    <w:p>
      <w:pPr>
        <w:spacing w:after="0" w:line="161" w:lineRule="exact"/>
        <w:rPr>
          <w:rFonts w:ascii="Times New Roman" w:cs="Times New Roman" w:eastAsia="Times New Roman" w:hAnsi="Times New Roman"/>
          <w:sz w:val="18"/>
          <w:szCs w:val="18"/>
          <w:color w:val="auto"/>
        </w:rPr>
      </w:pPr>
    </w:p>
    <w:p>
      <w:pPr>
        <w:ind w:left="4" w:right="20" w:firstLine="436"/>
        <w:spacing w:after="0" w:line="255" w:lineRule="auto"/>
        <w:tabs>
          <w:tab w:leader="none" w:pos="689"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 Covenants</w:t>
      </w:r>
      <w:r>
        <w:rPr>
          <w:rFonts w:ascii="Times New Roman" w:cs="Times New Roman" w:eastAsia="Times New Roman" w:hAnsi="Times New Roman"/>
          <w:sz w:val="18"/>
          <w:szCs w:val="18"/>
          <w:color w:val="auto"/>
        </w:rPr>
        <w:t>. The representations and warranties of the Purchaser shall be true and correct in all material respects (except for those representations and warranties that are qualified by materiality or material adverse effect, which shall be true and correct in all respects) as of the date of this Agreement and as of the Closing Date as though made at that time (except for representations and warranties that speak as of a specific date, which shall be true and correct as of such specified date); provided that each representation or warranty made by the Purchaser in this Agreement under Sections 3(a), 3(b) and 3(c) shall be true and correct in all respects as of the date of this Agreement and as of the Closing Date as though made at that time (except for representations and warranties that speak as of a specific date, which shall be true and correct as of such specified date).</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04"/>
          </w:cols>
          <w:pgMar w:left="436" w:top="270" w:right="459" w:bottom="1440" w:gutter="0" w:footer="0" w:header="0"/>
        </w:sectPr>
      </w:pPr>
    </w:p>
    <w:bookmarkStart w:id="30" w:name="page31"/>
    <w:bookmarkEnd w:id="30"/>
    <w:p>
      <w:pPr>
        <w:ind w:left="704" w:hanging="264"/>
        <w:spacing w:after="0"/>
        <w:tabs>
          <w:tab w:leader="none" w:pos="704"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Stop Order</w:t>
      </w:r>
      <w:r>
        <w:rPr>
          <w:rFonts w:ascii="Times New Roman" w:cs="Times New Roman" w:eastAsia="Times New Roman" w:hAnsi="Times New Roman"/>
          <w:sz w:val="18"/>
          <w:szCs w:val="18"/>
          <w:color w:val="auto"/>
        </w:rPr>
        <w:t>. There shall not be in force and effect any (A) law, rule or regulation (whether temporary, preliminary or permanent) or</w:t>
      </w:r>
    </w:p>
    <w:p>
      <w:pPr>
        <w:spacing w:after="0" w:line="27" w:lineRule="exact"/>
        <w:rPr>
          <w:rFonts w:ascii="Times New Roman" w:cs="Times New Roman" w:eastAsia="Times New Roman" w:hAnsi="Times New Roman"/>
          <w:sz w:val="18"/>
          <w:szCs w:val="18"/>
          <w:color w:val="auto"/>
        </w:rPr>
      </w:pPr>
    </w:p>
    <w:p>
      <w:pPr>
        <w:ind w:left="4" w:right="380" w:hanging="4"/>
        <w:spacing w:after="0" w:line="260" w:lineRule="auto"/>
        <w:tabs>
          <w:tab w:leader="none" w:pos="289"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order, judgment, verdict, subpoena, injunction, decree, ruling, determination or award by any Governmental Entity of competent jurisdiction, in either case, enjoining, prohibiting or having the effect of making illegal the consummation of the transactions contemplated by this Agreement.</w:t>
      </w:r>
    </w:p>
    <w:p>
      <w:pPr>
        <w:spacing w:after="0" w:line="289" w:lineRule="exact"/>
        <w:rPr>
          <w:sz w:val="20"/>
          <w:szCs w:val="20"/>
          <w:color w:val="auto"/>
        </w:rPr>
      </w:pPr>
    </w:p>
    <w:p>
      <w:pPr>
        <w:ind w:left="184" w:hanging="184"/>
        <w:spacing w:after="0"/>
        <w:tabs>
          <w:tab w:leader="none" w:pos="18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TO THE PURCHASER’S OBLIGATIONS</w:t>
      </w:r>
    </w:p>
    <w:p>
      <w:pPr>
        <w:spacing w:after="0" w:line="117" w:lineRule="exact"/>
        <w:rPr>
          <w:sz w:val="20"/>
          <w:szCs w:val="20"/>
          <w:color w:val="auto"/>
        </w:rPr>
      </w:pPr>
    </w:p>
    <w:p>
      <w:pPr>
        <w:ind w:left="4" w:right="140" w:firstLine="440"/>
        <w:spacing w:after="0" w:line="282" w:lineRule="auto"/>
        <w:rPr>
          <w:sz w:val="20"/>
          <w:szCs w:val="20"/>
          <w:color w:val="auto"/>
        </w:rPr>
      </w:pPr>
      <w:r>
        <w:rPr>
          <w:rFonts w:ascii="Times New Roman" w:cs="Times New Roman" w:eastAsia="Times New Roman" w:hAnsi="Times New Roman"/>
          <w:sz w:val="18"/>
          <w:szCs w:val="18"/>
          <w:color w:val="auto"/>
        </w:rPr>
        <w:t>The obligation of the Purchaser hereunder to purchase the Securities at the Closing is subject to the satisfaction or waiver by the Purchaser, on or before the Closing Date, of each of the following conditions:</w:t>
      </w:r>
    </w:p>
    <w:p>
      <w:pPr>
        <w:spacing w:after="0" w:line="162" w:lineRule="exact"/>
        <w:rPr>
          <w:sz w:val="20"/>
          <w:szCs w:val="20"/>
          <w:color w:val="auto"/>
        </w:rPr>
      </w:pPr>
    </w:p>
    <w:p>
      <w:pPr>
        <w:ind w:left="4" w:right="760" w:firstLine="436"/>
        <w:spacing w:after="0" w:line="282" w:lineRule="auto"/>
        <w:tabs>
          <w:tab w:leader="none" w:pos="689"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Execution of Transaction Documents</w:t>
      </w:r>
      <w:r>
        <w:rPr>
          <w:rFonts w:ascii="Times New Roman" w:cs="Times New Roman" w:eastAsia="Times New Roman" w:hAnsi="Times New Roman"/>
          <w:sz w:val="18"/>
          <w:szCs w:val="18"/>
          <w:color w:val="auto"/>
        </w:rPr>
        <w:t>. The Company shall have duly executed and delivered to the Purchaser each of the Transaction Documents to which it is a party.</w:t>
      </w:r>
    </w:p>
    <w:p>
      <w:pPr>
        <w:spacing w:after="0" w:line="161" w:lineRule="exact"/>
        <w:rPr>
          <w:rFonts w:ascii="Times New Roman" w:cs="Times New Roman" w:eastAsia="Times New Roman" w:hAnsi="Times New Roman"/>
          <w:sz w:val="18"/>
          <w:szCs w:val="18"/>
          <w:color w:val="auto"/>
        </w:rPr>
      </w:pPr>
    </w:p>
    <w:p>
      <w:pPr>
        <w:ind w:left="4" w:right="580" w:firstLine="436"/>
        <w:spacing w:after="0" w:line="282" w:lineRule="auto"/>
        <w:tabs>
          <w:tab w:leader="none" w:pos="699"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w:t>
      </w:r>
      <w:r>
        <w:rPr>
          <w:rFonts w:ascii="Times New Roman" w:cs="Times New Roman" w:eastAsia="Times New Roman" w:hAnsi="Times New Roman"/>
          <w:sz w:val="18"/>
          <w:szCs w:val="18"/>
          <w:color w:val="auto"/>
        </w:rPr>
        <w:t>. The Company shall have performed and complied in all material respects with all agreements, obligations and conditions contained in the Transaction Documents that are required to be performed or complied with by it on or before the Closing.</w:t>
      </w:r>
    </w:p>
    <w:p>
      <w:pPr>
        <w:spacing w:after="0" w:line="161" w:lineRule="exact"/>
        <w:rPr>
          <w:rFonts w:ascii="Times New Roman" w:cs="Times New Roman" w:eastAsia="Times New Roman" w:hAnsi="Times New Roman"/>
          <w:sz w:val="18"/>
          <w:szCs w:val="18"/>
          <w:color w:val="auto"/>
        </w:rPr>
      </w:pPr>
    </w:p>
    <w:p>
      <w:pPr>
        <w:ind w:left="4" w:firstLine="436"/>
        <w:spacing w:after="0" w:line="255" w:lineRule="auto"/>
        <w:tabs>
          <w:tab w:leader="none" w:pos="689"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 Covenants</w:t>
      </w:r>
      <w:r>
        <w:rPr>
          <w:rFonts w:ascii="Times New Roman" w:cs="Times New Roman" w:eastAsia="Times New Roman" w:hAnsi="Times New Roman"/>
          <w:sz w:val="18"/>
          <w:szCs w:val="18"/>
          <w:color w:val="auto"/>
        </w:rPr>
        <w:t>. The representations and warranties of the Company contained in the Transaction Documents shall be true and correct in all material respects (except for those representations and warranties that are qualified by materiality or material adverse effect, which shall be true and correct in all respects) as of the date of this Agreement and as of the Closing Date as though made at that time (except for representations and warranties that speak as of a specific date, which shall be true and correct in all material respects as of such specified date); provided that each representation or warranty made by the Company in this Agreement under Sections 4(a), 4(b), 4(c), 4(f) and 4(g) shall be true and correct in all respects as of the date of this Agreement and as of the Closing Date as though made at that time (except for representations and warranties that speak as of a specific date, which shall be true and correct as of such specified date).</w:t>
      </w:r>
    </w:p>
    <w:p>
      <w:pPr>
        <w:spacing w:after="0" w:line="188"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Stop Order</w:t>
      </w:r>
      <w:r>
        <w:rPr>
          <w:rFonts w:ascii="Times New Roman" w:cs="Times New Roman" w:eastAsia="Times New Roman" w:hAnsi="Times New Roman"/>
          <w:sz w:val="18"/>
          <w:szCs w:val="18"/>
          <w:color w:val="auto"/>
        </w:rPr>
        <w:t>. There shall not be in force and effect any (A) law, rule or regulation (whether temporary, preliminary or permanent) or</w:t>
      </w:r>
    </w:p>
    <w:p>
      <w:pPr>
        <w:spacing w:after="0" w:line="27" w:lineRule="exact"/>
        <w:rPr>
          <w:rFonts w:ascii="Times New Roman" w:cs="Times New Roman" w:eastAsia="Times New Roman" w:hAnsi="Times New Roman"/>
          <w:sz w:val="18"/>
          <w:szCs w:val="18"/>
          <w:color w:val="auto"/>
        </w:rPr>
      </w:pPr>
    </w:p>
    <w:p>
      <w:pPr>
        <w:ind w:left="4" w:right="380" w:hanging="4"/>
        <w:spacing w:after="0" w:line="260" w:lineRule="auto"/>
        <w:tabs>
          <w:tab w:leader="none" w:pos="289"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order, judgment, verdict, subpoena, injunction, decree, ruling, determination or award by any Governmental Entity of competent jurisdiction, in either case, enjoining, prohibiting or having the effect of making illegal the consummation of the transactions contemplated by this Agreement.</w:t>
      </w:r>
    </w:p>
    <w:p>
      <w:pPr>
        <w:spacing w:after="0" w:line="181" w:lineRule="exact"/>
        <w:rPr>
          <w:rFonts w:ascii="Times New Roman" w:cs="Times New Roman" w:eastAsia="Times New Roman" w:hAnsi="Times New Roman"/>
          <w:sz w:val="18"/>
          <w:szCs w:val="18"/>
          <w:color w:val="auto"/>
        </w:rPr>
      </w:pPr>
    </w:p>
    <w:p>
      <w:pPr>
        <w:ind w:left="684" w:hanging="244"/>
        <w:spacing w:after="0"/>
        <w:tabs>
          <w:tab w:leader="none" w:pos="684"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Material Adverse Effect</w:t>
      </w:r>
      <w:r>
        <w:rPr>
          <w:rFonts w:ascii="Times New Roman" w:cs="Times New Roman" w:eastAsia="Times New Roman" w:hAnsi="Times New Roman"/>
          <w:sz w:val="18"/>
          <w:szCs w:val="18"/>
          <w:color w:val="auto"/>
        </w:rPr>
        <w:t>. No Material Adverse Effect shall have occurred since the date of this Agreement.</w:t>
      </w:r>
    </w:p>
    <w:p>
      <w:pPr>
        <w:spacing w:after="0" w:line="225" w:lineRule="exact"/>
        <w:rPr>
          <w:rFonts w:ascii="Times New Roman" w:cs="Times New Roman" w:eastAsia="Times New Roman" w:hAnsi="Times New Roman"/>
          <w:sz w:val="18"/>
          <w:szCs w:val="18"/>
          <w:color w:val="auto"/>
        </w:rPr>
      </w:pPr>
    </w:p>
    <w:p>
      <w:pPr>
        <w:ind w:left="4" w:right="220" w:firstLine="436"/>
        <w:spacing w:after="0" w:line="282" w:lineRule="auto"/>
        <w:tabs>
          <w:tab w:leader="none" w:pos="669"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Exchange Listing</w:t>
      </w:r>
      <w:r>
        <w:rPr>
          <w:rFonts w:ascii="Times New Roman" w:cs="Times New Roman" w:eastAsia="Times New Roman" w:hAnsi="Times New Roman"/>
          <w:sz w:val="18"/>
          <w:szCs w:val="18"/>
          <w:color w:val="auto"/>
        </w:rPr>
        <w:t>. The Company shall have filed a supplemental listing application for the ADSs representing the Securities with NYSE and shall have received no objection thereto from NYSE.</w:t>
      </w:r>
    </w:p>
    <w:p>
      <w:pPr>
        <w:spacing w:after="0" w:line="270" w:lineRule="exact"/>
        <w:rPr>
          <w:sz w:val="20"/>
          <w:szCs w:val="20"/>
          <w:color w:val="auto"/>
        </w:rPr>
      </w:pPr>
    </w:p>
    <w:p>
      <w:pPr>
        <w:ind w:left="184" w:hanging="184"/>
        <w:spacing w:after="0"/>
        <w:tabs>
          <w:tab w:leader="none" w:pos="18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p>
    <w:p>
      <w:pPr>
        <w:spacing w:after="0" w:line="117" w:lineRule="exact"/>
        <w:rPr>
          <w:rFonts w:ascii="Times New Roman" w:cs="Times New Roman" w:eastAsia="Times New Roman" w:hAnsi="Times New Roman"/>
          <w:sz w:val="18"/>
          <w:szCs w:val="18"/>
          <w:color w:val="auto"/>
        </w:rPr>
      </w:pPr>
    </w:p>
    <w:p>
      <w:pPr>
        <w:ind w:left="4" w:right="100" w:firstLine="436"/>
        <w:spacing w:after="0" w:line="282" w:lineRule="auto"/>
        <w:tabs>
          <w:tab w:leader="none" w:pos="689"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8(b) below, this Agreement may be terminated and the transactions contemplated by this Agreement abandoned at any time prior to the Closing:</w:t>
      </w:r>
    </w:p>
    <w:p>
      <w:pPr>
        <w:spacing w:after="0" w:line="161" w:lineRule="exact"/>
        <w:rPr>
          <w:rFonts w:ascii="Times New Roman" w:cs="Times New Roman" w:eastAsia="Times New Roman" w:hAnsi="Times New Roman"/>
          <w:sz w:val="18"/>
          <w:szCs w:val="18"/>
          <w:color w:val="auto"/>
        </w:rPr>
      </w:pPr>
    </w:p>
    <w:p>
      <w:pPr>
        <w:ind w:left="1204" w:hanging="213"/>
        <w:spacing w:after="0"/>
        <w:tabs>
          <w:tab w:leader="none" w:pos="1204" w:val="left"/>
        </w:tabs>
        <w:numPr>
          <w:ilvl w:val="2"/>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the Company or the Purchaser, by written notice to the other party, if Closing does not occur by December 31, 2023;</w:t>
      </w:r>
    </w:p>
    <w:p>
      <w:pPr>
        <w:spacing w:after="0" w:line="225" w:lineRule="exact"/>
        <w:rPr>
          <w:rFonts w:ascii="Times New Roman" w:cs="Times New Roman" w:eastAsia="Times New Roman" w:hAnsi="Times New Roman"/>
          <w:sz w:val="18"/>
          <w:szCs w:val="18"/>
          <w:color w:val="auto"/>
        </w:rPr>
      </w:pPr>
    </w:p>
    <w:p>
      <w:pPr>
        <w:ind w:left="1264" w:hanging="273"/>
        <w:spacing w:after="0"/>
        <w:tabs>
          <w:tab w:leader="none" w:pos="1264" w:val="left"/>
        </w:tabs>
        <w:numPr>
          <w:ilvl w:val="2"/>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mutual agreement of the Company and the Purchaser;</w:t>
      </w:r>
    </w:p>
    <w:p>
      <w:pPr>
        <w:spacing w:after="0" w:line="15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04"/>
          </w:cols>
          <w:pgMar w:left="436" w:top="270" w:right="459" w:bottom="1440" w:gutter="0" w:footer="0" w:header="0"/>
        </w:sectPr>
      </w:pPr>
    </w:p>
    <w:bookmarkStart w:id="31" w:name="page32"/>
    <w:bookmarkEnd w:id="31"/>
    <w:p>
      <w:pPr>
        <w:jc w:val="both"/>
        <w:ind w:left="4" w:right="400" w:firstLine="987"/>
        <w:spacing w:after="0" w:line="261" w:lineRule="auto"/>
        <w:tabs>
          <w:tab w:leader="none" w:pos="1310" w:val="left"/>
        </w:tabs>
        <w:numPr>
          <w:ilvl w:val="2"/>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by the Company or the Purchaser if there is in force and effect any (A) law, rule or regulation (whether temporary, preliminary or permanent) or (B) order, judgment, verdict, subpoena, injunction, decree, ruling, determination or award by any Governmental Entity of competent jurisdiction, in either case, enjoining, prohibiting or having the effect of making illegal the consummation of the transactions contemplated by this Agreement;</w:t>
      </w:r>
    </w:p>
    <w:p>
      <w:pPr>
        <w:spacing w:after="0" w:line="179" w:lineRule="exact"/>
        <w:rPr>
          <w:rFonts w:ascii="Times New Roman" w:cs="Times New Roman" w:eastAsia="Times New Roman" w:hAnsi="Times New Roman"/>
          <w:sz w:val="18"/>
          <w:szCs w:val="18"/>
          <w:color w:val="auto"/>
        </w:rPr>
      </w:pPr>
    </w:p>
    <w:p>
      <w:pPr>
        <w:ind w:left="4" w:firstLine="987"/>
        <w:spacing w:after="0" w:line="255" w:lineRule="auto"/>
        <w:tabs>
          <w:tab w:leader="none" w:pos="1300" w:val="left"/>
        </w:tabs>
        <w:numPr>
          <w:ilvl w:val="2"/>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Purchaser if any representation or warranty made by the Company under this Agreement shall have become untrue or there has been a breach of any covenant or agreement by the Company under this Agreement, which breach cannot be cured or, if it is capable of being cured, that is not cured within seven (7) Business Days of its occurrence, in either case such that the conditions set forth in Section 7 would not be satisfied as of the time of such breach or as of the time such representation or warranty shall have become untrue; provided, however, that the Purchaser shall not have the right to terminate this Agreement pursuant to this Section 8(a)(iv) if the Purchaser shall have materially breached or failed to perform any of its representation or warranty or covenant or agreement under any Transaction Document which breach or failure to perform would give rise to the failure of the condition set forth in Section 7; or</w:t>
      </w:r>
    </w:p>
    <w:p>
      <w:pPr>
        <w:spacing w:after="0" w:line="188" w:lineRule="exact"/>
        <w:rPr>
          <w:rFonts w:ascii="Times New Roman" w:cs="Times New Roman" w:eastAsia="Times New Roman" w:hAnsi="Times New Roman"/>
          <w:sz w:val="18"/>
          <w:szCs w:val="18"/>
          <w:color w:val="auto"/>
        </w:rPr>
      </w:pPr>
    </w:p>
    <w:p>
      <w:pPr>
        <w:ind w:left="4" w:firstLine="987"/>
        <w:spacing w:after="0" w:line="255" w:lineRule="auto"/>
        <w:tabs>
          <w:tab w:leader="none" w:pos="1250" w:val="left"/>
        </w:tabs>
        <w:numPr>
          <w:ilvl w:val="2"/>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Company if any representation or warranty made by the Purchaser under this Agreement shall have become untrue or there has been a breach of any covenant or agreement by the Purchaser under this Agreement, which breach cannot be cured or, if it is capable of being cured, that is not cured within seven (7) Business Days of its occurrence, in either case such that the conditions set forth in Section 6 would not be satisfied as of the time of such breach or as of the time such representation or warranty shall have become untrue; provided, however, that the Company shall not have the right to terminate this Agreement pursuant to this Section 8(a)(v) if the Company shall have materially breached or failed to perform any of its representation or warranty or covenant or agreement under any Transaction Document which breach or failure to perform would give rise to the failure of the condition set forth in Section 6.</w:t>
      </w:r>
    </w:p>
    <w:p>
      <w:pPr>
        <w:spacing w:after="0" w:line="188" w:lineRule="exact"/>
        <w:rPr>
          <w:rFonts w:ascii="Times New Roman" w:cs="Times New Roman" w:eastAsia="Times New Roman" w:hAnsi="Times New Roman"/>
          <w:sz w:val="18"/>
          <w:szCs w:val="18"/>
          <w:color w:val="auto"/>
        </w:rPr>
      </w:pPr>
    </w:p>
    <w:p>
      <w:pPr>
        <w:ind w:left="4" w:right="20" w:firstLine="436"/>
        <w:spacing w:after="0" w:line="261" w:lineRule="auto"/>
        <w:tabs>
          <w:tab w:leader="none" w:pos="699"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termination of this Agreement as provided in Section 8(a) above, this Agreement shall forthwith become void and there shall be no liability or obligation on the part of the parties hereto and, as applicable, the officers, directors and shareholders of each party, except that the provisions of Sections 8 and 9 hereof shall remain in full force and effect; provided that nothing herein shall relieve any party hereto from liability for any breach of this Agreement that occurred prior to such termination.</w:t>
      </w:r>
    </w:p>
    <w:p>
      <w:pPr>
        <w:spacing w:after="0" w:line="287"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p>
    <w:p>
      <w:pPr>
        <w:spacing w:after="0" w:line="117" w:lineRule="exact"/>
        <w:rPr>
          <w:rFonts w:ascii="Times New Roman" w:cs="Times New Roman" w:eastAsia="Times New Roman" w:hAnsi="Times New Roman"/>
          <w:sz w:val="18"/>
          <w:szCs w:val="18"/>
          <w:color w:val="auto"/>
        </w:rPr>
      </w:pPr>
    </w:p>
    <w:p>
      <w:pPr>
        <w:ind w:left="4" w:firstLine="436"/>
        <w:spacing w:after="0" w:line="255" w:lineRule="auto"/>
        <w:tabs>
          <w:tab w:leader="none" w:pos="689"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Survival</w:t>
      </w:r>
      <w:r>
        <w:rPr>
          <w:rFonts w:ascii="Times New Roman" w:cs="Times New Roman" w:eastAsia="Times New Roman" w:hAnsi="Times New Roman"/>
          <w:sz w:val="18"/>
          <w:szCs w:val="18"/>
          <w:color w:val="auto"/>
        </w:rPr>
        <w:t>. None of the representations, warranties, covenants or agreements in this Agreement or in any instrument delivered pursuant to this Agreement shall survive the Closing and all rights, claims and causes of action (whether in contract or in tort or otherwise, or whether at law or in equity) with respect thereto shall terminate at the Closing. Notwithstanding the foregoing, neither this Section 9(a) nor anything else in this Agreement to the contrary shall limit: (a) the survival of any covenant or agreement of the parties which by its terms is required to be performed or complied with in whole or in part after the Closing, which covenants and agreements shall survive the Closing in accordance with their respective terms; or (b) the liability of any Person with respect to fraud. For the avoidance of doubt, all of the covenants and agreements contained in Section 9(a) herein shall survive the Closing.</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04"/>
          </w:cols>
          <w:pgMar w:left="436" w:top="270" w:right="459" w:bottom="1440" w:gutter="0" w:footer="0" w:header="0"/>
        </w:sectPr>
      </w:pPr>
    </w:p>
    <w:bookmarkStart w:id="32" w:name="page33"/>
    <w:bookmarkEnd w:id="32"/>
    <w:p>
      <w:pPr>
        <w:ind w:left="-20" w:firstLine="436"/>
        <w:spacing w:after="0" w:line="252" w:lineRule="auto"/>
        <w:tabs>
          <w:tab w:leader="none" w:pos="67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Governing Law; Arbitration</w:t>
      </w:r>
      <w:r>
        <w:rPr>
          <w:rFonts w:ascii="Times New Roman" w:cs="Times New Roman" w:eastAsia="Times New Roman" w:hAnsi="Times New Roman"/>
          <w:sz w:val="18"/>
          <w:szCs w:val="18"/>
          <w:color w:val="auto"/>
        </w:rPr>
        <w:t>. All questions concerning the construction, validity, enforcement and interpretation of this Agreement shall be governed by and construed in accordance with the laws of the State of New York without giving effect to any choice or conflict of law provision or rule thereof. Any dispute, controversy or claim arising out of or relating to this Agreement, or the interpretation, breach, termination or validity hereof, shall be submitted to arbitration upon the request of any party with notice to the other party. The arbitration shall be conducted in Hong Kong under the auspices of the Hong Kong International Arbitration Centre (“</w:t>
      </w:r>
      <w:r>
        <w:rPr>
          <w:rFonts w:ascii="Times New Roman" w:cs="Times New Roman" w:eastAsia="Times New Roman" w:hAnsi="Times New Roman"/>
          <w:sz w:val="18"/>
          <w:szCs w:val="18"/>
          <w:b w:val="1"/>
          <w:bCs w:val="1"/>
          <w:color w:val="auto"/>
        </w:rPr>
        <w:t>HKIAC</w:t>
      </w:r>
      <w:r>
        <w:rPr>
          <w:rFonts w:ascii="Times New Roman" w:cs="Times New Roman" w:eastAsia="Times New Roman" w:hAnsi="Times New Roman"/>
          <w:sz w:val="18"/>
          <w:szCs w:val="18"/>
          <w:color w:val="auto"/>
        </w:rPr>
        <w:t>”) in accordance with the HKIAC Administered Arbitration Rules then in effect, which rules are deemed to be incorporated by reference into this Section 9(b). There shall be three (3) arbitrators. The complainant and the respondent to such dispute shall each select one arbitrator within thirty (30) days after giving or receiving the demand for arbitration. The Chairman of the HKIAC shall select the third arbitrator, who shall be qualified to practice law in Hong Kong. If either party to the arbitration does not appoint an arbitrator who has consented to participate within thirty (30) days after selection of the first arbitrator, the relevant appointment shall be made by the Chairman of the HKIAC. The arbitration proceedings shall be conducted in English. Each party irrevocably waives, to the fullest extent it may effectively do so, any objection which it may now or hereafter have to the laying of venue of any such arbitration in Hong Kong and the HKIAC, and hereby submits to the exclusive jurisdiction of HKIAC in any such arbitration. The award of the arbitration tribunal shall be conclusive and binding upon the disputing parties, and any party to the dispute may apply to a court of competent jurisdiction for enforcement of such award. Any party to the dispute shall be entitled to seek preliminary injunctive relief, if possible, from any court of competent jurisdiction pending the constitution of the arbitral tribunal.</w:t>
      </w:r>
    </w:p>
    <w:p>
      <w:pPr>
        <w:spacing w:after="0" w:line="197" w:lineRule="exact"/>
        <w:rPr>
          <w:rFonts w:ascii="Times New Roman" w:cs="Times New Roman" w:eastAsia="Times New Roman" w:hAnsi="Times New Roman"/>
          <w:sz w:val="18"/>
          <w:szCs w:val="18"/>
          <w:color w:val="auto"/>
        </w:rPr>
      </w:pPr>
    </w:p>
    <w:p>
      <w:pPr>
        <w:ind w:left="-20" w:right="120" w:firstLine="436"/>
        <w:spacing w:after="0" w:line="258" w:lineRule="auto"/>
        <w:tabs>
          <w:tab w:leader="none" w:pos="66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Remedies and Waivers</w:t>
      </w:r>
      <w:r>
        <w:rPr>
          <w:rFonts w:ascii="Times New Roman" w:cs="Times New Roman" w:eastAsia="Times New Roman" w:hAnsi="Times New Roman"/>
          <w:sz w:val="18"/>
          <w:szCs w:val="18"/>
          <w:color w:val="auto"/>
        </w:rPr>
        <w:t>. No delay or omission by any party to this Agreement in exercising any right, power or remedy provided by law or under this Agreement or any other documents referred to in it shall: (i) affect that right, power or remedy; or (ii) operate as a waiver thereof. The single or partial exercise of any right, power or remedy provided by law or under this Agreement shall not preclude any other or further exercise or any other right, power or remedy. Except as otherwise expressly provided in this Agreement, the rights, powers and remedies provided in this Agreement are cumulative and not exclusive of any rights, powers and remedies provided by law.</w:t>
      </w:r>
    </w:p>
    <w:p>
      <w:pPr>
        <w:spacing w:after="0" w:line="183" w:lineRule="exact"/>
        <w:rPr>
          <w:rFonts w:ascii="Times New Roman" w:cs="Times New Roman" w:eastAsia="Times New Roman" w:hAnsi="Times New Roman"/>
          <w:sz w:val="18"/>
          <w:szCs w:val="18"/>
          <w:color w:val="auto"/>
        </w:rPr>
      </w:pPr>
    </w:p>
    <w:p>
      <w:pPr>
        <w:jc w:val="both"/>
        <w:ind w:left="-20" w:right="240" w:firstLine="436"/>
        <w:spacing w:after="0" w:line="261" w:lineRule="auto"/>
        <w:tabs>
          <w:tab w:leader="none" w:pos="67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two or more identical counterparts, all of which shall be considered one and the same agreement and shall become effective when counterparts have been signed by each party and delivered to the other party. Signatures in the form of electronically imaged “.pdf” shall be considered due execution and shall be binding upon the signatory thereto with the same force and effect as if the signatures were original.</w:t>
      </w:r>
    </w:p>
    <w:p>
      <w:pPr>
        <w:spacing w:after="0" w:line="179" w:lineRule="exact"/>
        <w:rPr>
          <w:rFonts w:ascii="Times New Roman" w:cs="Times New Roman" w:eastAsia="Times New Roman" w:hAnsi="Times New Roman"/>
          <w:sz w:val="18"/>
          <w:szCs w:val="18"/>
          <w:color w:val="auto"/>
        </w:rPr>
      </w:pPr>
    </w:p>
    <w:p>
      <w:pPr>
        <w:ind w:left="-20" w:right="480" w:firstLine="436"/>
        <w:spacing w:after="0" w:line="282" w:lineRule="auto"/>
        <w:tabs>
          <w:tab w:leader="none" w:pos="66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of this Agreement are for convenience of reference and shall not form part of, or affect the interpretation of, this Agreement.</w:t>
      </w:r>
    </w:p>
    <w:p>
      <w:pPr>
        <w:spacing w:after="0" w:line="161" w:lineRule="exact"/>
        <w:rPr>
          <w:rFonts w:ascii="Times New Roman" w:cs="Times New Roman" w:eastAsia="Times New Roman" w:hAnsi="Times New Roman"/>
          <w:sz w:val="18"/>
          <w:szCs w:val="18"/>
          <w:color w:val="auto"/>
        </w:rPr>
      </w:pPr>
    </w:p>
    <w:p>
      <w:pPr>
        <w:ind w:left="-20" w:right="180" w:firstLine="436"/>
        <w:spacing w:after="0" w:line="266" w:lineRule="auto"/>
        <w:tabs>
          <w:tab w:leader="none" w:pos="64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provision of this Agreement shall be invalid or unenforceable in any jurisdiction, such invalidity or unenforceability shall not affect the validity or enforceability of the remainder of this Agreement in that jurisdiction or the validity or enforceability of any provision of this Agreement in any other jurisdiction.</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980"/>
          </w:cols>
          <w:pgMar w:left="460" w:top="270" w:right="459" w:bottom="1440" w:gutter="0" w:footer="0" w:header="0"/>
        </w:sectPr>
      </w:pPr>
    </w:p>
    <w:bookmarkStart w:id="33" w:name="page34"/>
    <w:bookmarkEnd w:id="33"/>
    <w:p>
      <w:pPr>
        <w:ind w:left="-436" w:firstLine="436"/>
        <w:spacing w:after="0" w:line="252" w:lineRule="auto"/>
        <w:tabs>
          <w:tab w:leader="none" w:pos="259"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Interpretation</w:t>
      </w:r>
      <w:r>
        <w:rPr>
          <w:rFonts w:ascii="Times New Roman" w:cs="Times New Roman" w:eastAsia="Times New Roman" w:hAnsi="Times New Roman"/>
          <w:sz w:val="18"/>
          <w:szCs w:val="18"/>
          <w:color w:val="auto"/>
        </w:rPr>
        <w:t>. When a reference is made in this Agreement to an Article, Section or Exhibit, such reference shall be to an Article or Section of, or an Exhibit to, this Agreement unless otherwise indicated. The table of contents and headings contained in this Agreement are for reference purposes only and shall not affect in any way the meaning or interpretation of this Agreement. Whenever the words “include,” “includes” or “including” are used in this Agreement, they shall be deemed to be followed by the words “without limitation”. The words “hereof”, “herein” and “hereunder” and words of similar import when used in this Agreement shall refer to this Agreement as a whole and not to any particular provision of this Agreement. The word “or” shall not be exclusive. All references to “$” mean the lawful currency of the U.S. The definitions contained in this Agreement are applicable to the singular as well as the plural forms of such terms and to the masculine as well as to the feminine and neuter genders of such term. Except as specifically stated herein, any agreement, instrument or statute defined or referred to herein or in any agreement or instrument that is referred to herein means such agreement, instrument or statute as from time to time amended, modified or supplemented, including (in the case of agreements or instruments) by waiver or consent and (in the case of statutes) by succession of comparable successor statutes and references to all attachments thereto and instruments incorporated therein. Except as otherwise specified herein, references to a person are also to its permitted successors and assigns. Each of the parties has participated in the drafting and negotiation of this Agreement. If an ambiguity or question of intent or interpretation arises, this Agreement must be construed as if it is drafted by all the parties and no presumption or burden of proof shall arise favoring or disfavoring any party by virtue of authorship of any of the provisions of this Agreement.</w:t>
      </w:r>
    </w:p>
    <w:p>
      <w:pPr>
        <w:spacing w:after="0" w:line="197" w:lineRule="exact"/>
        <w:rPr>
          <w:rFonts w:ascii="Times New Roman" w:cs="Times New Roman" w:eastAsia="Times New Roman" w:hAnsi="Times New Roman"/>
          <w:sz w:val="18"/>
          <w:szCs w:val="18"/>
          <w:color w:val="auto"/>
        </w:rPr>
      </w:pPr>
    </w:p>
    <w:p>
      <w:pPr>
        <w:ind w:left="-436" w:right="20" w:firstLine="436"/>
        <w:spacing w:after="0" w:line="258" w:lineRule="auto"/>
        <w:tabs>
          <w:tab w:leader="none" w:pos="259"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 Amendments</w:t>
      </w:r>
      <w:r>
        <w:rPr>
          <w:rFonts w:ascii="Times New Roman" w:cs="Times New Roman" w:eastAsia="Times New Roman" w:hAnsi="Times New Roman"/>
          <w:sz w:val="18"/>
          <w:szCs w:val="18"/>
          <w:color w:val="auto"/>
        </w:rPr>
        <w:t>. This Agreement (including all schedules and exhibits hereto), together with the other Transaction Documents constitute the entire agreement, and supersede all other prior oral or written agreements between the Purchaser, the Company, their Affiliates and Persons acting on their behalf with respect to the subject matter hereof and thereof. No provision of this Agreement may be amended other than by an instrument in writing signed by the Company and the Purchaser. No provision hereof may be waived other than by an instrument in writing signed by the party against whom enforcement is sought.</w:t>
      </w:r>
    </w:p>
    <w:p>
      <w:pPr>
        <w:spacing w:after="0" w:line="183" w:lineRule="exact"/>
        <w:rPr>
          <w:rFonts w:ascii="Times New Roman" w:cs="Times New Roman" w:eastAsia="Times New Roman" w:hAnsi="Times New Roman"/>
          <w:sz w:val="18"/>
          <w:szCs w:val="18"/>
          <w:color w:val="auto"/>
        </w:rPr>
      </w:pPr>
    </w:p>
    <w:p>
      <w:pPr>
        <w:ind w:left="-436" w:right="100" w:firstLine="436"/>
        <w:spacing w:after="0" w:line="261" w:lineRule="auto"/>
        <w:tabs>
          <w:tab w:leader="none" w:pos="219"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notices, consents, waivers or other communications required or permitted to be given under the terms of this Agreement must be in writing and will be deemed to have been delivered: (i) upon receipt, when delivered personally or by internationally recognized overnight courier service; (ii) upon receipt, when sent by email if sent during normal business hours of the recipient, and if not, then on the next Business Day, in each case properly addressed to the party to receive the same. The addresses and email addresses for such communications shall be:</w:t>
      </w:r>
    </w:p>
    <w:p>
      <w:pPr>
        <w:spacing w:after="0" w:line="7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If to the Company:</w:t>
      </w:r>
    </w:p>
    <w:p>
      <w:pPr>
        <w:sectPr>
          <w:pgSz w:w="11900" w:h="16838" w:orient="portrait"/>
          <w:cols w:equalWidth="0" w:num="1">
            <w:col w:w="10564"/>
          </w:cols>
          <w:pgMar w:left="876" w:top="270" w:right="459" w:bottom="1440" w:gutter="0" w:footer="0" w:header="0"/>
        </w:sectPr>
      </w:pPr>
    </w:p>
    <w:p>
      <w:pPr>
        <w:spacing w:after="0" w:line="131" w:lineRule="exact"/>
        <w:rPr>
          <w:sz w:val="20"/>
          <w:szCs w:val="20"/>
          <w:color w:val="auto"/>
        </w:rPr>
      </w:pPr>
    </w:p>
    <w:p>
      <w:pPr>
        <w:ind w:left="1524"/>
        <w:spacing w:after="0"/>
        <w:rPr>
          <w:sz w:val="20"/>
          <w:szCs w:val="20"/>
          <w:color w:val="auto"/>
        </w:rPr>
      </w:pPr>
      <w:r>
        <w:rPr>
          <w:rFonts w:ascii="Times New Roman" w:cs="Times New Roman" w:eastAsia="Times New Roman" w:hAnsi="Times New Roman"/>
          <w:sz w:val="18"/>
          <w:szCs w:val="18"/>
          <w:color w:val="auto"/>
        </w:rPr>
        <w:t>NIO</w:t>
      </w:r>
    </w:p>
    <w:p>
      <w:pPr>
        <w:spacing w:after="0" w:line="27" w:lineRule="exact"/>
        <w:rPr>
          <w:sz w:val="20"/>
          <w:szCs w:val="20"/>
          <w:color w:val="auto"/>
        </w:rPr>
      </w:pPr>
    </w:p>
    <w:p>
      <w:pPr>
        <w:ind w:left="1524"/>
        <w:spacing w:after="0"/>
        <w:rPr>
          <w:sz w:val="20"/>
          <w:szCs w:val="20"/>
          <w:color w:val="auto"/>
        </w:rPr>
      </w:pPr>
      <w:r>
        <w:rPr>
          <w:rFonts w:ascii="Times New Roman" w:cs="Times New Roman" w:eastAsia="Times New Roman" w:hAnsi="Times New Roman"/>
          <w:sz w:val="18"/>
          <w:szCs w:val="18"/>
          <w:color w:val="auto"/>
        </w:rPr>
        <w:t>Address:</w:t>
      </w:r>
    </w:p>
    <w:p>
      <w:pPr>
        <w:spacing w:after="0" w:line="200" w:lineRule="exact"/>
        <w:rPr>
          <w:sz w:val="20"/>
          <w:szCs w:val="20"/>
          <w:color w:val="auto"/>
        </w:rPr>
      </w:pPr>
    </w:p>
    <w:p>
      <w:pPr>
        <w:spacing w:after="0" w:line="223" w:lineRule="exact"/>
        <w:rPr>
          <w:sz w:val="20"/>
          <w:szCs w:val="20"/>
          <w:color w:val="auto"/>
        </w:rPr>
      </w:pPr>
    </w:p>
    <w:p>
      <w:pPr>
        <w:ind w:left="1524"/>
        <w:spacing w:after="0"/>
        <w:rPr>
          <w:sz w:val="20"/>
          <w:szCs w:val="20"/>
          <w:color w:val="auto"/>
        </w:rPr>
      </w:pPr>
      <w:r>
        <w:rPr>
          <w:rFonts w:ascii="Times New Roman" w:cs="Times New Roman" w:eastAsia="Times New Roman" w:hAnsi="Times New Roman"/>
          <w:sz w:val="17"/>
          <w:szCs w:val="17"/>
          <w:color w:val="auto"/>
        </w:rPr>
        <w:t>Telephone:</w:t>
      </w:r>
    </w:p>
    <w:p>
      <w:pPr>
        <w:spacing w:after="0" w:line="39" w:lineRule="exact"/>
        <w:rPr>
          <w:sz w:val="20"/>
          <w:szCs w:val="20"/>
          <w:color w:val="auto"/>
        </w:rPr>
      </w:pPr>
    </w:p>
    <w:p>
      <w:pPr>
        <w:ind w:left="1524"/>
        <w:spacing w:after="0"/>
        <w:rPr>
          <w:sz w:val="20"/>
          <w:szCs w:val="20"/>
          <w:color w:val="auto"/>
        </w:rPr>
      </w:pPr>
      <w:r>
        <w:rPr>
          <w:rFonts w:ascii="Times New Roman" w:cs="Times New Roman" w:eastAsia="Times New Roman" w:hAnsi="Times New Roman"/>
          <w:sz w:val="18"/>
          <w:szCs w:val="18"/>
          <w:color w:val="auto"/>
        </w:rPr>
        <w:t>Email:</w:t>
      </w:r>
    </w:p>
    <w:p>
      <w:pPr>
        <w:spacing w:after="0" w:line="9" w:lineRule="exact"/>
        <w:rPr>
          <w:sz w:val="20"/>
          <w:szCs w:val="20"/>
          <w:color w:val="auto"/>
        </w:rPr>
      </w:pPr>
    </w:p>
    <w:p>
      <w:pPr>
        <w:ind w:left="1524"/>
        <w:spacing w:after="0"/>
        <w:rPr>
          <w:sz w:val="20"/>
          <w:szCs w:val="20"/>
          <w:color w:val="auto"/>
        </w:rPr>
      </w:pPr>
      <w:r>
        <w:rPr>
          <w:rFonts w:ascii="Times New Roman" w:cs="Times New Roman" w:eastAsia="Times New Roman" w:hAnsi="Times New Roman"/>
          <w:sz w:val="18"/>
          <w:szCs w:val="18"/>
          <w:color w:val="auto"/>
        </w:rPr>
        <w:t>Attention:</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Building 19, No. 889, Tianlin Road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Minhang District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Shanghai, People’s Republic of China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+86 21 6908 2018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ir@nio.com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Wei Feng and Jade Wei</w:t>
      </w:r>
    </w:p>
    <w:p>
      <w:pPr>
        <w:spacing w:after="0" w:line="139" w:lineRule="exact"/>
        <w:rPr>
          <w:sz w:val="20"/>
          <w:szCs w:val="20"/>
          <w:color w:val="auto"/>
        </w:rPr>
      </w:pPr>
    </w:p>
    <w:p>
      <w:pPr>
        <w:sectPr>
          <w:pgSz w:w="11900" w:h="16838" w:orient="portrait"/>
          <w:cols w:equalWidth="0" w:num="2">
            <w:col w:w="2324" w:space="80"/>
            <w:col w:w="8160"/>
          </w:cols>
          <w:pgMar w:left="876" w:top="270" w:right="459" w:bottom="1440" w:gutter="0" w:footer="0" w:header="0"/>
          <w:type w:val="continuous"/>
        </w:sectPr>
      </w:pPr>
    </w:p>
    <w:p>
      <w:pPr>
        <w:jc w:val="center"/>
        <w:ind w:right="416"/>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564"/>
          </w:cols>
          <w:pgMar w:left="876" w:top="270" w:right="459" w:bottom="1440" w:gutter="0" w:footer="0" w:header="0"/>
          <w:type w:val="continuous"/>
        </w:sectPr>
      </w:pPr>
    </w:p>
    <w:bookmarkStart w:id="34" w:name="page35"/>
    <w:bookmarkEnd w:id="34"/>
    <w:p>
      <w:pPr>
        <w:ind w:left="14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with a copy (for informational purposes only) to:</w:t>
      </w:r>
    </w:p>
    <w:p>
      <w:pPr>
        <w:sectPr>
          <w:pgSz w:w="11900" w:h="16838" w:orient="portrait"/>
          <w:cols w:equalWidth="0" w:num="1">
            <w:col w:w="11000"/>
          </w:cols>
          <w:pgMar w:left="440" w:top="270" w:right="459" w:bottom="1440" w:gutter="0" w:footer="0" w:header="0"/>
        </w:sectPr>
      </w:pPr>
    </w:p>
    <w:p>
      <w:pPr>
        <w:spacing w:after="0" w:line="13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Skadden,</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Address:</w:t>
      </w:r>
    </w:p>
    <w:p>
      <w:pPr>
        <w:spacing w:after="0" w:line="200" w:lineRule="exact"/>
        <w:rPr>
          <w:sz w:val="20"/>
          <w:szCs w:val="20"/>
          <w:color w:val="auto"/>
        </w:rPr>
      </w:pPr>
    </w:p>
    <w:p>
      <w:pPr>
        <w:spacing w:after="0" w:line="223"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7"/>
          <w:szCs w:val="17"/>
          <w:color w:val="auto"/>
        </w:rPr>
        <w:t>Telephone:</w:t>
      </w:r>
    </w:p>
    <w:p>
      <w:pPr>
        <w:spacing w:after="0" w:line="3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Email:</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Attention:</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Arps, Slate, Meagher &amp; Flom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46/F, Tower II, Jing An Kerry Centre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1539 Nanjing West Road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Shanghai 200040, People’s Republic of China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+86 21 6193 8225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yuting.wu@skadden.com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Yuting Wu, Esq.</w:t>
      </w:r>
    </w:p>
    <w:p>
      <w:pPr>
        <w:spacing w:after="0" w:line="99" w:lineRule="exact"/>
        <w:rPr>
          <w:sz w:val="20"/>
          <w:szCs w:val="20"/>
          <w:color w:val="auto"/>
        </w:rPr>
      </w:pPr>
    </w:p>
    <w:p>
      <w:pPr>
        <w:sectPr>
          <w:pgSz w:w="11900" w:h="16838" w:orient="portrait"/>
          <w:cols w:equalWidth="0" w:num="2">
            <w:col w:w="2760" w:space="80"/>
            <w:col w:w="8160"/>
          </w:cols>
          <w:pgMar w:left="440" w:top="270" w:right="459" w:bottom="1440" w:gutter="0" w:footer="0" w:header="0"/>
          <w:type w:val="continuous"/>
        </w:sectPr>
      </w:pPr>
    </w:p>
    <w:p>
      <w:pPr>
        <w:ind w:left="1420"/>
        <w:spacing w:after="0"/>
        <w:rPr>
          <w:sz w:val="20"/>
          <w:szCs w:val="20"/>
          <w:color w:val="auto"/>
        </w:rPr>
      </w:pPr>
      <w:r>
        <w:rPr>
          <w:rFonts w:ascii="Times New Roman" w:cs="Times New Roman" w:eastAsia="Times New Roman" w:hAnsi="Times New Roman"/>
          <w:sz w:val="18"/>
          <w:szCs w:val="18"/>
          <w:color w:val="auto"/>
        </w:rPr>
        <w:t>If to the Purchaser:</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CYVN</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Address:</w:t>
      </w:r>
    </w:p>
    <w:p>
      <w:pPr>
        <w:spacing w:after="0" w:line="200" w:lineRule="exact"/>
        <w:rPr>
          <w:sz w:val="20"/>
          <w:szCs w:val="20"/>
          <w:color w:val="auto"/>
        </w:rPr>
      </w:pPr>
    </w:p>
    <w:p>
      <w:pPr>
        <w:spacing w:after="0" w:line="223"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Telephone:</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Email:</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Attention:</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Investments RSC Ltd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 at 9th Floor, Level 9, Al Khatem Tower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Abu Dhabi Global Market Square, Al Maryah Island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Abu Dhabi, United Arab Emirates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+971565092999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eddy.skaf@cyvnholdings.com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Eddy Skaf</w:t>
      </w:r>
    </w:p>
    <w:p>
      <w:pPr>
        <w:spacing w:after="0" w:line="99" w:lineRule="exact"/>
        <w:rPr>
          <w:sz w:val="20"/>
          <w:szCs w:val="20"/>
          <w:color w:val="auto"/>
        </w:rPr>
      </w:pPr>
    </w:p>
    <w:p>
      <w:pPr>
        <w:sectPr>
          <w:pgSz w:w="11900" w:h="16838" w:orient="portrait"/>
          <w:cols w:equalWidth="0" w:num="2">
            <w:col w:w="2800" w:space="40"/>
            <w:col w:w="8160"/>
          </w:cols>
          <w:pgMar w:left="440" w:top="270" w:right="459" w:bottom="1440" w:gutter="0" w:footer="0" w:header="0"/>
          <w:type w:val="continuous"/>
        </w:sectPr>
      </w:pPr>
    </w:p>
    <w:p>
      <w:pPr>
        <w:ind w:left="1420"/>
        <w:spacing w:after="0"/>
        <w:rPr>
          <w:sz w:val="20"/>
          <w:szCs w:val="20"/>
          <w:color w:val="auto"/>
        </w:rPr>
      </w:pPr>
      <w:r>
        <w:rPr>
          <w:rFonts w:ascii="Times New Roman" w:cs="Times New Roman" w:eastAsia="Times New Roman" w:hAnsi="Times New Roman"/>
          <w:sz w:val="18"/>
          <w:szCs w:val="18"/>
          <w:color w:val="auto"/>
        </w:rPr>
        <w:t>with a copy (for informational purposes only) to:</w:t>
      </w:r>
    </w:p>
    <w:p>
      <w:pPr>
        <w:sectPr>
          <w:pgSz w:w="11900" w:h="16838" w:orient="portrait"/>
          <w:cols w:equalWidth="0" w:num="1">
            <w:col w:w="11000"/>
          </w:cols>
          <w:pgMar w:left="440" w:top="270" w:right="459" w:bottom="1440" w:gutter="0" w:footer="0" w:header="0"/>
          <w:type w:val="continuous"/>
        </w:sectPr>
      </w:pPr>
    </w:p>
    <w:p>
      <w:pPr>
        <w:spacing w:after="0" w:line="13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Akin</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Address:</w:t>
      </w:r>
    </w:p>
    <w:p>
      <w:pPr>
        <w:spacing w:after="0" w:line="20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7"/>
          <w:szCs w:val="17"/>
          <w:color w:val="auto"/>
        </w:rPr>
        <w:t>Telephone:</w:t>
      </w:r>
    </w:p>
    <w:p>
      <w:pPr>
        <w:spacing w:after="0" w:line="3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Email:</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Attention:</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Gump Strauss Hauer &amp; Feld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 Pine St Suite 3200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Francisco, CA 94111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+1 415-765-9505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nkohne@akingump.com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Natasha Kohne</w:t>
      </w:r>
    </w:p>
    <w:p>
      <w:pPr>
        <w:spacing w:after="0" w:line="200" w:lineRule="exact"/>
        <w:rPr>
          <w:sz w:val="20"/>
          <w:szCs w:val="20"/>
          <w:color w:val="auto"/>
        </w:rPr>
      </w:pPr>
    </w:p>
    <w:p>
      <w:pPr>
        <w:sectPr>
          <w:pgSz w:w="11900" w:h="16838" w:orient="portrait"/>
          <w:cols w:equalWidth="0" w:num="2">
            <w:col w:w="2760" w:space="80"/>
            <w:col w:w="8160"/>
          </w:cols>
          <w:pgMar w:left="440" w:top="270" w:right="459" w:bottom="1440" w:gutter="0" w:footer="0" w:header="0"/>
          <w:type w:val="continuous"/>
        </w:sectPr>
      </w:pPr>
    </w:p>
    <w:p>
      <w:pPr>
        <w:spacing w:after="0" w:line="7" w:lineRule="exact"/>
        <w:rPr>
          <w:sz w:val="20"/>
          <w:szCs w:val="20"/>
          <w:color w:val="auto"/>
        </w:rPr>
      </w:pPr>
    </w:p>
    <w:p>
      <w:pPr>
        <w:ind w:firstLine="436"/>
        <w:spacing w:after="0" w:line="258" w:lineRule="auto"/>
        <w:tabs>
          <w:tab w:leader="none" w:pos="65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This Agreement shall be binding upon and inure to the benefit of the parties and their respective successors and assigns. Neither this Agreement nor any of the rights, interests or obligations hereunder shall be assigned by any of the parties hereto (whether by operation of law or otherwise) without the prior written consent of the other parties; provided, however, that the Purchaser may assign its rights and obligations under this Agreement to one or more of its Affiliates in connection with the Purchaser’s assignment of Securities to such Affiliates with prior written notice to the Company.</w:t>
      </w:r>
    </w:p>
    <w:p>
      <w:pPr>
        <w:spacing w:after="0" w:line="183" w:lineRule="exact"/>
        <w:rPr>
          <w:rFonts w:ascii="Times New Roman" w:cs="Times New Roman" w:eastAsia="Times New Roman" w:hAnsi="Times New Roman"/>
          <w:sz w:val="18"/>
          <w:szCs w:val="18"/>
          <w:color w:val="auto"/>
        </w:rPr>
      </w:pPr>
    </w:p>
    <w:p>
      <w:pPr>
        <w:ind w:right="220" w:firstLine="436"/>
        <w:spacing w:after="0" w:line="255" w:lineRule="auto"/>
        <w:tabs>
          <w:tab w:leader="none" w:pos="69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Each of the Purchaser and the Company shall, in good faith, cooperate and consult with the other and use commercially reasonable efforts to prepare and file all necessary documentation, to effect all necessary applications, notices, petitions, filings and other documents, and to obtain all necessary permits, consents, orders, approvals and authorizations of, or any exemption by, all Governmental Entities, necessary or advisable to consummate the transactions contemplated by this Agreement and the other Transaction Documents. Each party shall do and perform, or cause to be done and performed, all such further acts and things, and shall execute and deliver all such other agreements, certificates, instruments and documents, as any other party may reasonably request in order to carry out the intent and accomplish the purposes of this Agreement and the consummation of the transactions contemplated hereby.</w:t>
      </w:r>
    </w:p>
    <w:p>
      <w:pPr>
        <w:spacing w:after="0" w:line="188" w:lineRule="exact"/>
        <w:rPr>
          <w:rFonts w:ascii="Times New Roman" w:cs="Times New Roman" w:eastAsia="Times New Roman" w:hAnsi="Times New Roman"/>
          <w:sz w:val="18"/>
          <w:szCs w:val="18"/>
          <w:color w:val="auto"/>
        </w:rPr>
      </w:pPr>
    </w:p>
    <w:p>
      <w:pPr>
        <w:ind w:right="80" w:firstLine="436"/>
        <w:spacing w:after="0" w:line="258" w:lineRule="auto"/>
        <w:tabs>
          <w:tab w:leader="none" w:pos="65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 of Share Numbers</w:t>
      </w:r>
      <w:r>
        <w:rPr>
          <w:rFonts w:ascii="Times New Roman" w:cs="Times New Roman" w:eastAsia="Times New Roman" w:hAnsi="Times New Roman"/>
          <w:sz w:val="18"/>
          <w:szCs w:val="18"/>
          <w:color w:val="auto"/>
        </w:rPr>
        <w:t>. If there is a subdivision, split, stock dividend, combination, reclassification or similar event with respect to any of the shares of Company’s Class A Ordinary Shares referred to in this Agreement, then, in any such event, the numbers and types of shares of such Class A Ordinary Shares referred to in this Agreement shall be equitably adjusted as appropriate to the number and types of shares of such stock that a holder of such number of shares of such stock would own or be entitled to receive as a result of such event of such holder had held such number of shares immediately prior to the record date for, or effectiveness of, such event.</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00"/>
          </w:cols>
          <w:pgMar w:left="440" w:top="270" w:right="459" w:bottom="1440" w:gutter="0" w:footer="0" w:header="0"/>
          <w:type w:val="continuous"/>
        </w:sectPr>
      </w:pPr>
    </w:p>
    <w:bookmarkStart w:id="35" w:name="page36"/>
    <w:bookmarkEnd w:id="35"/>
    <w:p>
      <w:pPr>
        <w:ind w:left="-120" w:firstLine="436"/>
        <w:spacing w:after="0" w:line="256" w:lineRule="auto"/>
        <w:tabs>
          <w:tab w:leader="none" w:pos="62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Specific Performance</w:t>
      </w:r>
      <w:r>
        <w:rPr>
          <w:rFonts w:ascii="Times New Roman" w:cs="Times New Roman" w:eastAsia="Times New Roman" w:hAnsi="Times New Roman"/>
          <w:sz w:val="18"/>
          <w:szCs w:val="18"/>
          <w:color w:val="auto"/>
        </w:rPr>
        <w:t>. The parties hereto acknowledge and agree irreparable harm would occur for which money damages would not be an adequate remedy in the event that any of the provisions of the Transaction Documents were not performed in accordance with their specific terms or were otherwise breached. It is accordingly agreed that the parties to the Transaction Documents shall be entitled, in addition to any other remedy to which such party is entitled at law, in equity, in contract, in tort or otherwise, to an injunction or injunctions, without posting a bond or undertaking and without proof of damages, to prevent breaches of the Transaction Documents and to enforce specifically the terms and provisions of the Transaction Documents.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Pages Follow]</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760"/>
          </w:cols>
          <w:pgMar w:left="560" w:top="270" w:right="579" w:bottom="1440" w:gutter="0" w:footer="0" w:header="0"/>
        </w:sectPr>
      </w:pPr>
    </w:p>
    <w:bookmarkStart w:id="36" w:name="page37"/>
    <w:bookmarkEnd w:id="36"/>
    <w:p>
      <w:pPr>
        <w:ind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 WITNESS WHEREOF, </w:t>
      </w:r>
      <w:r>
        <w:rPr>
          <w:rFonts w:ascii="Times New Roman" w:cs="Times New Roman" w:eastAsia="Times New Roman" w:hAnsi="Times New Roman"/>
          <w:sz w:val="18"/>
          <w:szCs w:val="18"/>
          <w:color w:val="auto"/>
        </w:rPr>
        <w:t>the Company and the Purchaser have caused their respective signature page to this Share Subscription Agreement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duly executed as of the date first written above.</w:t>
      </w:r>
    </w:p>
    <w:p>
      <w:pPr>
        <w:spacing w:after="0" w:line="182" w:lineRule="exact"/>
        <w:rPr>
          <w:sz w:val="20"/>
          <w:szCs w:val="20"/>
          <w:color w:val="auto"/>
        </w:rPr>
      </w:pPr>
    </w:p>
    <w:p>
      <w:pPr>
        <w:spacing w:after="0"/>
        <w:tabs>
          <w:tab w:leader="none" w:pos="5720" w:val="left"/>
        </w:tabs>
        <w:rPr>
          <w:sz w:val="20"/>
          <w:szCs w:val="20"/>
          <w:color w:val="auto"/>
        </w:rPr>
      </w:pPr>
      <w:r>
        <w:rPr>
          <w:rFonts w:ascii="Times New Roman" w:cs="Times New Roman" w:eastAsia="Times New Roman" w:hAnsi="Times New Roman"/>
          <w:sz w:val="18"/>
          <w:szCs w:val="18"/>
          <w:b w:val="1"/>
          <w:bCs w:val="1"/>
          <w:color w:val="auto"/>
        </w:rPr>
        <w:t>COMPANY:</w:t>
      </w:r>
      <w:r>
        <w:rPr>
          <w:sz w:val="20"/>
          <w:szCs w:val="20"/>
          <w:color w:val="auto"/>
        </w:rPr>
        <w:tab/>
      </w:r>
      <w:r>
        <w:rPr>
          <w:rFonts w:ascii="Times New Roman" w:cs="Times New Roman" w:eastAsia="Times New Roman" w:hAnsi="Times New Roman"/>
          <w:sz w:val="18"/>
          <w:szCs w:val="18"/>
          <w:b w:val="1"/>
          <w:bCs w:val="1"/>
          <w:color w:val="auto"/>
        </w:rPr>
        <w:t>NIO INC.</w:t>
      </w:r>
    </w:p>
    <w:p>
      <w:pPr>
        <w:spacing w:after="0" w:line="229" w:lineRule="exact"/>
        <w:rPr>
          <w:sz w:val="20"/>
          <w:szCs w:val="20"/>
          <w:color w:val="auto"/>
        </w:rPr>
      </w:pPr>
    </w:p>
    <w:p>
      <w:pPr>
        <w:ind w:left="5740"/>
        <w:spacing w:after="0"/>
        <w:tabs>
          <w:tab w:leader="none" w:pos="61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Bin 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3914775</wp:posOffset>
            </wp:positionH>
            <wp:positionV relativeFrom="paragraph">
              <wp:posOffset>17145</wp:posOffset>
            </wp:positionV>
            <wp:extent cx="307721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16"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Name: Bin Li</w:t>
      </w:r>
    </w:p>
    <w:p>
      <w:pPr>
        <w:spacing w:after="0" w:line="2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Title: Chairman of the Board of Directors</w:t>
      </w:r>
    </w:p>
    <w:p>
      <w:pPr>
        <w:spacing w:after="0" w:line="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and Chief Executive Officer</w:t>
      </w:r>
    </w:p>
    <w:p>
      <w:pPr>
        <w:spacing w:after="0" w:line="21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i w:val="1"/>
          <w:iCs w:val="1"/>
          <w:color w:val="auto"/>
        </w:rPr>
        <w:t>[Signature Page to Share Subscription Agreement]</w:t>
      </w:r>
    </w:p>
    <w:p>
      <w:pPr>
        <w:sectPr>
          <w:pgSz w:w="11900" w:h="16838" w:orient="portrait"/>
          <w:cols w:equalWidth="0" w:num="1">
            <w:col w:w="10940"/>
          </w:cols>
          <w:pgMar w:left="440" w:top="266" w:right="519" w:bottom="1440" w:gutter="0" w:footer="0" w:header="0"/>
        </w:sectPr>
      </w:pPr>
    </w:p>
    <w:bookmarkStart w:id="37" w:name="page38"/>
    <w:bookmarkEnd w:id="37"/>
    <w:p>
      <w:pPr>
        <w:ind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 WITNESS WHEREOF, </w:t>
      </w:r>
      <w:r>
        <w:rPr>
          <w:rFonts w:ascii="Times New Roman" w:cs="Times New Roman" w:eastAsia="Times New Roman" w:hAnsi="Times New Roman"/>
          <w:sz w:val="18"/>
          <w:szCs w:val="18"/>
          <w:color w:val="auto"/>
        </w:rPr>
        <w:t>the Company and the Purchaser have caused their respective signature page to this Share Subscription Agreement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duly executed as of the date first written above.</w:t>
      </w:r>
    </w:p>
    <w:p>
      <w:pPr>
        <w:spacing w:after="0" w:line="182"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b w:val="1"/>
          <w:bCs w:val="1"/>
          <w:color w:val="auto"/>
        </w:rPr>
        <w:t>PURCHASER:</w:t>
      </w:r>
      <w:r>
        <w:rPr>
          <w:sz w:val="20"/>
          <w:szCs w:val="20"/>
          <w:color w:val="auto"/>
        </w:rPr>
        <w:tab/>
      </w:r>
      <w:r>
        <w:rPr>
          <w:rFonts w:ascii="Times New Roman" w:cs="Times New Roman" w:eastAsia="Times New Roman" w:hAnsi="Times New Roman"/>
          <w:sz w:val="18"/>
          <w:szCs w:val="18"/>
          <w:b w:val="1"/>
          <w:bCs w:val="1"/>
          <w:color w:val="auto"/>
        </w:rPr>
        <w:t>CYVN INVESTMENTS RSC LTD</w:t>
      </w:r>
    </w:p>
    <w:p>
      <w:pPr>
        <w:spacing w:after="0" w:line="229" w:lineRule="exact"/>
        <w:rPr>
          <w:sz w:val="20"/>
          <w:szCs w:val="20"/>
          <w:color w:val="auto"/>
        </w:rPr>
      </w:pPr>
    </w:p>
    <w:p>
      <w:pPr>
        <w:ind w:left="5620"/>
        <w:spacing w:after="0"/>
        <w:tabs>
          <w:tab w:leader="none" w:pos="6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Samer Salah Mohammad Abdelhaq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Samer Salah Mohammad Abdelhaq</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7" w:lineRule="exact"/>
        <w:rPr>
          <w:sz w:val="20"/>
          <w:szCs w:val="20"/>
          <w:color w:val="auto"/>
        </w:rPr>
      </w:pPr>
    </w:p>
    <w:p>
      <w:pPr>
        <w:ind w:left="5620"/>
        <w:spacing w:after="0"/>
        <w:tabs>
          <w:tab w:leader="none" w:pos="6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Eddy Skaf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Eddy Skaf</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i w:val="1"/>
          <w:iCs w:val="1"/>
          <w:color w:val="auto"/>
        </w:rPr>
        <w:t>[Signature Page to Share Subscription Agreement]</w:t>
      </w:r>
    </w:p>
    <w:sectPr>
      <w:pgSz w:w="11900" w:h="16838" w:orient="portrait"/>
      <w:cols w:equalWidth="0" w:num="1">
        <w:col w:w="10940"/>
      </w:cols>
      <w:pgMar w:left="440" w:top="266"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763845E"/>
    <w:multiLevelType w:val="hybridMultilevel"/>
    <w:lvl w:ilvl="0">
      <w:lvlJc w:val="left"/>
      <w:lvlText w:val="*"/>
      <w:numFmt w:val="bullet"/>
      <w:start w:val="1"/>
    </w:lvl>
  </w:abstractNum>
  <w:abstractNum w:abstractNumId="1">
    <w:nsid w:val="75A2A8D4"/>
    <w:multiLevelType w:val="hybridMultilevel"/>
    <w:lvl w:ilvl="0">
      <w:lvlJc w:val="left"/>
      <w:lvlText w:val="**"/>
      <w:numFmt w:val="bullet"/>
      <w:start w:val="1"/>
    </w:lvl>
  </w:abstractNum>
  <w:abstractNum w:abstractNumId="2">
    <w:nsid w:val="8EDBDAB"/>
    <w:multiLevelType w:val="hybridMultilevel"/>
    <w:lvl w:ilvl="0">
      <w:lvlJc w:val="left"/>
      <w:lvlText w:val="1"/>
      <w:numFmt w:val="bullet"/>
      <w:start w:val="1"/>
    </w:lvl>
  </w:abstractNum>
  <w:abstractNum w:abstractNumId="3">
    <w:nsid w:val="79838CB2"/>
    <w:multiLevelType w:val="hybridMultilevel"/>
    <w:lvl w:ilvl="0">
      <w:lvlJc w:val="left"/>
      <w:lvlText w:val="(%1)"/>
      <w:numFmt w:val="lowerLetter"/>
      <w:start w:val="1"/>
    </w:lvl>
  </w:abstractNum>
  <w:abstractNum w:abstractNumId="4">
    <w:nsid w:val="4353D0CD"/>
    <w:multiLevelType w:val="hybridMultilevel"/>
    <w:lvl w:ilvl="0">
      <w:lvlJc w:val="left"/>
      <w:lvlText w:val="(%1)"/>
      <w:numFmt w:val="lowerLetter"/>
      <w:start w:val="3"/>
    </w:lvl>
  </w:abstractNum>
  <w:abstractNum w:abstractNumId="5">
    <w:nsid w:val="B03E0C6"/>
    <w:multiLevelType w:val="hybridMultilevel"/>
    <w:lvl w:ilvl="0">
      <w:lvlJc w:val="left"/>
      <w:lvlText w:val="%1."/>
      <w:numFmt w:val="decimal"/>
      <w:start w:val="1"/>
    </w:lvl>
  </w:abstractNum>
  <w:abstractNum w:abstractNumId="6">
    <w:nsid w:val="189A769B"/>
    <w:multiLevelType w:val="hybridMultilevel"/>
    <w:lvl w:ilvl="0">
      <w:lvlJc w:val="left"/>
      <w:lvlText w:val="(%1)"/>
      <w:numFmt w:val="lowerLetter"/>
      <w:start w:val="1"/>
    </w:lvl>
  </w:abstractNum>
  <w:abstractNum w:abstractNumId="7">
    <w:nsid w:val="54E49EB4"/>
    <w:multiLevelType w:val="hybridMultilevel"/>
    <w:lvl w:ilvl="0">
      <w:lvlJc w:val="left"/>
      <w:lvlText w:val="%1."/>
      <w:numFmt w:val="decimal"/>
      <w:start w:val="2"/>
    </w:lvl>
  </w:abstractNum>
  <w:abstractNum w:abstractNumId="8">
    <w:nsid w:val="71F32454"/>
    <w:multiLevelType w:val="hybridMultilevel"/>
    <w:lvl w:ilvl="0">
      <w:lvlJc w:val="left"/>
      <w:lvlText w:val="%1."/>
      <w:numFmt w:val="decimal"/>
      <w:start w:val="5"/>
    </w:lvl>
  </w:abstractNum>
  <w:abstractNum w:abstractNumId="9">
    <w:nsid w:val="2CA88611"/>
    <w:multiLevelType w:val="hybridMultilevel"/>
    <w:lvl w:ilvl="0">
      <w:lvlJc w:val="left"/>
      <w:lvlText w:val="%1."/>
      <w:numFmt w:val="decimal"/>
      <w:start w:val="1"/>
    </w:lvl>
  </w:abstractNum>
  <w:abstractNum w:abstractNumId="10">
    <w:nsid w:val="836C40E"/>
    <w:multiLevelType w:val="hybridMultilevel"/>
    <w:lvl w:ilvl="0">
      <w:lvlJc w:val="left"/>
      <w:lvlText w:val="(%1)"/>
      <w:numFmt w:val="lowerRoman"/>
      <w:start w:val="3"/>
    </w:lvl>
  </w:abstractNum>
  <w:abstractNum w:abstractNumId="11">
    <w:nsid w:val="2901D82"/>
    <w:multiLevelType w:val="hybridMultilevel"/>
    <w:lvl w:ilvl="0">
      <w:lvlJc w:val="left"/>
      <w:lvlText w:val="(%1)"/>
      <w:numFmt w:val="lowerRoman"/>
      <w:start w:val="7"/>
    </w:lvl>
  </w:abstractNum>
  <w:abstractNum w:abstractNumId="12">
    <w:nsid w:val="3A95F874"/>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13">
    <w:nsid w:val="8138641"/>
    <w:multiLevelType w:val="hybridMultilevel"/>
    <w:lvl w:ilvl="0">
      <w:lvlJc w:val="left"/>
      <w:lvlText w:val="(%1)"/>
      <w:numFmt w:val="lowerLetter"/>
      <w:start w:val="1"/>
    </w:lvl>
    <w:lvl w:ilvl="1">
      <w:lvlJc w:val="left"/>
      <w:lvlText w:val="(%2)"/>
      <w:numFmt w:val="lowerLetter"/>
      <w:start w:val="9"/>
    </w:lvl>
  </w:abstractNum>
  <w:abstractNum w:abstractNumId="14">
    <w:nsid w:val="1E7FF521"/>
    <w:multiLevelType w:val="hybridMultilevel"/>
    <w:lvl w:ilvl="0">
      <w:lvlJc w:val="left"/>
      <w:lvlText w:val="%1"/>
      <w:numFmt w:val="lowerLetter"/>
      <w:start w:val="1"/>
    </w:lvl>
    <w:lvl w:ilvl="1">
      <w:lvlJc w:val="left"/>
      <w:lvlText w:val="(%2)"/>
      <w:numFmt w:val="lowerRoman"/>
      <w:start w:val="2"/>
    </w:lvl>
  </w:abstractNum>
  <w:abstractNum w:abstractNumId="15">
    <w:nsid w:val="7C3DBD3D"/>
    <w:multiLevelType w:val="hybridMultilevel"/>
    <w:lvl w:ilvl="0">
      <w:lvlJc w:val="left"/>
      <w:lvlText w:val="(%1)"/>
      <w:numFmt w:val="lowerLetter"/>
      <w:start w:val="6"/>
    </w:lvl>
    <w:lvl w:ilvl="1">
      <w:lvlJc w:val="left"/>
      <w:lvlText w:val="%2"/>
      <w:numFmt w:val="lowerRoman"/>
      <w:start w:val="1"/>
    </w:lvl>
  </w:abstractNum>
  <w:abstractNum w:abstractNumId="16">
    <w:nsid w:val="737B8DDC"/>
    <w:multiLevelType w:val="hybridMultilevel"/>
    <w:lvl w:ilvl="0">
      <w:lvlJc w:val="left"/>
      <w:lvlText w:val="(%1)"/>
      <w:numFmt w:val="decimal"/>
      <w:start w:val="1"/>
    </w:lvl>
  </w:abstractNum>
  <w:abstractNum w:abstractNumId="17">
    <w:nsid w:val="6CEAF087"/>
    <w:multiLevelType w:val="hybridMultilevel"/>
    <w:lvl w:ilvl="0">
      <w:lvlJc w:val="left"/>
      <w:lvlText w:val="(%1)"/>
      <w:numFmt w:val="lowerLetter"/>
      <w:start w:val="8"/>
    </w:lvl>
  </w:abstractNum>
  <w:abstractNum w:abstractNumId="18">
    <w:nsid w:val="22221A70"/>
    <w:multiLevelType w:val="hybridMultilevel"/>
    <w:lvl w:ilvl="0">
      <w:lvlJc w:val="left"/>
      <w:lvlText w:val="%1."/>
      <w:numFmt w:val="decimal"/>
      <w:start w:val="4"/>
    </w:lvl>
  </w:abstractNum>
  <w:abstractNum w:abstractNumId="19">
    <w:nsid w:val="4516DDE9"/>
    <w:multiLevelType w:val="hybridMultilevel"/>
    <w:lvl w:ilvl="0">
      <w:lvlJc w:val="left"/>
      <w:lvlText w:val="(%1)"/>
      <w:numFmt w:val="lowerLetter"/>
      <w:start w:val="1"/>
    </w:lvl>
  </w:abstractNum>
  <w:abstractNum w:abstractNumId="20">
    <w:nsid w:val="3006C83E"/>
    <w:multiLevelType w:val="hybridMultilevel"/>
    <w:lvl w:ilvl="0">
      <w:lvlJc w:val="left"/>
      <w:lvlText w:val="(%1)"/>
      <w:numFmt w:val="lowerLetter"/>
      <w:start w:val="4"/>
    </w:lvl>
  </w:abstractNum>
  <w:abstractNum w:abstractNumId="21">
    <w:nsid w:val="614FD4A1"/>
    <w:multiLevelType w:val="hybridMultilevel"/>
    <w:lvl w:ilvl="0">
      <w:lvlJc w:val="left"/>
      <w:lvlText w:val="(%1)"/>
      <w:numFmt w:val="lowerLetter"/>
      <w:start w:val="8"/>
    </w:lvl>
    <w:lvl w:ilvl="1">
      <w:lvlJc w:val="left"/>
      <w:lvlText w:val="(%2)"/>
      <w:numFmt w:val="lowerRoman"/>
      <w:start w:val="1"/>
    </w:lvl>
  </w:abstractNum>
  <w:abstractNum w:abstractNumId="22">
    <w:nsid w:val="419AC241"/>
    <w:multiLevelType w:val="hybridMultilevel"/>
    <w:lvl w:ilvl="0">
      <w:lvlJc w:val="left"/>
      <w:lvlText w:val="(%1)"/>
      <w:numFmt w:val="lowerLetter"/>
      <w:start w:val="11"/>
    </w:lvl>
  </w:abstractNum>
  <w:abstractNum w:abstractNumId="23">
    <w:nsid w:val="5577F8E1"/>
    <w:multiLevelType w:val="hybridMultilevel"/>
    <w:lvl w:ilvl="0">
      <w:lvlJc w:val="left"/>
      <w:lvlText w:val="%1"/>
      <w:numFmt w:val="decimal"/>
      <w:start w:val="1"/>
    </w:lvl>
    <w:lvl w:ilvl="1">
      <w:lvlJc w:val="left"/>
      <w:lvlText w:val="(%2)"/>
      <w:numFmt w:val="lowerLetter"/>
      <w:start w:val="15"/>
    </w:lvl>
    <w:lvl w:ilvl="2">
      <w:lvlJc w:val="left"/>
      <w:lvlText w:val="%3"/>
      <w:numFmt w:val="lowerRoman"/>
      <w:start w:val="1"/>
    </w:lvl>
  </w:abstractNum>
  <w:abstractNum w:abstractNumId="24">
    <w:nsid w:val="440BADFC"/>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25">
    <w:nsid w:val="5072367"/>
    <w:multiLevelType w:val="hybridMultilevel"/>
    <w:lvl w:ilvl="0">
      <w:lvlJc w:val="left"/>
      <w:lvlText w:val="%1"/>
      <w:numFmt w:val="lowerLetter"/>
      <w:start w:val="1"/>
    </w:lvl>
    <w:lvl w:ilvl="1">
      <w:lvlJc w:val="left"/>
      <w:lvlText w:val="(%2)"/>
      <w:numFmt w:val="lowerRoman"/>
      <w:start w:val="2"/>
    </w:lvl>
  </w:abstractNum>
  <w:abstractNum w:abstractNumId="26">
    <w:nsid w:val="3804823E"/>
    <w:multiLevelType w:val="hybridMultilevel"/>
    <w:lvl w:ilvl="0">
      <w:lvlJc w:val="left"/>
      <w:lvlText w:val="(%1)"/>
      <w:numFmt w:val="lowerLetter"/>
      <w:start w:val="2"/>
    </w:lvl>
    <w:lvl w:ilvl="1">
      <w:lvlJc w:val="left"/>
      <w:lvlText w:val="%2"/>
      <w:numFmt w:val="lowerRoman"/>
      <w:start w:val="1"/>
    </w:lvl>
  </w:abstractNum>
  <w:abstractNum w:abstractNumId="27">
    <w:nsid w:val="77465F01"/>
    <w:multiLevelType w:val="hybridMultilevel"/>
    <w:lvl w:ilvl="0">
      <w:lvlJc w:val="left"/>
      <w:lvlText w:val="(%1)"/>
      <w:numFmt w:val="lowerLetter"/>
      <w:start w:val="3"/>
    </w:lvl>
    <w:lvl w:ilvl="1">
      <w:lvlJc w:val="left"/>
      <w:lvlText w:val="(%2)"/>
      <w:numFmt w:val="lowerRoman"/>
      <w:start w:val="1"/>
    </w:lvl>
  </w:abstractNum>
  <w:abstractNum w:abstractNumId="28">
    <w:nsid w:val="7724C67E"/>
    <w:multiLevelType w:val="hybridMultilevel"/>
    <w:lvl w:ilvl="0">
      <w:lvlJc w:val="left"/>
      <w:lvlText w:val="(%1)"/>
      <w:numFmt w:val="lowerLetter"/>
      <w:start w:val="4"/>
    </w:lvl>
    <w:lvl w:ilvl="1">
      <w:lvlJc w:val="left"/>
      <w:lvlText w:val="(%2)"/>
      <w:numFmt w:val="lowerRoman"/>
      <w:start w:val="1"/>
    </w:lvl>
  </w:abstractNum>
  <w:abstractNum w:abstractNumId="29">
    <w:nsid w:val="5C482A97"/>
    <w:multiLevelType w:val="hybridMultilevel"/>
    <w:lvl w:ilvl="0">
      <w:lvlJc w:val="left"/>
      <w:lvlText w:val="(%1)"/>
      <w:numFmt w:val="lowerLetter"/>
      <w:start w:val="5"/>
    </w:lvl>
  </w:abstractNum>
  <w:abstractNum w:abstractNumId="30">
    <w:nsid w:val="2463B9EA"/>
    <w:multiLevelType w:val="hybridMultilevel"/>
    <w:lvl w:ilvl="0">
      <w:lvlJc w:val="left"/>
      <w:lvlText w:val="%1"/>
      <w:numFmt w:val="decimal"/>
      <w:start w:val="1"/>
    </w:lvl>
    <w:lvl w:ilvl="1">
      <w:lvlJc w:val="left"/>
      <w:lvlText w:val="(%2)"/>
      <w:numFmt w:val="lowerLetter"/>
      <w:start w:val="11"/>
    </w:lvl>
  </w:abstractNum>
  <w:abstractNum w:abstractNumId="31">
    <w:nsid w:val="5E884ADC"/>
    <w:multiLevelType w:val="hybridMultilevel"/>
    <w:lvl w:ilvl="0">
      <w:lvlJc w:val="left"/>
      <w:lvlText w:val="%1."/>
      <w:numFmt w:val="decimal"/>
      <w:start w:val="6"/>
    </w:lvl>
    <w:lvl w:ilvl="1">
      <w:lvlJc w:val="left"/>
      <w:lvlText w:val="%2"/>
      <w:numFmt w:val="lowerLetter"/>
      <w:start w:val="1"/>
    </w:lvl>
  </w:abstractNum>
  <w:abstractNum w:abstractNumId="32">
    <w:nsid w:val="51EAD36B"/>
    <w:multiLevelType w:val="hybridMultilevel"/>
    <w:lvl w:ilvl="0">
      <w:lvlJc w:val="left"/>
      <w:lvlText w:val="(%1)"/>
      <w:numFmt w:val="lowerLetter"/>
      <w:start w:val="1"/>
    </w:lvl>
  </w:abstractNum>
  <w:abstractNum w:abstractNumId="33">
    <w:nsid w:val="2D517796"/>
    <w:multiLevelType w:val="hybridMultilevel"/>
    <w:lvl w:ilvl="0">
      <w:lvlJc w:val="left"/>
      <w:lvlText w:val="%1"/>
      <w:numFmt w:val="upperLetter"/>
      <w:start w:val="1"/>
    </w:lvl>
    <w:lvl w:ilvl="1">
      <w:lvlJc w:val="left"/>
      <w:lvlText w:val="(%2)"/>
      <w:numFmt w:val="lowerLetter"/>
      <w:start w:val="4"/>
    </w:lvl>
  </w:abstractNum>
  <w:abstractNum w:abstractNumId="34">
    <w:nsid w:val="580BD78F"/>
    <w:multiLevelType w:val="hybridMultilevel"/>
    <w:lvl w:ilvl="0">
      <w:lvlJc w:val="left"/>
      <w:lvlText w:val="(%1)"/>
      <w:numFmt w:val="upperLetter"/>
      <w:start w:val="2"/>
    </w:lvl>
    <w:lvl w:ilvl="1">
      <w:lvlJc w:val="left"/>
      <w:lvlText w:val="%2"/>
      <w:numFmt w:val="lowerLetter"/>
      <w:start w:val="1"/>
    </w:lvl>
  </w:abstractNum>
  <w:abstractNum w:abstractNumId="35">
    <w:nsid w:val="153EA438"/>
    <w:multiLevelType w:val="hybridMultilevel"/>
    <w:lvl w:ilvl="0">
      <w:lvlJc w:val="left"/>
      <w:lvlText w:val="%1."/>
      <w:numFmt w:val="decimal"/>
      <w:start w:val="7"/>
    </w:lvl>
  </w:abstractNum>
  <w:abstractNum w:abstractNumId="36">
    <w:nsid w:val="3855585C"/>
    <w:multiLevelType w:val="hybridMultilevel"/>
    <w:lvl w:ilvl="0">
      <w:lvlJc w:val="left"/>
      <w:lvlText w:val="%1"/>
      <w:numFmt w:val="upperLetter"/>
      <w:start w:val="1"/>
    </w:lvl>
    <w:lvl w:ilvl="1">
      <w:lvlJc w:val="left"/>
      <w:lvlText w:val="(%2)"/>
      <w:numFmt w:val="lowerLetter"/>
      <w:start w:val="1"/>
    </w:lvl>
  </w:abstractNum>
  <w:abstractNum w:abstractNumId="37">
    <w:nsid w:val="70A64E2A"/>
    <w:multiLevelType w:val="hybridMultilevel"/>
    <w:lvl w:ilvl="0">
      <w:lvlJc w:val="left"/>
      <w:lvlText w:val="(%1)"/>
      <w:numFmt w:val="upperLetter"/>
      <w:start w:val="2"/>
    </w:lvl>
    <w:lvl w:ilvl="1">
      <w:lvlJc w:val="left"/>
      <w:lvlText w:val="(%2)"/>
      <w:numFmt w:val="lowerLetter"/>
      <w:start w:val="5"/>
    </w:lvl>
  </w:abstractNum>
  <w:abstractNum w:abstractNumId="38">
    <w:nsid w:val="6A2342EC"/>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39">
    <w:nsid w:val="2A487CB0"/>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40">
    <w:nsid w:val="1D4ED43B"/>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41">
    <w:nsid w:val="725A06FB"/>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42">
    <w:nsid w:val="2CD89A32"/>
    <w:multiLevelType w:val="hybridMultilevel"/>
    <w:lvl w:ilvl="0">
      <w:lvlJc w:val="left"/>
      <w:lvlText w:val="(%1)"/>
      <w:numFmt w:val="lowerLetter"/>
      <w:start w:val="2"/>
    </w:lvl>
  </w:abstractNum>
  <w:abstractNum w:abstractNumId="43">
    <w:nsid w:val="57E4CCAF"/>
    <w:multiLevelType w:val="hybridMultilevel"/>
    <w:lvl w:ilvl="0">
      <w:lvlJc w:val="left"/>
      <w:lvlText w:val="(%1)"/>
      <w:numFmt w:val="lowerLetter"/>
      <w:start w:val="7"/>
    </w:lvl>
  </w:abstractNum>
  <w:abstractNum w:abstractNumId="44">
    <w:nsid w:val="7A6D8D3C"/>
    <w:multiLevelType w:val="hybridMultilevel"/>
    <w:lvl w:ilvl="0">
      <w:lvlJc w:val="left"/>
      <w:lvlText w:val="(%1)"/>
      <w:numFmt w:val="lowerLetter"/>
      <w:start w:val="10"/>
    </w:lvl>
  </w:abstractNum>
  <w:abstractNum w:abstractNumId="45">
    <w:nsid w:val="4B588F54"/>
    <w:multiLevelType w:val="hybridMultilevel"/>
    <w:lvl w:ilvl="0">
      <w:lvlJc w:val="left"/>
      <w:lvlText w:val="(%1)"/>
      <w:numFmt w:val="lowerLetter"/>
      <w:start w:val="1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2023-12-20T10:15:42Z</dcterms:created>
  <dcterms:modified xsi:type="dcterms:W3CDTF">2023-12-20T10:15:42Z</dcterms:modified>
</cp:coreProperties>
</file>