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20, 56 Antuo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Jiading District, Shanghai 201804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140" w:type="dxa"/>
            <w:vAlign w:val="bottom"/>
            <w:tcBorders>
              <w:top w:val="single" w:sz="8" w:color="auto"/>
            </w:tcBorders>
          </w:tcPr>
          <w:p>
            <w:pPr>
              <w:jc w:val="center"/>
              <w:ind w:right="29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220" w:type="dxa"/>
            <w:vAlign w:val="bottom"/>
          </w:tcPr>
          <w:p>
            <w:pPr>
              <w:spacing w:after="0"/>
              <w:rPr>
                <w:sz w:val="19"/>
                <w:szCs w:val="19"/>
                <w:color w:val="auto"/>
              </w:rPr>
            </w:pPr>
          </w:p>
        </w:tc>
        <w:tc>
          <w:tcPr>
            <w:tcW w:w="988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Release—NIO Inc. Reports Unaudited Third Quarter 2020 Financial Results</w:t>
              </w:r>
            </w:hyperlink>
          </w:p>
        </w:tc>
      </w:tr>
      <w:tr>
        <w:trPr>
          <w:trHeight w:val="657"/>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Wei Feng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 Feng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Reports Unaudited Third Quarter 2020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Quarterly Total Revenues reached RMB4,526.0 million (US$666.6 million) </w:t>
      </w:r>
      <w:r>
        <w:rPr>
          <w:rFonts w:ascii="Times New Roman" w:cs="Times New Roman" w:eastAsia="Times New Roman" w:hAnsi="Times New Roman"/>
          <w:sz w:val="29"/>
          <w:szCs w:val="29"/>
          <w:b w:val="1"/>
          <w:bCs w:val="1"/>
          <w:i w:val="1"/>
          <w:iCs w:val="1"/>
          <w:color w:val="auto"/>
          <w:vertAlign w:val="superscript"/>
        </w:rPr>
        <w:t>i</w:t>
      </w: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Deliveries of the ES8, ES6 and EC6 were 12,206 vehicles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Vehicle Margin reached 14.5%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Gross Margin reached 12.9%</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SHANGHAI, China, November 17, 2020 (GLOBE NEWSWIRE) -- NIO Inc. (“NIO” or the “Company”) (NYSE: NIO), a pioneer in China’s premium smart electric vehicle market, today announced its unaudited financial results for the quarter ended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Third Quarter of 2020</w:t>
      </w:r>
    </w:p>
    <w:p>
      <w:pPr>
        <w:spacing w:after="0" w:line="225" w:lineRule="exact"/>
        <w:rPr>
          <w:sz w:val="20"/>
          <w:szCs w:val="20"/>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were 12,206 in the third quarter of 2020, including 8,660 ES6s, 3,530 ES8s and 16 EC6s, compared with 4,799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the third quarter of 2019 and 10,331 vehicles delivered in the second quarter of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76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2020 Q3</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2020 Q2</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2020 Q1</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2019 Q4</w:t>
            </w:r>
          </w:p>
        </w:tc>
      </w:tr>
      <w:tr>
        <w:trPr>
          <w:trHeight w:val="216"/>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76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2019 Q3</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2019 Q2</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2019 Q1</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2018 Q4</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Third Quarter of 2020</w:t>
      </w:r>
    </w:p>
    <w:p>
      <w:pPr>
        <w:spacing w:after="0" w:line="225" w:lineRule="exact"/>
        <w:rPr>
          <w:sz w:val="20"/>
          <w:szCs w:val="20"/>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RMB4,266.8 million (US$628.4 million) in the third quarter of 2020, representing an increase of 146.1%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and an increase of 22.4% from the second quarter of 2020.</w:t>
      </w:r>
    </w:p>
    <w:p>
      <w:pPr>
        <w:spacing w:after="0" w:line="158" w:lineRule="exact"/>
        <w:rPr>
          <w:rFonts w:ascii="Times New Roman" w:cs="Times New Roman" w:eastAsia="Times New Roman" w:hAnsi="Times New Roman"/>
          <w:sz w:val="18"/>
          <w:szCs w:val="18"/>
          <w:color w:val="auto"/>
        </w:rPr>
      </w:pPr>
    </w:p>
    <w:p>
      <w:pPr>
        <w:ind w:left="340" w:hanging="332"/>
        <w:spacing w:after="0" w:line="189"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b w:val="1"/>
          <w:bCs w:val="1"/>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14.5% in the third quarter of 2020, compared with negative 6.8% in the third quarter of 2019 and 9.7%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w:t>
      </w:r>
    </w:p>
    <w:p>
      <w:pPr>
        <w:spacing w:after="0" w:line="195" w:lineRule="exact"/>
        <w:rPr>
          <w:rFonts w:ascii="Times New Roman" w:cs="Times New Roman" w:eastAsia="Times New Roman" w:hAnsi="Times New Roman"/>
          <w:sz w:val="36"/>
          <w:szCs w:val="36"/>
          <w:color w:val="auto"/>
          <w:vertAlign w:val="superscript"/>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RMB4,526.0 million (US$666.6 million) in the third quarter of 2020, representing an increase of 146.4%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2019 and an increase of 21.7% from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RMB585.8 million (US$86.3 million) in the third quarter of 2020, representing an increase of RMB807.4 million from a gross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RMB221.6 million in the third quarter of 2019 and an increase of RMB272.7 million from the second quarter of 2020.</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12.9% in the third quarter of 2020, compared with negative 12.1% in the third quarter of 2019 and 8.4%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RMB946.0 million (US$139.3 million) in the third quarter of 2020, representing a decrease of 60.7%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2019 and a decrease of 18.4% from the second quarter of 2020. Excluding share-based compensation expenses, adjusted loss from operations (non-GAAP) was RMB896.7 million (US$132.1 million) in the third quarter of 2020, representing a decrease of 61.7 % from the third quarter of 2019 and a decrease of 19.6% from the second quarter of 2020.</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RMB1,047.0 million (US$154.2 million) in the third quarter of 2020, representing a decrease of 58.5% from the third quarter of 2019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decrease of 11.0% from the second quarter of 2020. Excluding share-based compensation expenses, adjusted net loss (non-GAAP) was RMB997.8 million (US$147.0 million) in the third quarter of 2020, representing a decrease of 59.3% from the third quarter of 2019 and a decrease of 11.8% from the second quarter of 2020.</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was RMB1,187.9 million (US$175.0 million) in the third quarter of 2020, representing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of 53.5% from the third quarter of 2019 and a decrease of 1.6% from the second quarter of 2020. Excluding share-based compensation expenses and accretion on redeemable non-controlling interests to redemption value, adjusted net loss attributable to NIO’s ordinary shareholders (non-GAAP) was RMB996.0 million (US$146.7 million).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04"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Basic and diluted net loss per American Depositary Share (ADS)</w:t>
      </w:r>
      <w:r>
        <w:rPr>
          <w:rFonts w:ascii="Times New Roman" w:cs="Times New Roman" w:eastAsia="Times New Roman" w:hAnsi="Times New Roman"/>
          <w:sz w:val="29"/>
          <w:szCs w:val="29"/>
          <w:b w:val="1"/>
          <w:bCs w:val="1"/>
          <w:color w:val="auto"/>
          <w:vertAlign w:val="superscript"/>
        </w:rPr>
        <w:t>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both RMB0.98 (US$0.14) in the third quarter of 2020. Excluding share-based compensation expenses and accretion on redeemable non-controlling interests to redemption value, adjusted basic and diluted net loss per ADS (non-GAAP) were both RMB0.82 (US$0.12).</w:t>
      </w:r>
    </w:p>
    <w:p>
      <w:pPr>
        <w:spacing w:after="0" w:line="197"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restricted cash and short-term investment </w:t>
      </w:r>
      <w:r>
        <w:rPr>
          <w:rFonts w:ascii="Times New Roman" w:cs="Times New Roman" w:eastAsia="Times New Roman" w:hAnsi="Times New Roman"/>
          <w:sz w:val="18"/>
          <w:szCs w:val="18"/>
          <w:color w:val="auto"/>
        </w:rPr>
        <w:t>were RMB22.2 billion (US$3.3 billion) as of September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RMB million, except for per ordinary share data and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iv</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2020 Q3</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2020 Q2</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2019 Q3</w:t>
            </w:r>
          </w:p>
        </w:tc>
        <w:tc>
          <w:tcPr>
            <w:tcW w:w="1560" w:type="dxa"/>
            <w:vAlign w:val="bottom"/>
            <w:vMerge w:val="continue"/>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QoQ</w:t>
            </w: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4,266.8</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3,486.1</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1,733.5</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482bp</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2,130bp</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4,526.0</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3,718.9</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1,836.8</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21.7%</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Profit/(Loss)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585.8</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313.1</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(221.6)</w:t>
            </w: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87.1%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452bp</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2,504bp</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(946.0)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(1,160.0)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(2,409.2)</w:t>
            </w: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-18.4%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(896.7)</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(1,114.7)</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(2,338.8)</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-19.6%</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(1,047.0)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(1,176.7)</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(2,521.7)</w:t>
            </w: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(997.8)</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(1,131.4)</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(2,451.2)</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(1,187.9)</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(1,207.8)</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(2,553.6)</w:t>
            </w: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Ordinary Share-Basic and Diluted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(0.98)</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198"/>
        </w:trPr>
        <w:tc>
          <w:tcPr>
            <w:tcW w:w="5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Adjusted Net Loss per Ordinary Share-Basic and Diluted (non-</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GAAP)</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(0.82)</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432"/>
        </w:trPr>
        <w:tc>
          <w:tcPr>
            <w:tcW w:w="16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October 2020</w:t>
      </w:r>
    </w:p>
    <w:p>
      <w:pPr>
        <w:spacing w:after="0" w:line="229"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Deliveries of the ES8, ES6 and EC6 were 5,055 vehicles in October 2020, representing a strong 100.1% year-over-year growth. As of October 31, 2020, cumulative deliveries of the ES8, ES6 and EC6 reached 63,343 vehicles, of which 31,430 were delivered in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Launch of 100kWh Battery Pack</w:t>
      </w:r>
    </w:p>
    <w:p>
      <w:pPr>
        <w:spacing w:after="0" w:line="229" w:lineRule="exact"/>
        <w:rPr>
          <w:sz w:val="20"/>
          <w:szCs w:val="20"/>
          <w:color w:val="auto"/>
        </w:rPr>
      </w:pPr>
    </w:p>
    <w:p>
      <w:pPr>
        <w:jc w:val="both"/>
        <w:ind w:left="380" w:hanging="31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6, 2020, NIO launched the 100kWh battery pack with battery upgrade plans. The 100kWh cell-to-pack battery pack has realized 37% higher energy density than the 70kWh battery. Powered by the 100kWh battery, the NEDC range of NIO EC6 can reach up to 615 kilometers. The outstanding performance of the 100kWh battery is underpinned by technological advancements including thermal propagation prevention design, highly-integrated architecture, all-climate thermal management and bi-directional cloud battery management system.</w:t>
      </w:r>
    </w:p>
    <w:p>
      <w:pPr>
        <w:spacing w:after="0" w:line="179" w:lineRule="exact"/>
        <w:rPr>
          <w:rFonts w:ascii="Times New Roman" w:cs="Times New Roman" w:eastAsia="Times New Roman" w:hAnsi="Times New Roman"/>
          <w:sz w:val="18"/>
          <w:szCs w:val="18"/>
          <w:color w:val="auto"/>
        </w:rPr>
      </w:pPr>
    </w:p>
    <w:p>
      <w:pPr>
        <w:jc w:val="both"/>
        <w:ind w:lef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users opt to purchase an ES8, ES6 or EC6 and subscribe for the 100kWh battery pack under the innovative Battery as a Service (the “BaaS”) model, they can purchase the vehicle without the battery pack while paying a monthly subscription fee of RMB1,480. Users of the 70kWh battery pack can choose to either purchase a 100kWh battery pack for permanent upgrades or pay a monthly subscription fee of RMB880 for a flexible upgrade package.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Registered Follow-on Offering of American Depositary Shares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NIO completed the offering of 101,775,000 American depositary shares, each representing one Class A ordinary share of the Company, at a price of US$17.00 per ADS, which included 13,275,000 American depositary shares issued in connection with the underwriters’ full exercise of their overallotment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Increase of Controlling Equity Interests in NIO China</w:t>
      </w:r>
    </w:p>
    <w:p>
      <w:pPr>
        <w:spacing w:after="0" w:line="229"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NIO completed the increase of its controlling equity interests in NIO China through the partial redemption of certain investor’s equity interests and the subscription for newly increased registered capital. The Company currently holds 86.5% controlling equity interests in NIO Holding Co., Ltd. (formerly named NIO (Anhui) Holding Co., Ltd.) (“NIO Holding”), the legal entity of NIO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Completion of Redemption of Equity Interests in XPT from Minority Shareholders</w:t>
      </w:r>
    </w:p>
    <w:p>
      <w:pPr>
        <w:spacing w:after="0" w:line="229" w:lineRule="exact"/>
        <w:rPr>
          <w:sz w:val="20"/>
          <w:szCs w:val="20"/>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NIO, through its wholly owned subsidiary, completed the full redemption of equity interests in XPT (Jiangsu) Automotive Technology Co., Ltd., or XPT, held by each of its minority shareholders. As a result, NIO redeemed a total of 21.09% equity interests in XPT and now indirectly wholly owns XPT. Established in May 2018, XPT mainly designs, develops and manufactures electric motors, battery packs and other smart electric vehicle components.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achieved a new record-high quarterly deliveries of 12,206 ES8s, ES6s and EC6s in total in the third quarter of 2020, followed by the best-ever monthly deliveries of 5,055 vehicles in October,” said William Bin Li, founder, chairman and chief executive officer of NIO. “In view of the growing market demand for our competitive products, we are motivated to continuously elevate the production capacity to the next level. We expect to deliver 16,500 to 17,000 vehicles in the coming fourth quarter.”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past months, we are pleased to have launched the BaaS and the 100kWh battery pack with proprietary thermal management and significant performance enhancement. Enabled by our unique battery swap technologies, innovative BaaS model and comprehensive power solutions, our users can benefit from lower initial purchase prices of vehicles, flexible battery upgrade options as well as enhanced assurance of battery performance. Additionally, following the release of the NIO OS 2.7.0 via firmware-over-the-air (FOTA) upgrade in October 2020, our users have been able to enjoy the Navigate on Pilot (NoP) feature of NIO Pilot on highways and urban expressways in China. Going forward, we remain committed to deploying more resources into the core technology innovations and delivering the best holistic product and service experiences to our user community in the pursuit of fortifying our long-term competitiveness in the market,” concluded Mr. Li.</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another quarter of record high deliveries in the third quarter of 2020, plus further improvements in average selling price, material cost and manufacturing efficiency, our vehicle margin increased to 14.5%. Additionally, we achieved positive cash flow from operating activities for the second sequential quarter,” added Steven Wei Feng, NIO’s chief financial officer. “Our order growth momentum continued steadfastly, driven by the expanded brand awareness, growing user base, extended sales network and most importantly, the compelling products and technologies. Meanwhile, our continuous improvement of operational efficiency, cash flow and balance sheet has laid a solid foundation for our future sustainable growth and decisive investments in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Third Quarter of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RMB4,526.0 million (US$666.6 million) in the third quarter of 2020, representing an increase of 146.4%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2019 and an increase of 21.7% from the second quarter of 2020.</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RMB4,266.8 million (US$628.4 million) in the third quarter of 2020, representing an increase of 146.1%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2019 and an increase of 22.4% from the second quarter of 2020. The increase in vehicle sales of the third quarter of 2020, compared to the third quarter of 2019 and the second quarter of 2020, was mainly contributed by the increase in sales of the ES6 and ES8.</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were RMB259.2 million (US$38.2 million) in the third quarter of 2020, representing an increase of 150.7%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and an increase of 11.3% from the second quarter of 2020. The increase in other sales of the third quarter of 2020, compared to the third quarter of 2019, was mainly attributed to increased revenues derived from the home chargers installed, service package and energy package subscribed, and accessories sold, which were in line with the increased vehicle sales in the third quarter of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was RMB3,940.1 million (US$580.3 million) in the third quarter of 2020, representing an increase of 91.4%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2019 and an increase of 15.7% from the second quarter of 2020. The increase in cost of sales, compared to the third quarter of 2019, was mainly driven by the increase of delivery volume of the ES6 and ES8 in the third quarter of 2020.</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RMB585.8 million (US$86.3 million) in the third quarter of 2020, representing an increase of RMB807.4 million from a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RMB221.6 million in the third quarter of 2019 and an increase of RMB272.7 million from the second quarter of 2020. The increase of gross profit, compared to the third quarter of 2019, was mainly contributed by increased vehicle sales and increased vehicle margin.</w:t>
      </w:r>
    </w:p>
    <w:p>
      <w:pPr>
        <w:spacing w:after="0" w:line="170"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 the third quarter of 2020 was 12.9%, compared with negative 12.1% in the third quarter of 2019 and 8.4% in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2020. The increase of gross margin, compared to the third quarter of 2019, was mainly driven by the increase of vehicle margin in the third quarter of 2020.</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third quarter of 2020 was 14.5%, compared with negative 6.8% in the third quarter of 2019 and 9.7% in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2020. The increase of vehicle margin, compared to the third quarter of 2019 and the second quarter of 2020, was mainly driven by the decrease in purchase price of certain materials and lower unit manufacturing cost attributed from increased production volume of the ES6 and ES8 in the third quarter of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RMB590.8 million (US$87.0 million) in the third quarter of 2020, representing a decrease of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third quarter of 2019 and an increase of 8.4% from the second quarter of 2020. Excluding share-based compensation expenses (non-GAAP), research and development expenses were RMB577.8 million (US$85.1 million) in the third quarter of 2020, representing a decrease of 42.4% from the third quarter of 2019 and an increase of 8.3% from the second quarter of 2020. The decrease in research and development expenses over the third quarter of 2019 was primarily attributed to the higher design and development costs incurred in the third quarter of 2019 for EC6 and all-new ES8 launched in the fourth quarter of 2019, and the Company’s overall cost-saving efforts and the improved operational efficiency in research and development functions since the fourth quarter of 2019. Research and development expenses remained relatively stable compared with the second quarter of 2020, which mainly consisted of costs incurred for recurring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were RMB940.3 million (US$138.5 million) in the third quarter of 2020, representing a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19.2% from the third quarter of 2019 and an increase of 0.4% from the second quarter of 2020. Excluding share-based compensation expenses (non-GAAP), selling, general and administrative expenses were RMB905.5 million (US$133.4 million) in the third quarter of 2020, representing a decrease of 18.9% from the third quarter of 2019 and an increase of 0.1% from the second quarter of 2020. The decrease in selling, general and administrative expenses over the third quarter of 2019 was primarily driven by the Company’s overall cost-saving efforts and the improved operational efficiency in marketing and other supporting functions. Selling, general and administrative expenses remained relatively stable compared with the second quarter of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RMB946.0 million (US$139.3 million) in the third quarter of 2020, representing a decrease of 60.7%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2019 and a decrease of 18.4% from the second quarter of 2020. Excluding share-based compensation expenses, adjusted loss from operations (non-GAAP) was RMB896.7 million (US$132.1 million) in the third quarter of 2020, representing a decrease of 61.7% from the third quarter of 2019 and a decrease of 19.6% from the second quarter of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p>
      <w:pPr>
        <w:spacing w:after="0" w:line="229" w:lineRule="exact"/>
        <w:rPr>
          <w:sz w:val="20"/>
          <w:szCs w:val="20"/>
          <w:color w:val="auto"/>
        </w:rPr>
      </w:pPr>
    </w:p>
    <w:p>
      <w:pPr>
        <w:jc w:val="both"/>
        <w:ind w:left="66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were RMB49.2 million (US$7.3 million) in the third quarter of 2020, representing a decrease of 30.1% from the third quarter of 2019 and an increase of 8.6% from the second quarter of 2020. The decrease in share-based compensation expenses over the third quarter of 2019 was primarily due to less options granted driven by the decline in the number of employees, and the impact of part of the share-based compensation expenses being recognized by using the accelerated method, under which the expenses decrease gradually over the vesting period. The increase in share-based compensation expenses over the second quarter of 2020 was primarily attributed to the incremental options granted in the third quarter of 2020 with relatively higher grant date fair values due to the increased share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Earnings Per Share</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RMB1,047.0 million (US$154.2 million) in the third quarter of 2020, representing a decrease of 58.5% from the third quarter of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decrease of 11.0% from the second quarter of 2020. Excluding share-based compensation expenses, adjusted net loss (non-GAAP) was RMB997.8 million (US$147.0 million) in the third quarter of 2020, representing a decrease of 59.3% from the third quarter of 2019 and a decrease of 11.8% from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660" w:hanging="328"/>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was RMB1,187.9 million (US$175.0 million) in the third quarter of 2020, representing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of 53.5% from the third quarter of 2019 and a decrease of 1.6% from the second quarter of 2020. Excluding share-based compensation expenses and accretion on redeemable non-controlling interests to redemption value, adjusted net loss attributable to NIO’s ordinary shareholders (non-GAAP) was RMB996.0 million (US$146.7 million).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ADS </w:t>
      </w:r>
      <w:r>
        <w:rPr>
          <w:rFonts w:ascii="Times New Roman" w:cs="Times New Roman" w:eastAsia="Times New Roman" w:hAnsi="Times New Roman"/>
          <w:sz w:val="18"/>
          <w:szCs w:val="18"/>
          <w:color w:val="auto"/>
        </w:rPr>
        <w:t>were both RMB0.98 (US$0.14) in the third quarter of 2020. Excluding share-based compensation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accretion on redeemable non-controlling interests to redemption value, adjusted basic and diluted net loss per ADS (non-GAAP) were both RMB0.82 (US$0.12).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ind w:left="660" w:hanging="328"/>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of cash and cash equivalents, restricted cash and short-term investment </w:t>
      </w:r>
      <w:r>
        <w:rPr>
          <w:rFonts w:ascii="Times New Roman" w:cs="Times New Roman" w:eastAsia="Times New Roman" w:hAnsi="Times New Roman"/>
          <w:sz w:val="18"/>
          <w:szCs w:val="18"/>
          <w:color w:val="auto"/>
        </w:rPr>
        <w:t>was RMB22.2 billion (US$3.3 billion) as of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2020, certain convertible notes were exercised by their holders with the aggregate amount of RMB3.1 billion (US$460.9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2020, the Company expects:</w:t>
      </w:r>
    </w:p>
    <w:p>
      <w:pPr>
        <w:spacing w:after="0" w:line="221" w:lineRule="exact"/>
        <w:rPr>
          <w:sz w:val="20"/>
          <w:szCs w:val="20"/>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the vehicles </w:t>
      </w:r>
      <w:r>
        <w:rPr>
          <w:rFonts w:ascii="Times New Roman" w:cs="Times New Roman" w:eastAsia="Times New Roman" w:hAnsi="Times New Roman"/>
          <w:sz w:val="18"/>
          <w:szCs w:val="18"/>
          <w:color w:val="auto"/>
        </w:rPr>
        <w:t>to be between 16,500 and 17,000 vehicles, representing an increase of approximately 100.6% to 106.7% from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2019, and an increase of approximately 35.2% to 39.3% from the third quarter of 2020.</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317"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Total revenues </w:t>
      </w:r>
      <w:r>
        <w:rPr>
          <w:rFonts w:ascii="Times New Roman" w:cs="Times New Roman" w:eastAsia="Times New Roman" w:hAnsi="Times New Roman"/>
          <w:sz w:val="17"/>
          <w:szCs w:val="17"/>
          <w:color w:val="auto"/>
        </w:rPr>
        <w:t>to be between RMB6,258.7 million (US$921.8 million) and RMB6,435.8 million (US$947.9 million), representing an increase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119.7% to 126.0% from the same quarter of 2019, and an increase of approximately 38.3% to 42.2% from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PM U.S. Eastern Time on November 17, 2020 (8:00 AM Beijing/Hong Kong Time on November 18, 2020) to discuss financial results and answer questions from investors and analysts. Listeners may register in advance of the conference using the link provided below and dial in 10 minutes prior to the call, using participant dial-in numbers, Direct Event passcode and unique registrant ID which would be provided upon registering.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http://apac.directeventreg.com/registration/event/5329138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the conference call will be available on the Company’s investor relations website at http://ir.nio.com.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approximately two hours after the conclusion of the live call at the following numbers, until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2020 07:59 AM ET:</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+1-646-254-3697</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+61-2-8199-0299</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+852-3051-2780</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+86-400-632-2162</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5329138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NIO Inc. is a pioneer in China’s premium smart electric vehicle market. Founded in November 2014, NIO’s mission is to shape a joyful lifestyle. NIO aims to build a community starting with smart electric vehicles to share joy and grow together with users. NIO designs, jointly manufactures, and sells smart premium electric vehicles, driving innovations in next-generation technologies in connectivity, autonomous driving, and artificial intelligence. Redefining the user experience, NIO provides users with comprehensive and convenient power solutions, innovative Battery as a Service (BaaS) program, and other user-centric services. NIO began deliveries of the ES8, a 7-seater flagship premium electric SUV, in China in June 2018, and its variant, the 6-seater ES8, in March 2019. NIO officially launched the ES6, a 5-seater high-performance premium electric SUV, in December 2018 and began deliveries of the ES6 in June 2019. NIO officially launched the EC6, a 5-seater premium electric coupe SUV, in December 2019 and began deliveries of the EC6 in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from management in this announcement, as well as NIO’s strategic and operational plans, contain forward-looking statements. NIO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grow manufacturing in collaboration with partners; its ability to provide convenient charging solutions to its customers; the viability, growth potential and prospects of the newly introduced BaaS model; NIO's ability to satisfy the mandated safety standards relating to motor vehicles; its ability to secure supply of raw materials or other components used in its vehicles; its ability to secure sufficient reservations and sales of the ES8,ES6 and EC6; its ability to control costs associated with its operations; its ability to build the NIO brand; general economic and business conditions globally and in China and assumptions underlying or related to any of the foregoing. Further information regarding these and other risks is included in NIO’s filings with the SEC. All information provided in this press release is as of the date of this press release, and NIO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loss from operations (non-GAAP), adjusted net loss (non-GAAP), adjusted net loss attributable to ordinary shareholders (non-GAAP), adjusted basic and diluted net loss per share (non-GAAP) and adjusted basic and diluted net loss per ADS (non-GAAP), in evaluating its operating results and for financial and operational decision-making purposes. By excluding the impact of share-based compensation expenses and accretion on redeemable non-controlling interests to redemption value,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RMB6.7896 to US$1.00, the noon buying rate in effect on September 30, 2020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Regarding Preliminary Unaudited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+86-21-6908-2018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for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r>
      <w:tr>
        <w:trPr>
          <w:trHeight w:val="187"/>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(audited)</w:t>
            </w:r>
          </w:p>
        </w:tc>
        <w:tc>
          <w:tcPr>
            <w:tcW w:w="220" w:type="dxa"/>
            <w:vAlign w:val="bottom"/>
          </w:tcPr>
          <w:p>
            <w:pPr>
              <w:spacing w:after="0"/>
              <w:rPr>
                <w:sz w:val="16"/>
                <w:szCs w:val="16"/>
                <w:color w:val="auto"/>
              </w:rPr>
            </w:pPr>
          </w:p>
        </w:tc>
        <w:tc>
          <w:tcPr>
            <w:tcW w:w="15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gridSpan w:val="2"/>
          </w:tcPr>
          <w:p>
            <w:pPr>
              <w:spacing w:after="0"/>
              <w:rPr>
                <w:sz w:val="16"/>
                <w:szCs w:val="16"/>
                <w:color w:val="auto"/>
              </w:rPr>
            </w:pPr>
          </w:p>
        </w:tc>
      </w:tr>
      <w:tr>
        <w:trPr>
          <w:trHeight w:val="238"/>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862,839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19,327,717</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2,846,665</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82,507</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184,244</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27,136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2,718,303</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400,363</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1,352,093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1,483,971</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218,565</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50,783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86,030</w:t>
            </w:r>
          </w:p>
        </w:tc>
        <w:tc>
          <w:tcPr>
            <w:tcW w:w="1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889,528</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1,039,091</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153,042</w:t>
            </w:r>
          </w:p>
        </w:tc>
        <w:tc>
          <w:tcPr>
            <w:tcW w:w="80" w:type="dxa"/>
            <w:vAlign w:val="bottom"/>
          </w:tcPr>
          <w:p>
            <w:pPr>
              <w:spacing w:after="0"/>
              <w:rPr>
                <w:sz w:val="18"/>
                <w:szCs w:val="18"/>
                <w:color w:val="auto"/>
              </w:rPr>
            </w:pP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1,579,258</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1,485,754</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218,830</w:t>
            </w:r>
          </w:p>
        </w:tc>
        <w:tc>
          <w:tcPr>
            <w:tcW w:w="80" w:type="dxa"/>
            <w:vAlign w:val="bottom"/>
            <w:shd w:val="clear" w:color="auto" w:fill="CCEEFF"/>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6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4,928,008</w:t>
            </w:r>
          </w:p>
        </w:tc>
        <w:tc>
          <w:tcPr>
            <w:tcW w:w="2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26,325,110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3,877,272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47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44,523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43,623</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5,533,064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5,132,587</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755,948</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1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208,815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205,180</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30,220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115,325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340,764</w:t>
            </w:r>
          </w:p>
        </w:tc>
        <w:tc>
          <w:tcPr>
            <w:tcW w:w="1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5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1,997,672</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1,376,019</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202,666</w:t>
            </w:r>
          </w:p>
        </w:tc>
        <w:tc>
          <w:tcPr>
            <w:tcW w:w="8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1,753,100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965,593</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142,216</w:t>
            </w:r>
          </w:p>
        </w:tc>
        <w:tc>
          <w:tcPr>
            <w:tcW w:w="8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9,654,021</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14,582,029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34,393,110</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5,065,559</w:t>
            </w:r>
          </w:p>
        </w:tc>
        <w:tc>
          <w:tcPr>
            <w:tcW w:w="80" w:type="dxa"/>
            <w:vAlign w:val="bottom"/>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70"/>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885,620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951,957</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140,208</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3,111,699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4,932,003</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726,406</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309,729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447,791</w:t>
            </w:r>
          </w:p>
        </w:tc>
        <w:tc>
          <w:tcPr>
            <w:tcW w:w="1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65,952</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43,986</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39,231</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608,747</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522,661</w:t>
            </w:r>
          </w:p>
        </w:tc>
        <w:tc>
          <w:tcPr>
            <w:tcW w:w="1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76,980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322,436</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445,038</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65,547</w:t>
            </w: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4,216,641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3,526,194</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519,351</w:t>
            </w:r>
          </w:p>
        </w:tc>
        <w:tc>
          <w:tcPr>
            <w:tcW w:w="80" w:type="dxa"/>
            <w:vAlign w:val="bottom"/>
            <w:shd w:val="clear" w:color="auto" w:fill="CCEEFF"/>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6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9,498,858</w:t>
            </w:r>
          </w:p>
        </w:tc>
        <w:tc>
          <w:tcPr>
            <w:tcW w:w="2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10,864,875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1,600,222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47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7,154,798</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6,764,903</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996,363</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1,598,372</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1,049,698</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154,604</w:t>
            </w:r>
          </w:p>
        </w:tc>
        <w:tc>
          <w:tcPr>
            <w:tcW w:w="80" w:type="dxa"/>
            <w:vAlign w:val="bottom"/>
          </w:tcPr>
          <w:p>
            <w:pPr>
              <w:spacing w:after="0"/>
              <w:rPr>
                <w:sz w:val="18"/>
                <w:szCs w:val="18"/>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1,151,813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1,541,444</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227,030</w:t>
            </w:r>
          </w:p>
        </w:tc>
        <w:tc>
          <w:tcPr>
            <w:tcW w:w="80" w:type="dxa"/>
            <w:vAlign w:val="bottom"/>
            <w:shd w:val="clear" w:color="auto" w:fill="CCEEFF"/>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6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9,904,983</w:t>
            </w:r>
          </w:p>
        </w:tc>
        <w:tc>
          <w:tcPr>
            <w:tcW w:w="2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9,356,045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7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19,403,841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20,220,920</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2,978,220</w:t>
            </w:r>
          </w:p>
        </w:tc>
        <w:tc>
          <w:tcPr>
            <w:tcW w:w="80" w:type="dxa"/>
            <w:vAlign w:val="bottom"/>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3"/>
        </w:trPr>
        <w:tc>
          <w:tcPr>
            <w:tcW w:w="47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for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5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September 30, 2020</w:t>
            </w: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r>
      <w:tr>
        <w:trPr>
          <w:trHeight w:val="187"/>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(audited)</w:t>
            </w:r>
          </w:p>
        </w:tc>
        <w:tc>
          <w:tcPr>
            <w:tcW w:w="220" w:type="dxa"/>
            <w:vAlign w:val="bottom"/>
          </w:tcPr>
          <w:p>
            <w:pPr>
              <w:spacing w:after="0"/>
              <w:rPr>
                <w:sz w:val="16"/>
                <w:szCs w:val="16"/>
                <w:color w:val="auto"/>
              </w:rPr>
            </w:pPr>
          </w:p>
        </w:tc>
        <w:tc>
          <w:tcPr>
            <w:tcW w:w="15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gridSpan w:val="2"/>
          </w:tcPr>
          <w:p>
            <w:pPr>
              <w:spacing w:after="0"/>
              <w:rPr>
                <w:sz w:val="16"/>
                <w:szCs w:val="16"/>
                <w:color w:val="auto"/>
              </w:rPr>
            </w:pPr>
          </w:p>
        </w:tc>
      </w:tr>
      <w:tr>
        <w:trPr>
          <w:trHeight w:val="238"/>
        </w:trPr>
        <w:tc>
          <w:tcPr>
            <w:tcW w:w="5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5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1,455,787</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6,145,538</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905,140</w:t>
            </w:r>
          </w:p>
        </w:tc>
        <w:tc>
          <w:tcPr>
            <w:tcW w:w="80" w:type="dxa"/>
            <w:vAlign w:val="bottom"/>
          </w:tcPr>
          <w:p>
            <w:pPr>
              <w:spacing w:after="0"/>
              <w:rPr>
                <w:sz w:val="19"/>
                <w:szCs w:val="19"/>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8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1,455,787</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(DEFICIT)/EQUITY</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25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1,827</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2,414</w:t>
            </w:r>
          </w:p>
        </w:tc>
        <w:tc>
          <w:tcPr>
            <w:tcW w:w="1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5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40,227,856</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58,380,028</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8,598,449</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5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(203,048)</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(98,128)</w:t>
            </w:r>
          </w:p>
        </w:tc>
        <w:tc>
          <w:tcPr>
            <w:tcW w:w="1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(14,453)</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5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(46,326,321)</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(50,262,046)</w:t>
            </w: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(7,402,799)</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(deficit)/equity</w:t>
            </w:r>
          </w:p>
        </w:tc>
        <w:tc>
          <w:tcPr>
            <w:tcW w:w="8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(6,299,686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8,022,268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22,087</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8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(6,277,599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8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14,582,029</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34,393,110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5,065,559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September 30, 2019</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8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60" w:type="dxa"/>
            <w:vAlign w:val="bottom"/>
          </w:tcPr>
          <w:p>
            <w:pPr>
              <w:spacing w:after="0"/>
              <w:rPr>
                <w:sz w:val="19"/>
                <w:szCs w:val="19"/>
                <w:color w:val="auto"/>
              </w:rPr>
            </w:pPr>
          </w:p>
        </w:tc>
      </w:tr>
      <w:tr>
        <w:trPr>
          <w:trHeight w:val="187"/>
        </w:trPr>
        <w:tc>
          <w:tcPr>
            <w:tcW w:w="3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6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Vehicle sales</w:t>
            </w:r>
          </w:p>
        </w:tc>
        <w:tc>
          <w:tcPr>
            <w:tcW w:w="25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1,733,469</w:t>
            </w: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3,486,089</w:t>
            </w:r>
          </w:p>
        </w:tc>
        <w:tc>
          <w:tcPr>
            <w:tcW w:w="18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4,266,788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628,430</w:t>
            </w:r>
          </w:p>
        </w:tc>
      </w:tr>
      <w:tr>
        <w:trPr>
          <w:trHeight w:val="230"/>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sales</w:t>
            </w:r>
          </w:p>
        </w:tc>
        <w:tc>
          <w:tcPr>
            <w:tcW w:w="25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103,375</w:t>
            </w: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232,841</w:t>
            </w:r>
          </w:p>
        </w:tc>
        <w:tc>
          <w:tcPr>
            <w:tcW w:w="18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259,172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38,172</w:t>
            </w:r>
          </w:p>
        </w:tc>
      </w:tr>
      <w:tr>
        <w:trPr>
          <w:trHeight w:val="209"/>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1,836,844</w:t>
            </w:r>
          </w:p>
        </w:tc>
        <w:tc>
          <w:tcPr>
            <w:tcW w:w="2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3,718,930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4,525,960</w:t>
            </w:r>
          </w:p>
        </w:tc>
        <w:tc>
          <w:tcPr>
            <w:tcW w:w="2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666,602</w:t>
            </w:r>
          </w:p>
        </w:tc>
        <w:tc>
          <w:tcPr>
            <w:tcW w:w="60" w:type="dxa"/>
            <w:vAlign w:val="bottom"/>
            <w:tcBorders>
              <w:bottom w:val="single" w:sz="8" w:color="CCEEFF"/>
            </w:tcBorders>
          </w:tcPr>
          <w:p>
            <w:pPr>
              <w:spacing w:after="0"/>
              <w:rPr>
                <w:sz w:val="18"/>
                <w:szCs w:val="18"/>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Vehicle sales</w:t>
            </w:r>
          </w:p>
        </w:tc>
        <w:tc>
          <w:tcPr>
            <w:tcW w:w="25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(1,850,943)</w:t>
            </w:r>
          </w:p>
        </w:tc>
        <w:tc>
          <w:tcPr>
            <w:tcW w:w="15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(3,148,621)</w:t>
            </w:r>
          </w:p>
        </w:tc>
        <w:tc>
          <w:tcPr>
            <w:tcW w:w="18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(3,649,069)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(537,450)</w:t>
            </w:r>
          </w:p>
        </w:tc>
      </w:tr>
      <w:tr>
        <w:trPr>
          <w:trHeight w:val="229"/>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sales</w:t>
            </w:r>
          </w:p>
        </w:tc>
        <w:tc>
          <w:tcPr>
            <w:tcW w:w="2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(207,485)</w:t>
            </w:r>
          </w:p>
        </w:tc>
        <w:tc>
          <w:tcPr>
            <w:tcW w:w="1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(257,168)</w:t>
            </w:r>
          </w:p>
        </w:tc>
        <w:tc>
          <w:tcPr>
            <w:tcW w:w="18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(291,079)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r>
      <w:tr>
        <w:trPr>
          <w:trHeight w:val="209"/>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8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(2,058,428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(3,405,789</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(3,940,148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(580,321</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(loss)/profit</w:t>
            </w:r>
          </w:p>
        </w:tc>
        <w:tc>
          <w:tcPr>
            <w:tcW w:w="86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585,812</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86,281</w:t>
            </w:r>
          </w:p>
        </w:tc>
        <w:tc>
          <w:tcPr>
            <w:tcW w:w="60" w:type="dxa"/>
            <w:vAlign w:val="bottom"/>
            <w:shd w:val="clear" w:color="auto" w:fill="CCEEFF"/>
          </w:tcPr>
          <w:p>
            <w:pPr>
              <w:spacing w:after="0"/>
              <w:rPr>
                <w:sz w:val="18"/>
                <w:szCs w:val="18"/>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(1,023,193)</w:t>
            </w:r>
          </w:p>
        </w:tc>
        <w:tc>
          <w:tcPr>
            <w:tcW w:w="1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(545,185)</w:t>
            </w:r>
          </w:p>
        </w:tc>
        <w:tc>
          <w:tcPr>
            <w:tcW w:w="18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(590,783)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(87,013)</w:t>
            </w:r>
          </w:p>
        </w:tc>
      </w:tr>
      <w:tr>
        <w:trPr>
          <w:trHeight w:val="216"/>
        </w:trPr>
        <w:tc>
          <w:tcPr>
            <w:tcW w:w="3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(1,164,443)</w:t>
            </w:r>
          </w:p>
        </w:tc>
        <w:tc>
          <w:tcPr>
            <w:tcW w:w="15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(936,788)</w:t>
            </w:r>
          </w:p>
        </w:tc>
        <w:tc>
          <w:tcPr>
            <w:tcW w:w="18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(940,331)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(138,496)</w:t>
            </w:r>
          </w:p>
        </w:tc>
      </w:tr>
      <w:tr>
        <w:trPr>
          <w:trHeight w:val="230"/>
        </w:trPr>
        <w:tc>
          <w:tcPr>
            <w:tcW w:w="3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operating income/(loss), net</w:t>
            </w:r>
          </w:p>
        </w:tc>
        <w:tc>
          <w:tcPr>
            <w:tcW w:w="8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8,829</w:t>
            </w:r>
          </w:p>
        </w:tc>
        <w:tc>
          <w:tcPr>
            <w:tcW w:w="18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9"/>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(2,187,636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(1,473,144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(1,531,800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(225,610</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(2,409,220)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(945,988)</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(139,329)</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losses of equity investees, net of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income/(loss),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3" w:lineRule="exact"/>
        <w:rPr>
          <w:sz w:val="20"/>
          <w:szCs w:val="20"/>
          <w:color w:val="auto"/>
        </w:rPr>
      </w:pPr>
    </w:p>
    <w:p>
      <w:pPr>
        <w:ind w:left="220" w:right="620" w:hanging="215"/>
        <w:spacing w:after="0" w:line="258" w:lineRule="auto"/>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97" w:lineRule="exact"/>
        <w:rPr>
          <w:sz w:val="20"/>
          <w:szCs w:val="20"/>
          <w:color w:val="auto"/>
        </w:rPr>
      </w:pPr>
    </w:p>
    <w:p>
      <w:pPr>
        <w:ind w:left="220" w:right="620" w:hanging="215"/>
        <w:spacing w:after="0" w:line="261" w:lineRule="auto"/>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p>
      <w:pPr>
        <w:spacing w:after="0" w:line="9" w:lineRule="exact"/>
        <w:rPr>
          <w:sz w:val="20"/>
          <w:szCs w:val="20"/>
          <w:color w:val="auto"/>
        </w:rPr>
      </w:pPr>
    </w:p>
    <w:p>
      <w:pPr>
        <w:ind w:left="220" w:hanging="215"/>
        <w:spacing w:after="0" w:line="276" w:lineRule="auto"/>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 of NIO Inc.</w:t>
      </w:r>
    </w:p>
    <w:p>
      <w:pPr>
        <w:spacing w:after="0" w:line="204" w:lineRule="exact"/>
        <w:rPr>
          <w:sz w:val="20"/>
          <w:szCs w:val="20"/>
          <w:color w:val="auto"/>
        </w:rPr>
      </w:pPr>
    </w:p>
    <w:p>
      <w:pPr>
        <w:ind w:left="220" w:right="360" w:hanging="215"/>
        <w:spacing w:after="0" w:line="263" w:lineRule="auto"/>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loss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Net loss per share attributable to ordinary shareholders </w:t>
      </w:r>
      <w:r>
        <w:rPr>
          <w:rFonts w:ascii="Times New Roman" w:cs="Times New Roman" w:eastAsia="Times New Roman" w:hAnsi="Times New Roman"/>
          <w:sz w:val="18"/>
          <w:szCs w:val="18"/>
          <w:color w:val="auto"/>
        </w:rPr>
        <w:t>Basic and diluted</w:t>
      </w:r>
    </w:p>
    <w:p>
      <w:pPr>
        <w:spacing w:after="0" w:line="1" w:lineRule="exact"/>
        <w:rPr>
          <w:sz w:val="20"/>
          <w:szCs w:val="20"/>
          <w:color w:val="auto"/>
        </w:rPr>
      </w:pPr>
    </w:p>
    <w:p>
      <w:pPr>
        <w:ind w:left="220" w:right="60" w:hanging="215"/>
        <w:spacing w:after="0" w:line="250" w:lineRule="auto"/>
        <w:rPr>
          <w:sz w:val="20"/>
          <w:szCs w:val="20"/>
          <w:color w:val="auto"/>
        </w:rPr>
      </w:pPr>
      <w:r>
        <w:rPr>
          <w:rFonts w:ascii="Times New Roman" w:cs="Times New Roman" w:eastAsia="Times New Roman" w:hAnsi="Times New Roman"/>
          <w:sz w:val="18"/>
          <w:szCs w:val="18"/>
          <w:b w:val="1"/>
          <w:bCs w:val="1"/>
          <w:color w:val="auto"/>
        </w:rPr>
        <w:t>Weighted average number of ADS used in computing net loss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Net loss per ADS attributable to ordinary shareholders </w:t>
      </w: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28,669</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20,584</w:t>
            </w: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51,652</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(103,211)</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(112,917)</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(108,761)</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(38,419)</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(4,408)</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(13,638)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48"/>
        </w:trPr>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82,107</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(29,049)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(2,521,114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(1,174,637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(1,045,784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(154,027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22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2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(1,213</w:t>
            </w:r>
          </w:p>
        </w:tc>
        <w:tc>
          <w:tcPr>
            <w:tcW w:w="2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4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(2,521,650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(1,046,997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(154,206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394"/>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(31,907)</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(31,561)</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(142,742)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0" w:type="dxa"/>
            <w:vAlign w:val="bottom"/>
          </w:tcPr>
          <w:p>
            <w:pPr>
              <w:spacing w:after="0"/>
              <w:rPr>
                <w:sz w:val="1"/>
                <w:szCs w:val="1"/>
                <w:color w:val="auto"/>
              </w:rPr>
            </w:pPr>
          </w:p>
        </w:tc>
      </w:tr>
      <w:tr>
        <w:trPr>
          <w:trHeight w:val="248"/>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368</w:t>
            </w: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1,802</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(2,553,615)</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(1,207,847)</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(1,187,937)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(174,965)</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(2,521,650)</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(1,176,654)</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(1,046,997)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(154,206)</w:t>
            </w:r>
          </w:p>
        </w:tc>
        <w:tc>
          <w:tcPr>
            <w:tcW w:w="0" w:type="dxa"/>
            <w:vAlign w:val="bottom"/>
          </w:tcPr>
          <w:p>
            <w:pPr>
              <w:spacing w:after="0"/>
              <w:rPr>
                <w:sz w:val="1"/>
                <w:szCs w:val="1"/>
                <w:color w:val="auto"/>
              </w:rPr>
            </w:pPr>
          </w:p>
        </w:tc>
      </w:tr>
      <w:tr>
        <w:trPr>
          <w:trHeight w:val="445"/>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(129,405)</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6,477</w:t>
            </w: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207,985</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2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207,985</w:t>
            </w:r>
          </w:p>
        </w:tc>
        <w:tc>
          <w:tcPr>
            <w:tcW w:w="220" w:type="dxa"/>
            <w:vAlign w:val="bottom"/>
          </w:tcPr>
          <w:p>
            <w:pPr>
              <w:spacing w:after="0"/>
              <w:rPr>
                <w:sz w:val="19"/>
                <w:szCs w:val="19"/>
                <w:color w:val="auto"/>
              </w:rPr>
            </w:pPr>
          </w:p>
        </w:tc>
        <w:tc>
          <w:tcPr>
            <w:tcW w:w="15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(2,651,055)</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(1,170,177)</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(839,012)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(31,907)</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(31,561)</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(142,742)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0" w:type="dxa"/>
            <w:vAlign w:val="bottom"/>
          </w:tcPr>
          <w:p>
            <w:pPr>
              <w:spacing w:after="0"/>
              <w:rPr>
                <w:sz w:val="1"/>
                <w:szCs w:val="1"/>
                <w:color w:val="auto"/>
              </w:rPr>
            </w:pPr>
          </w:p>
        </w:tc>
      </w:tr>
      <w:tr>
        <w:trPr>
          <w:trHeight w:val="248"/>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368</w:t>
            </w: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1,802</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(2,683,020)</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(1,201,370)</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(979,952)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(144,332)</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1,028,698,303</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1,054,638,822</w:t>
            </w: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1,210,613,409</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1,210,613,409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648"/>
        </w:trPr>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1,028,698,303</w:t>
            </w: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1,054,638,822</w:t>
            </w:r>
          </w:p>
        </w:tc>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1,210,613,409</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1,210,613,409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w:t>
            </w:r>
          </w:p>
        </w:tc>
        <w:tc>
          <w:tcPr>
            <w:tcW w:w="1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w:t>
            </w:r>
          </w:p>
        </w:tc>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-5168265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-4893945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-4611370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-4293870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-3874135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-3582670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-3282315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-3007995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-2699385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-2382520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-1953895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-1508125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-1096645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-822325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-410845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-136525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428625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440" w:space="200"/>
            <w:col w:w="6600"/>
          </w:cols>
          <w:pgMar w:left="320" w:top="90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for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9"/>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Share-based compensation included in cost of sales</w:t>
            </w: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operating expenses is as follows:</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(3,940,148)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(3,938,777)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(590,783)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(577,787)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(940,331)</w:t>
            </w:r>
          </w:p>
        </w:tc>
        <w:tc>
          <w:tcPr>
            <w:tcW w:w="220" w:type="dxa"/>
            <w:vAlign w:val="bottom"/>
            <w:vMerge w:val="continue"/>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34,872</w:t>
            </w:r>
          </w:p>
        </w:tc>
        <w:tc>
          <w:tcPr>
            <w:tcW w:w="220" w:type="dxa"/>
            <w:vAlign w:val="bottom"/>
            <w:vMerge w:val="continue"/>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(905,459)</w:t>
            </w:r>
          </w:p>
        </w:tc>
        <w:tc>
          <w:tcPr>
            <w:tcW w:w="220" w:type="dxa"/>
            <w:vAlign w:val="bottom"/>
            <w:vMerge w:val="continue"/>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(5,471,262)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49,239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(5,422,023)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(945,988)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49,239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(896,749)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(1,046,997)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49,239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(997,758)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redeemable non-controlling interests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(142,742)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142,742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shareholders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NIO Inc.</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(1,187,937)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191,981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(995,956)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ordinary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ADS attributable to ordinary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(0.82)</w:t>
            </w: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ADS attributable to ordinary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(USD)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2020</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Share-based compensation included in cost of sales</w:t>
            </w: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operating expenses is as follows:</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(3,405,789)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(3,404,493)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(545,185)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(533,526)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(936,788)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32,333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(904,455)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(4,887,762)</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45,288</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(4,842,474)</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(1,160,003)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45,288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(1,114,715)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(1,176,654)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45,288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(1,131,366)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redeemable non-controlling interests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(31,561)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31,561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shareholders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NIO Inc.</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(1,207,847)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76,849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(1,130,998)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ordinary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ADS attributable to ordinary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Share-based compensation included in cost of sales</w:t>
            </w: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operating expenses is as follows:</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(2,058,428)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(2,055,679)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(1,023,193)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(1,003,615)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(1,164,443)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48,111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(1,116,332)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(4,246,064)</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70,438</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(4,175,626)</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(2,409,220)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70,438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(2,338,782)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(2,521,650)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70,438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(2,451,212)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redeemable non-controlling interests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(31,907)</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31,907</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shareholders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NIO Inc.</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(2,553,615)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102,345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(2,451,270)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ADS attributable to ordinary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ADS attributable to ordinary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firstLine="8"/>
        <w:spacing w:after="0" w:line="195" w:lineRule="auto"/>
        <w:tabs>
          <w:tab w:leader="none" w:pos="105"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third quarter of 2020 were made at the rate of RMB6.7896 to US$1.00, the noon buying rate in effect on September 30, 2020 in the H.10 statistical release of the Federal Reserve Board.</w:t>
      </w:r>
    </w:p>
    <w:p>
      <w:pPr>
        <w:spacing w:after="0" w:line="129"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Vehicle margin is the margin of vehicle sales, which is calculated based on revenues and cost of sales derived from vehicle sales only.</w:t>
      </w:r>
    </w:p>
    <w:p>
      <w:pPr>
        <w:spacing w:after="0" w:line="127" w:lineRule="exact"/>
        <w:rPr>
          <w:rFonts w:ascii="Times New Roman" w:cs="Times New Roman" w:eastAsia="Times New Roman" w:hAnsi="Times New Roman"/>
          <w:sz w:val="30"/>
          <w:szCs w:val="30"/>
          <w:color w:val="auto"/>
          <w:vertAlign w:val="superscript"/>
        </w:rPr>
      </w:pPr>
    </w:p>
    <w:p>
      <w:pPr>
        <w:ind w:left="180" w:hanging="172"/>
        <w:spacing w:after="0"/>
        <w:tabs>
          <w:tab w:leader="none" w:pos="18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ADS represents one ordinary share.</w:t>
      </w:r>
    </w:p>
    <w:p>
      <w:pPr>
        <w:spacing w:after="0" w:line="139" w:lineRule="exact"/>
        <w:rPr>
          <w:rFonts w:ascii="Times New Roman" w:cs="Times New Roman" w:eastAsia="Times New Roman" w:hAnsi="Times New Roman"/>
          <w:sz w:val="30"/>
          <w:szCs w:val="30"/>
          <w:color w:val="auto"/>
          <w:vertAlign w:val="superscript"/>
        </w:rPr>
      </w:pPr>
    </w:p>
    <w:p>
      <w:pPr>
        <w:ind w:left="160" w:hanging="152"/>
        <w:spacing w:after="0"/>
        <w:tabs>
          <w:tab w:leader="none" w:pos="16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Except for gross margin and vehicle margin, where absolute changes instead of percentage changes are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i"/>
      <w:numFmt w:val="bullet"/>
      <w:start w:val="1"/>
    </w:lvl>
  </w:abstractNum>
  <w:abstractNum w:abstractNumId="19">
    <w:nsid w:val="62BBD9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2020-11-18T06:55:51Z</dcterms:created>
  <dcterms:modified xsi:type="dcterms:W3CDTF">2020-11-18T06:55:51Z</dcterms:modified>
</cp:coreProperties>
</file>